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210"/>
      </w:pPr>
    </w:p>
    <w:p>
      <w:pPr>
        <w:pStyle w:val="2"/>
        <w:ind w:firstLine="210"/>
      </w:pPr>
    </w:p>
    <w:p>
      <w:pPr>
        <w:pStyle w:val="2"/>
        <w:ind w:firstLine="210"/>
      </w:pPr>
    </w:p>
    <w:p>
      <w:pPr>
        <w:pStyle w:val="2"/>
        <w:ind w:firstLine="210"/>
      </w:pPr>
    </w:p>
    <w:p>
      <w:pPr>
        <w:pStyle w:val="2"/>
        <w:spacing w:line="360" w:lineRule="auto"/>
        <w:ind w:firstLine="210"/>
      </w:pPr>
    </w:p>
    <w:p>
      <w:pPr>
        <w:pStyle w:val="3"/>
        <w:spacing w:after="0" w:line="360" w:lineRule="auto"/>
        <w:jc w:val="center"/>
        <w:rPr>
          <w:rFonts w:ascii="宋体" w:hAnsi="宋体" w:eastAsia="方正小标宋_GBK"/>
          <w:sz w:val="44"/>
          <w:szCs w:val="44"/>
        </w:rPr>
      </w:pPr>
      <w:bookmarkStart w:id="0" w:name="_Toc133150205"/>
      <w:bookmarkStart w:id="1" w:name="_Toc2582"/>
      <w:bookmarkStart w:id="2" w:name="_Toc10658"/>
      <w:bookmarkStart w:id="3" w:name="_Toc30808"/>
      <w:bookmarkStart w:id="4" w:name="_Toc133150270"/>
      <w:bookmarkStart w:id="5" w:name="_Toc28553"/>
      <w:r>
        <w:rPr>
          <w:rFonts w:hint="eastAsia" w:ascii="宋体" w:hAnsi="宋体" w:eastAsia="方正小标宋_GBK"/>
          <w:sz w:val="44"/>
          <w:szCs w:val="44"/>
        </w:rPr>
        <w:t>山海城相融，人与自然和谐共生的</w:t>
      </w:r>
      <w:bookmarkEnd w:id="0"/>
      <w:bookmarkEnd w:id="1"/>
      <w:bookmarkEnd w:id="2"/>
      <w:bookmarkEnd w:id="3"/>
      <w:bookmarkEnd w:id="4"/>
      <w:bookmarkEnd w:id="5"/>
    </w:p>
    <w:p>
      <w:pPr>
        <w:pStyle w:val="3"/>
        <w:spacing w:after="0" w:line="360" w:lineRule="auto"/>
        <w:jc w:val="center"/>
        <w:rPr>
          <w:rFonts w:ascii="宋体" w:hAnsi="宋体" w:eastAsia="方正小标宋_GBK"/>
          <w:sz w:val="44"/>
          <w:szCs w:val="44"/>
        </w:rPr>
      </w:pPr>
      <w:bookmarkStart w:id="6" w:name="_Toc11864"/>
      <w:bookmarkStart w:id="7" w:name="_Toc133150271"/>
      <w:bookmarkStart w:id="8" w:name="_Toc5195"/>
      <w:bookmarkStart w:id="9" w:name="_Toc1478"/>
      <w:bookmarkStart w:id="10" w:name="_Toc25672"/>
      <w:bookmarkStart w:id="11" w:name="_Toc133150206"/>
      <w:r>
        <w:rPr>
          <w:rFonts w:hint="eastAsia" w:ascii="宋体" w:hAnsi="宋体" w:eastAsia="方正小标宋_GBK"/>
          <w:sz w:val="44"/>
          <w:szCs w:val="44"/>
        </w:rPr>
        <w:t>美丽青岛建设规划纲要（2022-2035年）</w:t>
      </w:r>
      <w:bookmarkEnd w:id="6"/>
      <w:bookmarkEnd w:id="7"/>
      <w:bookmarkEnd w:id="8"/>
      <w:bookmarkEnd w:id="9"/>
      <w:bookmarkEnd w:id="10"/>
      <w:bookmarkEnd w:id="11"/>
    </w:p>
    <w:p>
      <w:pPr>
        <w:pStyle w:val="3"/>
        <w:spacing w:after="0" w:line="360" w:lineRule="auto"/>
        <w:jc w:val="center"/>
        <w:rPr>
          <w:rFonts w:ascii="宋体" w:hAnsi="宋体" w:eastAsia="方正小标宋_GBK"/>
          <w:sz w:val="44"/>
          <w:szCs w:val="44"/>
        </w:rPr>
      </w:pPr>
      <w:r>
        <w:rPr>
          <w:rFonts w:hint="eastAsia" w:ascii="宋体" w:hAnsi="宋体" w:eastAsia="方正小标宋_GBK"/>
          <w:sz w:val="44"/>
          <w:szCs w:val="44"/>
        </w:rPr>
        <w:t>（</w:t>
      </w:r>
      <w:r>
        <w:rPr>
          <w:rFonts w:hint="eastAsia" w:ascii="宋体" w:hAnsi="宋体" w:eastAsia="方正小标宋_GBK"/>
          <w:sz w:val="44"/>
          <w:szCs w:val="44"/>
          <w:lang w:val="en-US" w:eastAsia="zh-CN"/>
        </w:rPr>
        <w:t>征求意见稿</w:t>
      </w:r>
      <w:r>
        <w:rPr>
          <w:rFonts w:hint="eastAsia" w:ascii="宋体" w:hAnsi="宋体" w:eastAsia="方正小标宋_GBK"/>
          <w:sz w:val="44"/>
          <w:szCs w:val="44"/>
        </w:rPr>
        <w:t>）</w:t>
      </w:r>
      <w:bookmarkStart w:id="83" w:name="_GoBack"/>
      <w:bookmarkEnd w:id="83"/>
    </w:p>
    <w:p>
      <w:pPr>
        <w:spacing w:after="120"/>
        <w:ind w:left="420" w:leftChars="200" w:firstLine="880" w:firstLineChars="200"/>
        <w:textAlignment w:val="baseline"/>
        <w:rPr>
          <w:rFonts w:eastAsia="微软雅黑"/>
          <w:bCs/>
          <w:sz w:val="44"/>
        </w:rPr>
      </w:pPr>
    </w:p>
    <w:p>
      <w:pPr>
        <w:spacing w:after="120"/>
        <w:ind w:left="420" w:leftChars="200" w:firstLine="880" w:firstLineChars="200"/>
        <w:textAlignment w:val="baseline"/>
        <w:rPr>
          <w:rFonts w:eastAsia="微软雅黑"/>
          <w:bCs/>
          <w:sz w:val="44"/>
        </w:rPr>
      </w:pPr>
    </w:p>
    <w:p>
      <w:pPr>
        <w:spacing w:after="120"/>
        <w:ind w:left="420" w:leftChars="200" w:firstLine="880" w:firstLineChars="200"/>
        <w:textAlignment w:val="baseline"/>
        <w:rPr>
          <w:rFonts w:eastAsia="微软雅黑"/>
          <w:bCs/>
          <w:sz w:val="44"/>
        </w:rPr>
      </w:pPr>
    </w:p>
    <w:p>
      <w:pPr>
        <w:widowControl/>
        <w:spacing w:after="156" w:afterLines="50" w:line="580" w:lineRule="exact"/>
        <w:ind w:firstLine="880"/>
        <w:jc w:val="center"/>
        <w:rPr>
          <w:rFonts w:eastAsia="黑体" w:cs="宋体"/>
          <w:kern w:val="0"/>
          <w:sz w:val="44"/>
          <w:szCs w:val="44"/>
        </w:rPr>
      </w:pPr>
    </w:p>
    <w:p>
      <w:pPr>
        <w:widowControl/>
        <w:spacing w:after="156" w:afterLines="50" w:line="580" w:lineRule="exact"/>
        <w:ind w:firstLine="880"/>
        <w:jc w:val="center"/>
        <w:rPr>
          <w:rFonts w:eastAsia="黑体" w:cs="宋体"/>
          <w:kern w:val="0"/>
          <w:sz w:val="44"/>
          <w:szCs w:val="44"/>
        </w:rPr>
      </w:pPr>
    </w:p>
    <w:p>
      <w:pPr>
        <w:widowControl/>
        <w:spacing w:after="156" w:afterLines="50" w:line="580" w:lineRule="exact"/>
        <w:ind w:firstLine="880"/>
        <w:jc w:val="center"/>
        <w:rPr>
          <w:rFonts w:eastAsia="黑体" w:cs="宋体"/>
          <w:kern w:val="0"/>
          <w:sz w:val="44"/>
          <w:szCs w:val="44"/>
        </w:rPr>
      </w:pPr>
    </w:p>
    <w:p>
      <w:pPr>
        <w:pStyle w:val="2"/>
        <w:ind w:firstLine="440"/>
        <w:rPr>
          <w:rFonts w:eastAsia="黑体" w:cs="宋体"/>
          <w:kern w:val="0"/>
          <w:sz w:val="44"/>
          <w:szCs w:val="44"/>
        </w:rPr>
      </w:pPr>
    </w:p>
    <w:p>
      <w:pPr>
        <w:pStyle w:val="2"/>
        <w:ind w:firstLine="440"/>
        <w:rPr>
          <w:rFonts w:eastAsia="黑体" w:cs="宋体"/>
          <w:kern w:val="0"/>
          <w:sz w:val="44"/>
          <w:szCs w:val="44"/>
        </w:rPr>
      </w:pPr>
    </w:p>
    <w:p>
      <w:pPr>
        <w:pStyle w:val="2"/>
        <w:ind w:firstLine="440"/>
        <w:rPr>
          <w:rFonts w:eastAsia="黑体" w:cs="宋体"/>
          <w:kern w:val="0"/>
          <w:sz w:val="44"/>
          <w:szCs w:val="44"/>
        </w:rPr>
      </w:pPr>
    </w:p>
    <w:p>
      <w:pPr>
        <w:widowControl/>
        <w:spacing w:after="156" w:afterLines="50" w:line="580" w:lineRule="exact"/>
        <w:jc w:val="center"/>
        <w:rPr>
          <w:rFonts w:eastAsia="黑体" w:cs="宋体"/>
          <w:kern w:val="0"/>
          <w:sz w:val="40"/>
          <w:szCs w:val="40"/>
        </w:rPr>
        <w:sectPr>
          <w:footerReference r:id="rId4" w:type="default"/>
          <w:pgSz w:w="11906" w:h="16838"/>
          <w:pgMar w:top="1440" w:right="1800" w:bottom="1440" w:left="1800" w:header="851" w:footer="992" w:gutter="0"/>
          <w:cols w:space="720" w:num="1"/>
          <w:docGrid w:type="lines" w:linePitch="312" w:charSpace="0"/>
        </w:sectPr>
      </w:pPr>
      <w:r>
        <w:rPr>
          <w:rFonts w:hint="eastAsia" w:eastAsia="黑体" w:cs="宋体"/>
          <w:kern w:val="0"/>
          <w:sz w:val="40"/>
          <w:szCs w:val="40"/>
        </w:rPr>
        <w:t>202</w:t>
      </w:r>
      <w:r>
        <w:rPr>
          <w:rFonts w:eastAsia="黑体" w:cs="宋体"/>
          <w:kern w:val="0"/>
          <w:sz w:val="40"/>
          <w:szCs w:val="40"/>
        </w:rPr>
        <w:t>3</w:t>
      </w:r>
      <w:r>
        <w:rPr>
          <w:rFonts w:hint="eastAsia" w:eastAsia="黑体" w:cs="宋体"/>
          <w:kern w:val="0"/>
          <w:sz w:val="40"/>
          <w:szCs w:val="40"/>
        </w:rPr>
        <w:t>年</w:t>
      </w:r>
      <w:r>
        <w:rPr>
          <w:rFonts w:eastAsia="黑体" w:cs="宋体"/>
          <w:kern w:val="0"/>
          <w:sz w:val="40"/>
          <w:szCs w:val="40"/>
        </w:rPr>
        <w:t>5</w:t>
      </w:r>
      <w:r>
        <w:rPr>
          <w:rFonts w:hint="eastAsia" w:eastAsia="黑体" w:cs="宋体"/>
          <w:kern w:val="0"/>
          <w:sz w:val="40"/>
          <w:szCs w:val="40"/>
        </w:rPr>
        <w:t>月</w:t>
      </w:r>
    </w:p>
    <w:p>
      <w:pPr>
        <w:keepNext/>
        <w:keepLines/>
        <w:spacing w:before="340" w:after="330" w:line="578" w:lineRule="auto"/>
        <w:jc w:val="center"/>
        <w:outlineLvl w:val="0"/>
        <w:rPr>
          <w:rFonts w:eastAsia="黑体"/>
          <w:bCs/>
          <w:kern w:val="44"/>
          <w:sz w:val="36"/>
          <w:szCs w:val="36"/>
        </w:rPr>
      </w:pPr>
      <w:bookmarkStart w:id="12" w:name="_Toc133150272"/>
      <w:bookmarkStart w:id="13" w:name="_Toc14893"/>
      <w:r>
        <w:rPr>
          <w:rFonts w:hint="eastAsia" w:eastAsia="黑体"/>
          <w:bCs/>
          <w:kern w:val="44"/>
          <w:sz w:val="36"/>
          <w:szCs w:val="36"/>
        </w:rPr>
        <w:t xml:space="preserve">前 </w:t>
      </w:r>
      <w:r>
        <w:rPr>
          <w:rFonts w:eastAsia="黑体"/>
          <w:bCs/>
          <w:kern w:val="44"/>
          <w:sz w:val="36"/>
          <w:szCs w:val="36"/>
        </w:rPr>
        <w:t xml:space="preserve"> </w:t>
      </w:r>
      <w:r>
        <w:rPr>
          <w:rFonts w:hint="eastAsia" w:eastAsia="黑体"/>
          <w:bCs/>
          <w:kern w:val="44"/>
          <w:sz w:val="36"/>
          <w:szCs w:val="36"/>
        </w:rPr>
        <w:t>言</w:t>
      </w:r>
      <w:bookmarkEnd w:id="12"/>
    </w:p>
    <w:p>
      <w:pPr>
        <w:adjustRightInd w:val="0"/>
        <w:snapToGrid w:val="0"/>
        <w:spacing w:line="540" w:lineRule="exact"/>
        <w:ind w:firstLine="600" w:firstLineChars="200"/>
        <w:rPr>
          <w:rFonts w:eastAsia="仿宋_GB2312"/>
          <w:sz w:val="30"/>
          <w:szCs w:val="30"/>
        </w:rPr>
      </w:pPr>
      <w:r>
        <w:rPr>
          <w:rFonts w:eastAsia="仿宋_GB2312"/>
          <w:sz w:val="30"/>
          <w:szCs w:val="30"/>
        </w:rPr>
        <w:t>建设美丽中国是以习近平同志为核心的党中央立足国情、着眼全局、面向未来做出的重大战略决策。党的二十大提出“站在人与自然和谐共生的高度谋划发展”，明确“到2035年，美丽中国目标基本实现”的战略目标。习近平总书记视察</w:t>
      </w:r>
      <w:r>
        <w:rPr>
          <w:rFonts w:hint="eastAsia" w:eastAsia="仿宋_GB2312"/>
          <w:sz w:val="30"/>
          <w:szCs w:val="30"/>
        </w:rPr>
        <w:t>山东、青岛</w:t>
      </w:r>
      <w:r>
        <w:rPr>
          <w:rFonts w:eastAsia="仿宋_GB2312"/>
          <w:sz w:val="30"/>
          <w:szCs w:val="30"/>
        </w:rPr>
        <w:t>提出</w:t>
      </w:r>
      <w:r>
        <w:rPr>
          <w:rFonts w:hint="eastAsia" w:ascii="仿宋_GB2312" w:eastAsia="仿宋_GB2312"/>
          <w:sz w:val="30"/>
          <w:szCs w:val="30"/>
        </w:rPr>
        <w:t>“走在前、开新局”“办好一次会，搞活一座城”“建设现代化国际大都市”的</w:t>
      </w:r>
      <w:r>
        <w:rPr>
          <w:rFonts w:eastAsia="仿宋_GB2312"/>
          <w:sz w:val="30"/>
          <w:szCs w:val="30"/>
        </w:rPr>
        <w:t>殷切希望。2022年6月，山东省委办公厅、山东省人民政府办公厅印发《美丽山东建设规划纲要（2021—2035年）》，提出支持美丽山东地方实践，推动形成美丽城市、美丽区县、美丽乡镇、美丽乡村、美丽园区等不同层级的美丽单元。</w:t>
      </w:r>
    </w:p>
    <w:p>
      <w:pPr>
        <w:adjustRightInd w:val="0"/>
        <w:snapToGrid w:val="0"/>
        <w:spacing w:line="540" w:lineRule="exact"/>
        <w:ind w:firstLine="600" w:firstLineChars="200"/>
        <w:rPr>
          <w:rFonts w:eastAsia="仿宋_GB2312"/>
          <w:sz w:val="30"/>
          <w:szCs w:val="30"/>
        </w:rPr>
      </w:pPr>
      <w:r>
        <w:rPr>
          <w:rFonts w:eastAsia="仿宋_GB2312"/>
          <w:sz w:val="30"/>
          <w:szCs w:val="30"/>
        </w:rPr>
        <w:t>青岛</w:t>
      </w:r>
      <w:r>
        <w:rPr>
          <w:rFonts w:hint="eastAsia" w:eastAsia="仿宋_GB2312"/>
          <w:sz w:val="30"/>
          <w:szCs w:val="30"/>
        </w:rPr>
        <w:t>市委、市政府</w:t>
      </w:r>
      <w:r>
        <w:rPr>
          <w:rFonts w:eastAsia="仿宋_GB2312"/>
          <w:sz w:val="30"/>
          <w:szCs w:val="30"/>
        </w:rPr>
        <w:t>高度重视美丽青岛建设，深入贯彻习近平总书记对山东、对青岛工作的重要指示，全面落实省委、省政府对美丽城市建设的部署要求，市第十三次党代会</w:t>
      </w:r>
      <w:r>
        <w:rPr>
          <w:rFonts w:hint="eastAsia" w:eastAsia="仿宋_GB2312"/>
          <w:sz w:val="30"/>
          <w:szCs w:val="30"/>
        </w:rPr>
        <w:t>提出</w:t>
      </w:r>
      <w:r>
        <w:rPr>
          <w:rFonts w:eastAsia="仿宋_GB2312"/>
          <w:sz w:val="30"/>
          <w:szCs w:val="30"/>
        </w:rPr>
        <w:t>“促进人与自然和谐共生，建设美丽青岛”</w:t>
      </w:r>
      <w:r>
        <w:rPr>
          <w:rFonts w:hint="eastAsia" w:eastAsia="仿宋_GB2312"/>
          <w:sz w:val="30"/>
          <w:szCs w:val="30"/>
        </w:rPr>
        <w:t>总体要求</w:t>
      </w:r>
      <w:r>
        <w:rPr>
          <w:rFonts w:eastAsia="仿宋_GB2312"/>
          <w:sz w:val="30"/>
          <w:szCs w:val="30"/>
        </w:rPr>
        <w:t>，进一步树牢</w:t>
      </w:r>
      <w:r>
        <w:rPr>
          <w:rFonts w:hint="eastAsia" w:eastAsia="仿宋_GB2312"/>
          <w:sz w:val="30"/>
          <w:szCs w:val="30"/>
        </w:rPr>
        <w:t>“创新、协调、绿色、开放、共享”发展理念，彰显“红瓦绿树、碧海蓝天”的青岛特色，加快迈向“</w:t>
      </w:r>
      <w:r>
        <w:rPr>
          <w:rFonts w:eastAsia="仿宋_GB2312"/>
          <w:sz w:val="30"/>
          <w:szCs w:val="30"/>
        </w:rPr>
        <w:t>活力海洋之都、精彩宜人之城</w:t>
      </w:r>
      <w:r>
        <w:rPr>
          <w:rFonts w:hint="eastAsia" w:eastAsia="仿宋_GB2312"/>
          <w:sz w:val="30"/>
          <w:szCs w:val="30"/>
        </w:rPr>
        <w:t>”，</w:t>
      </w:r>
      <w:r>
        <w:rPr>
          <w:rFonts w:eastAsia="仿宋_GB2312"/>
          <w:sz w:val="30"/>
          <w:szCs w:val="30"/>
        </w:rPr>
        <w:t>建成新时代社会主义现代化国际大都市总目标的重大战略任务。为高标准推进美丽青岛建设工作，</w:t>
      </w:r>
      <w:r>
        <w:rPr>
          <w:rFonts w:hint="eastAsia" w:eastAsia="仿宋_GB2312"/>
          <w:sz w:val="30"/>
          <w:szCs w:val="30"/>
        </w:rPr>
        <w:t>现</w:t>
      </w:r>
      <w:r>
        <w:rPr>
          <w:rFonts w:eastAsia="仿宋_GB2312"/>
          <w:sz w:val="30"/>
          <w:szCs w:val="30"/>
        </w:rPr>
        <w:t>编制《</w:t>
      </w:r>
      <w:r>
        <w:rPr>
          <w:rFonts w:hint="eastAsia" w:eastAsia="仿宋_GB2312"/>
          <w:sz w:val="30"/>
          <w:szCs w:val="30"/>
        </w:rPr>
        <w:t>山海城相融，</w:t>
      </w:r>
      <w:r>
        <w:rPr>
          <w:rFonts w:eastAsia="仿宋_GB2312"/>
          <w:sz w:val="30"/>
          <w:szCs w:val="30"/>
        </w:rPr>
        <w:t>人与自然和谐共生的美丽青岛建设规划纲要（2022-2035年）》。</w:t>
      </w:r>
    </w:p>
    <w:p>
      <w:pPr>
        <w:adjustRightInd w:val="0"/>
        <w:snapToGrid w:val="0"/>
        <w:spacing w:line="540" w:lineRule="exact"/>
        <w:ind w:firstLine="600" w:firstLineChars="200"/>
        <w:rPr>
          <w:rFonts w:eastAsia="仿宋_GB2312"/>
          <w:sz w:val="30"/>
          <w:szCs w:val="30"/>
        </w:rPr>
      </w:pPr>
      <w:r>
        <w:rPr>
          <w:rFonts w:hint="eastAsia" w:eastAsia="仿宋_GB2312"/>
          <w:sz w:val="30"/>
          <w:szCs w:val="30"/>
        </w:rPr>
        <w:t>本</w:t>
      </w:r>
      <w:r>
        <w:rPr>
          <w:rFonts w:eastAsia="仿宋_GB2312"/>
          <w:sz w:val="30"/>
          <w:szCs w:val="30"/>
        </w:rPr>
        <w:t>规划纲要是美丽青岛建设的指导性文件，是编制</w:t>
      </w:r>
      <w:r>
        <w:rPr>
          <w:rFonts w:hint="eastAsia" w:eastAsia="仿宋_GB2312"/>
          <w:sz w:val="30"/>
          <w:szCs w:val="30"/>
        </w:rPr>
        <w:t>区（市）</w:t>
      </w:r>
      <w:r>
        <w:rPr>
          <w:rFonts w:eastAsia="仿宋_GB2312"/>
          <w:sz w:val="30"/>
          <w:szCs w:val="30"/>
        </w:rPr>
        <w:t>、行业、部门规划和实施方案的重要依据。规划纲要基准年为2021年，规划期自2022年至2035年。</w:t>
      </w:r>
    </w:p>
    <w:p>
      <w:pPr>
        <w:pStyle w:val="2"/>
        <w:ind w:firstLine="210"/>
      </w:pPr>
      <w:r>
        <w:br w:type="page"/>
      </w:r>
    </w:p>
    <w:sdt>
      <w:sdtPr>
        <w:rPr>
          <w:rFonts w:ascii="Times New Roman" w:hAnsi="Times New Roman" w:eastAsia="宋体" w:cs="Times New Roman"/>
          <w:color w:val="auto"/>
          <w:kern w:val="2"/>
          <w:sz w:val="21"/>
          <w:szCs w:val="22"/>
          <w:lang w:val="zh-CN"/>
        </w:rPr>
        <w:id w:val="870802305"/>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61"/>
            <w:jc w:val="center"/>
            <w:rPr>
              <w:rFonts w:ascii="黑体" w:hAnsi="黑体" w:eastAsia="黑体"/>
              <w:color w:val="auto"/>
            </w:rPr>
          </w:pPr>
          <w:r>
            <w:rPr>
              <w:rFonts w:ascii="黑体" w:hAnsi="黑体" w:eastAsia="黑体"/>
              <w:color w:val="auto"/>
              <w:lang w:val="zh-CN"/>
            </w:rPr>
            <w:t>目</w:t>
          </w:r>
          <w:r>
            <w:rPr>
              <w:rFonts w:hint="eastAsia" w:ascii="黑体" w:hAnsi="黑体" w:eastAsia="黑体"/>
              <w:color w:val="auto"/>
              <w:lang w:val="zh-CN"/>
            </w:rPr>
            <w:t xml:space="preserve"> </w:t>
          </w:r>
          <w:r>
            <w:rPr>
              <w:rFonts w:ascii="黑体" w:hAnsi="黑体" w:eastAsia="黑体"/>
              <w:color w:val="auto"/>
              <w:lang w:val="zh-CN"/>
            </w:rPr>
            <w:t xml:space="preserve">    录</w:t>
          </w:r>
        </w:p>
        <w:p>
          <w:pPr>
            <w:pStyle w:val="11"/>
            <w:tabs>
              <w:tab w:val="right" w:leader="dot" w:pos="8296"/>
            </w:tabs>
            <w:rPr>
              <w:rFonts w:asciiTheme="minorHAnsi" w:hAnsiTheme="minorHAnsi" w:eastAsiaTheme="minorEastAsia" w:cstheme="minorBidi"/>
            </w:rPr>
          </w:pPr>
          <w:r>
            <w:rPr>
              <w:b/>
              <w:bCs/>
              <w:lang w:val="zh-CN"/>
            </w:rPr>
            <w:fldChar w:fldCharType="begin"/>
          </w:r>
          <w:r>
            <w:rPr>
              <w:b/>
              <w:bCs/>
              <w:lang w:val="zh-CN"/>
            </w:rPr>
            <w:instrText xml:space="preserve"> TOC \o "1-3" \h \z \u </w:instrText>
          </w:r>
          <w:r>
            <w:rPr>
              <w:b/>
              <w:bCs/>
              <w:lang w:val="zh-CN"/>
            </w:rPr>
            <w:fldChar w:fldCharType="separate"/>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"_Toc133150273" </w:instrText>
          </w:r>
          <w:r>
            <w:fldChar w:fldCharType="separate"/>
          </w:r>
          <w:r>
            <w:rPr>
              <w:rStyle w:val="20"/>
              <w:rFonts w:hint="eastAsia" w:ascii="等线" w:hAnsi="等线" w:eastAsia="黑体"/>
              <w:bCs/>
              <w:kern w:val="44"/>
              <w:sz w:val="28"/>
              <w:szCs w:val="32"/>
            </w:rPr>
            <w:t>一、基础形势</w:t>
          </w:r>
          <w:r>
            <w:rPr>
              <w:sz w:val="28"/>
              <w:szCs w:val="32"/>
            </w:rPr>
            <w:tab/>
          </w:r>
          <w:r>
            <w:rPr>
              <w:sz w:val="28"/>
              <w:szCs w:val="32"/>
            </w:rPr>
            <w:fldChar w:fldCharType="begin"/>
          </w:r>
          <w:r>
            <w:rPr>
              <w:sz w:val="28"/>
              <w:szCs w:val="32"/>
            </w:rPr>
            <w:instrText xml:space="preserve"> PAGEREF _Toc133150273 \h </w:instrText>
          </w:r>
          <w:r>
            <w:rPr>
              <w:sz w:val="28"/>
              <w:szCs w:val="32"/>
            </w:rPr>
            <w:fldChar w:fldCharType="separate"/>
          </w:r>
          <w:r>
            <w:rPr>
              <w:sz w:val="28"/>
              <w:szCs w:val="32"/>
            </w:rPr>
            <w:t>- 1 -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"_Toc133150274" </w:instrText>
          </w:r>
          <w:r>
            <w:fldChar w:fldCharType="separate"/>
          </w:r>
          <w:r>
            <w:rPr>
              <w:rStyle w:val="20"/>
              <w:rFonts w:hint="eastAsia" w:ascii="等线" w:hAnsi="等线" w:eastAsia="楷体_GB2312"/>
              <w:bCs/>
              <w:sz w:val="28"/>
              <w:szCs w:val="32"/>
            </w:rPr>
            <w:t>（一）建设基础</w:t>
          </w:r>
          <w:r>
            <w:rPr>
              <w:sz w:val="28"/>
              <w:szCs w:val="32"/>
            </w:rPr>
            <w:tab/>
          </w:r>
          <w:r>
            <w:rPr>
              <w:sz w:val="28"/>
              <w:szCs w:val="32"/>
            </w:rPr>
            <w:fldChar w:fldCharType="begin"/>
          </w:r>
          <w:r>
            <w:rPr>
              <w:sz w:val="28"/>
              <w:szCs w:val="32"/>
            </w:rPr>
            <w:instrText xml:space="preserve"> PAGEREF _Toc133150274 \h </w:instrText>
          </w:r>
          <w:r>
            <w:rPr>
              <w:sz w:val="28"/>
              <w:szCs w:val="32"/>
            </w:rPr>
            <w:fldChar w:fldCharType="separate"/>
          </w:r>
          <w:r>
            <w:rPr>
              <w:sz w:val="28"/>
              <w:szCs w:val="32"/>
            </w:rPr>
            <w:t>- 1 -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"_Toc133150275" </w:instrText>
          </w:r>
          <w:r>
            <w:fldChar w:fldCharType="separate"/>
          </w:r>
          <w:r>
            <w:rPr>
              <w:rStyle w:val="20"/>
              <w:rFonts w:hint="eastAsia" w:ascii="等线" w:hAnsi="等线" w:eastAsia="楷体_GB2312"/>
              <w:bCs/>
              <w:sz w:val="28"/>
              <w:szCs w:val="32"/>
            </w:rPr>
            <w:t>（二）面临形势</w:t>
          </w:r>
          <w:r>
            <w:rPr>
              <w:sz w:val="28"/>
              <w:szCs w:val="32"/>
            </w:rPr>
            <w:tab/>
          </w:r>
          <w:r>
            <w:rPr>
              <w:sz w:val="28"/>
              <w:szCs w:val="32"/>
            </w:rPr>
            <w:fldChar w:fldCharType="begin"/>
          </w:r>
          <w:r>
            <w:rPr>
              <w:sz w:val="28"/>
              <w:szCs w:val="32"/>
            </w:rPr>
            <w:instrText xml:space="preserve"> PAGEREF _Toc133150275 \h </w:instrText>
          </w:r>
          <w:r>
            <w:rPr>
              <w:sz w:val="28"/>
              <w:szCs w:val="32"/>
            </w:rPr>
            <w:fldChar w:fldCharType="separate"/>
          </w:r>
          <w:r>
            <w:rPr>
              <w:sz w:val="28"/>
              <w:szCs w:val="32"/>
            </w:rPr>
            <w:t>- 4 -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"_Toc133150276" </w:instrText>
          </w:r>
          <w:r>
            <w:fldChar w:fldCharType="separate"/>
          </w:r>
          <w:r>
            <w:rPr>
              <w:rStyle w:val="20"/>
              <w:rFonts w:hint="eastAsia" w:ascii="等线" w:hAnsi="等线" w:eastAsia="黑体"/>
              <w:bCs/>
              <w:kern w:val="44"/>
              <w:sz w:val="28"/>
              <w:szCs w:val="32"/>
            </w:rPr>
            <w:t>二、总体要求</w:t>
          </w:r>
          <w:r>
            <w:rPr>
              <w:sz w:val="28"/>
              <w:szCs w:val="32"/>
            </w:rPr>
            <w:tab/>
          </w:r>
          <w:r>
            <w:rPr>
              <w:sz w:val="28"/>
              <w:szCs w:val="32"/>
            </w:rPr>
            <w:fldChar w:fldCharType="begin"/>
          </w:r>
          <w:r>
            <w:rPr>
              <w:sz w:val="28"/>
              <w:szCs w:val="32"/>
            </w:rPr>
            <w:instrText xml:space="preserve"> PAGEREF _Toc133150276 \h </w:instrText>
          </w:r>
          <w:r>
            <w:rPr>
              <w:sz w:val="28"/>
              <w:szCs w:val="32"/>
            </w:rPr>
            <w:fldChar w:fldCharType="separate"/>
          </w:r>
          <w:r>
            <w:rPr>
              <w:sz w:val="28"/>
              <w:szCs w:val="32"/>
            </w:rPr>
            <w:t>- 5 -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"_Toc133150277" </w:instrText>
          </w:r>
          <w:r>
            <w:fldChar w:fldCharType="separate"/>
          </w:r>
          <w:r>
            <w:rPr>
              <w:rStyle w:val="20"/>
              <w:rFonts w:hint="eastAsia" w:ascii="等线" w:hAnsi="等线" w:eastAsia="楷体_GB2312"/>
              <w:bCs/>
              <w:sz w:val="28"/>
              <w:szCs w:val="32"/>
            </w:rPr>
            <w:t>（一）指导思想</w:t>
          </w:r>
          <w:r>
            <w:rPr>
              <w:sz w:val="28"/>
              <w:szCs w:val="32"/>
            </w:rPr>
            <w:tab/>
          </w:r>
          <w:r>
            <w:rPr>
              <w:sz w:val="28"/>
              <w:szCs w:val="32"/>
            </w:rPr>
            <w:fldChar w:fldCharType="begin"/>
          </w:r>
          <w:r>
            <w:rPr>
              <w:sz w:val="28"/>
              <w:szCs w:val="32"/>
            </w:rPr>
            <w:instrText xml:space="preserve"> PAGEREF _Toc133150277 \h </w:instrText>
          </w:r>
          <w:r>
            <w:rPr>
              <w:sz w:val="28"/>
              <w:szCs w:val="32"/>
            </w:rPr>
            <w:fldChar w:fldCharType="separate"/>
          </w:r>
          <w:r>
            <w:rPr>
              <w:sz w:val="28"/>
              <w:szCs w:val="32"/>
            </w:rPr>
            <w:t>- 5 -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"_Toc133150278" </w:instrText>
          </w:r>
          <w:r>
            <w:fldChar w:fldCharType="separate"/>
          </w:r>
          <w:r>
            <w:rPr>
              <w:rStyle w:val="20"/>
              <w:rFonts w:hint="eastAsia" w:ascii="等线" w:hAnsi="等线" w:eastAsia="楷体_GB2312"/>
              <w:bCs/>
              <w:sz w:val="28"/>
              <w:szCs w:val="32"/>
            </w:rPr>
            <w:t>（二）基本原则</w:t>
          </w:r>
          <w:r>
            <w:rPr>
              <w:sz w:val="28"/>
              <w:szCs w:val="32"/>
            </w:rPr>
            <w:tab/>
          </w:r>
          <w:r>
            <w:rPr>
              <w:sz w:val="28"/>
              <w:szCs w:val="32"/>
            </w:rPr>
            <w:fldChar w:fldCharType="begin"/>
          </w:r>
          <w:r>
            <w:rPr>
              <w:sz w:val="28"/>
              <w:szCs w:val="32"/>
            </w:rPr>
            <w:instrText xml:space="preserve"> PAGEREF _Toc133150278 \h </w:instrText>
          </w:r>
          <w:r>
            <w:rPr>
              <w:sz w:val="28"/>
              <w:szCs w:val="32"/>
            </w:rPr>
            <w:fldChar w:fldCharType="separate"/>
          </w:r>
          <w:r>
            <w:rPr>
              <w:sz w:val="28"/>
              <w:szCs w:val="32"/>
            </w:rPr>
            <w:t>- 5 -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"_Toc133150279" </w:instrText>
          </w:r>
          <w:r>
            <w:fldChar w:fldCharType="separate"/>
          </w:r>
          <w:r>
            <w:rPr>
              <w:rStyle w:val="20"/>
              <w:rFonts w:hint="eastAsia" w:ascii="等线" w:hAnsi="等线" w:eastAsia="楷体_GB2312"/>
              <w:bCs/>
              <w:sz w:val="28"/>
              <w:szCs w:val="32"/>
            </w:rPr>
            <w:t>（三）战略定位</w:t>
          </w:r>
          <w:r>
            <w:rPr>
              <w:sz w:val="28"/>
              <w:szCs w:val="32"/>
            </w:rPr>
            <w:tab/>
          </w:r>
          <w:r>
            <w:rPr>
              <w:sz w:val="28"/>
              <w:szCs w:val="32"/>
            </w:rPr>
            <w:fldChar w:fldCharType="begin"/>
          </w:r>
          <w:r>
            <w:rPr>
              <w:sz w:val="28"/>
              <w:szCs w:val="32"/>
            </w:rPr>
            <w:instrText xml:space="preserve"> PAGEREF _Toc133150279 \h </w:instrText>
          </w:r>
          <w:r>
            <w:rPr>
              <w:sz w:val="28"/>
              <w:szCs w:val="32"/>
            </w:rPr>
            <w:fldChar w:fldCharType="separate"/>
          </w:r>
          <w:r>
            <w:rPr>
              <w:sz w:val="28"/>
              <w:szCs w:val="32"/>
            </w:rPr>
            <w:t>- 6 -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"_Toc133150280" </w:instrText>
          </w:r>
          <w:r>
            <w:fldChar w:fldCharType="separate"/>
          </w:r>
          <w:r>
            <w:rPr>
              <w:rStyle w:val="20"/>
              <w:rFonts w:hint="eastAsia" w:ascii="等线" w:hAnsi="等线" w:eastAsia="楷体_GB2312"/>
              <w:bCs/>
              <w:sz w:val="28"/>
              <w:szCs w:val="32"/>
            </w:rPr>
            <w:t>（四）目标指标</w:t>
          </w:r>
          <w:r>
            <w:rPr>
              <w:sz w:val="28"/>
              <w:szCs w:val="32"/>
            </w:rPr>
            <w:tab/>
          </w:r>
          <w:r>
            <w:rPr>
              <w:sz w:val="28"/>
              <w:szCs w:val="32"/>
            </w:rPr>
            <w:fldChar w:fldCharType="begin"/>
          </w:r>
          <w:r>
            <w:rPr>
              <w:sz w:val="28"/>
              <w:szCs w:val="32"/>
            </w:rPr>
            <w:instrText xml:space="preserve"> PAGEREF _Toc133150280 \h </w:instrText>
          </w:r>
          <w:r>
            <w:rPr>
              <w:sz w:val="28"/>
              <w:szCs w:val="32"/>
            </w:rPr>
            <w:fldChar w:fldCharType="separate"/>
          </w:r>
          <w:r>
            <w:rPr>
              <w:sz w:val="28"/>
              <w:szCs w:val="32"/>
            </w:rPr>
            <w:t>- 7 -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"_Toc133150281" </w:instrText>
          </w:r>
          <w:r>
            <w:fldChar w:fldCharType="separate"/>
          </w:r>
          <w:r>
            <w:rPr>
              <w:rStyle w:val="20"/>
              <w:rFonts w:hint="eastAsia" w:ascii="等线" w:hAnsi="等线" w:eastAsia="黑体"/>
              <w:bCs/>
              <w:kern w:val="44"/>
              <w:sz w:val="28"/>
              <w:szCs w:val="32"/>
            </w:rPr>
            <w:t>三、蓝绿交织，打造共享自然生态和谐之城</w:t>
          </w:r>
          <w:r>
            <w:rPr>
              <w:sz w:val="28"/>
              <w:szCs w:val="32"/>
            </w:rPr>
            <w:tab/>
          </w:r>
          <w:r>
            <w:rPr>
              <w:sz w:val="28"/>
              <w:szCs w:val="32"/>
            </w:rPr>
            <w:fldChar w:fldCharType="begin"/>
          </w:r>
          <w:r>
            <w:rPr>
              <w:sz w:val="28"/>
              <w:szCs w:val="32"/>
            </w:rPr>
            <w:instrText xml:space="preserve"> PAGEREF _Toc133150281 \h </w:instrText>
          </w:r>
          <w:r>
            <w:rPr>
              <w:sz w:val="28"/>
              <w:szCs w:val="32"/>
            </w:rPr>
            <w:fldChar w:fldCharType="separate"/>
          </w:r>
          <w:r>
            <w:rPr>
              <w:sz w:val="28"/>
              <w:szCs w:val="32"/>
            </w:rPr>
            <w:t>- 8 -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"_Toc133150282" </w:instrText>
          </w:r>
          <w:r>
            <w:fldChar w:fldCharType="separate"/>
          </w:r>
          <w:r>
            <w:rPr>
              <w:rStyle w:val="20"/>
              <w:rFonts w:hint="eastAsia" w:ascii="等线 Light" w:hAnsi="等线 Light" w:eastAsia="楷体_GB2312"/>
              <w:bCs/>
              <w:sz w:val="28"/>
              <w:szCs w:val="32"/>
            </w:rPr>
            <w:t>（一）保护山海相依生态空间</w:t>
          </w:r>
          <w:r>
            <w:rPr>
              <w:sz w:val="28"/>
              <w:szCs w:val="32"/>
            </w:rPr>
            <w:tab/>
          </w:r>
          <w:r>
            <w:rPr>
              <w:sz w:val="28"/>
              <w:szCs w:val="32"/>
            </w:rPr>
            <w:fldChar w:fldCharType="begin"/>
          </w:r>
          <w:r>
            <w:rPr>
              <w:sz w:val="28"/>
              <w:szCs w:val="32"/>
            </w:rPr>
            <w:instrText xml:space="preserve"> PAGEREF _Toc133150282 \h </w:instrText>
          </w:r>
          <w:r>
            <w:rPr>
              <w:sz w:val="28"/>
              <w:szCs w:val="32"/>
            </w:rPr>
            <w:fldChar w:fldCharType="separate"/>
          </w:r>
          <w:r>
            <w:rPr>
              <w:sz w:val="28"/>
              <w:szCs w:val="32"/>
            </w:rPr>
            <w:t>- 8 -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"_Toc133150283" </w:instrText>
          </w:r>
          <w:r>
            <w:fldChar w:fldCharType="separate"/>
          </w:r>
          <w:r>
            <w:rPr>
              <w:rStyle w:val="20"/>
              <w:rFonts w:hint="eastAsia" w:ascii="等线" w:hAnsi="等线" w:eastAsia="楷体_GB2312"/>
              <w:bCs/>
              <w:sz w:val="28"/>
              <w:szCs w:val="32"/>
            </w:rPr>
            <w:t>（二）深化自然生态保护修复</w:t>
          </w:r>
          <w:r>
            <w:rPr>
              <w:sz w:val="28"/>
              <w:szCs w:val="32"/>
            </w:rPr>
            <w:tab/>
          </w:r>
          <w:r>
            <w:rPr>
              <w:sz w:val="28"/>
              <w:szCs w:val="32"/>
            </w:rPr>
            <w:fldChar w:fldCharType="begin"/>
          </w:r>
          <w:r>
            <w:rPr>
              <w:sz w:val="28"/>
              <w:szCs w:val="32"/>
            </w:rPr>
            <w:instrText xml:space="preserve"> PAGEREF _Toc133150283 \h </w:instrText>
          </w:r>
          <w:r>
            <w:rPr>
              <w:sz w:val="28"/>
              <w:szCs w:val="32"/>
            </w:rPr>
            <w:fldChar w:fldCharType="separate"/>
          </w:r>
          <w:r>
            <w:rPr>
              <w:sz w:val="28"/>
              <w:szCs w:val="32"/>
            </w:rPr>
            <w:t>- 9 -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"_Toc133150284" </w:instrText>
          </w:r>
          <w:r>
            <w:fldChar w:fldCharType="separate"/>
          </w:r>
          <w:r>
            <w:rPr>
              <w:rStyle w:val="20"/>
              <w:rFonts w:hint="eastAsia" w:eastAsia="楷体_GB2312"/>
              <w:bCs/>
              <w:sz w:val="28"/>
              <w:szCs w:val="32"/>
            </w:rPr>
            <w:t>（三）强化陆海一体生态监管</w:t>
          </w:r>
          <w:r>
            <w:rPr>
              <w:sz w:val="28"/>
              <w:szCs w:val="32"/>
            </w:rPr>
            <w:tab/>
          </w:r>
          <w:r>
            <w:rPr>
              <w:sz w:val="28"/>
              <w:szCs w:val="32"/>
            </w:rPr>
            <w:fldChar w:fldCharType="begin"/>
          </w:r>
          <w:r>
            <w:rPr>
              <w:sz w:val="28"/>
              <w:szCs w:val="32"/>
            </w:rPr>
            <w:instrText xml:space="preserve"> PAGEREF _Toc133150284 \h </w:instrText>
          </w:r>
          <w:r>
            <w:rPr>
              <w:sz w:val="28"/>
              <w:szCs w:val="32"/>
            </w:rPr>
            <w:fldChar w:fldCharType="separate"/>
          </w:r>
          <w:r>
            <w:rPr>
              <w:sz w:val="28"/>
              <w:szCs w:val="32"/>
            </w:rPr>
            <w:t>- 10 -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"_Toc133150285" </w:instrText>
          </w:r>
          <w:r>
            <w:fldChar w:fldCharType="separate"/>
          </w:r>
          <w:r>
            <w:rPr>
              <w:rStyle w:val="20"/>
              <w:rFonts w:hint="eastAsia" w:ascii="等线 Light" w:hAnsi="等线 Light" w:eastAsia="楷体_GB2312"/>
              <w:bCs/>
              <w:sz w:val="28"/>
              <w:szCs w:val="32"/>
            </w:rPr>
            <w:t>（四）建设生物友好湾区城市</w:t>
          </w:r>
          <w:r>
            <w:rPr>
              <w:sz w:val="28"/>
              <w:szCs w:val="32"/>
            </w:rPr>
            <w:tab/>
          </w:r>
          <w:r>
            <w:rPr>
              <w:sz w:val="28"/>
              <w:szCs w:val="32"/>
            </w:rPr>
            <w:fldChar w:fldCharType="begin"/>
          </w:r>
          <w:r>
            <w:rPr>
              <w:sz w:val="28"/>
              <w:szCs w:val="32"/>
            </w:rPr>
            <w:instrText xml:space="preserve"> PAGEREF _Toc133150285 \h </w:instrText>
          </w:r>
          <w:r>
            <w:rPr>
              <w:sz w:val="28"/>
              <w:szCs w:val="32"/>
            </w:rPr>
            <w:fldChar w:fldCharType="separate"/>
          </w:r>
          <w:r>
            <w:rPr>
              <w:sz w:val="28"/>
              <w:szCs w:val="32"/>
            </w:rPr>
            <w:t>- 11 -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"_Toc133150286" </w:instrText>
          </w:r>
          <w:r>
            <w:fldChar w:fldCharType="separate"/>
          </w:r>
          <w:r>
            <w:rPr>
              <w:rStyle w:val="20"/>
              <w:rFonts w:hint="eastAsia" w:ascii="等线" w:hAnsi="等线" w:eastAsia="黑体"/>
              <w:bCs/>
              <w:kern w:val="44"/>
              <w:sz w:val="28"/>
              <w:szCs w:val="32"/>
            </w:rPr>
            <w:t>四、协同共治，打造碧海蓝天环境品质之城</w:t>
          </w:r>
          <w:r>
            <w:rPr>
              <w:sz w:val="28"/>
              <w:szCs w:val="32"/>
            </w:rPr>
            <w:tab/>
          </w:r>
          <w:r>
            <w:rPr>
              <w:sz w:val="28"/>
              <w:szCs w:val="32"/>
            </w:rPr>
            <w:fldChar w:fldCharType="begin"/>
          </w:r>
          <w:r>
            <w:rPr>
              <w:sz w:val="28"/>
              <w:szCs w:val="32"/>
            </w:rPr>
            <w:instrText xml:space="preserve"> PAGEREF _Toc133150286 \h </w:instrText>
          </w:r>
          <w:r>
            <w:rPr>
              <w:sz w:val="28"/>
              <w:szCs w:val="32"/>
            </w:rPr>
            <w:fldChar w:fldCharType="separate"/>
          </w:r>
          <w:r>
            <w:rPr>
              <w:sz w:val="28"/>
              <w:szCs w:val="32"/>
            </w:rPr>
            <w:t>- 13 -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"_Toc133150287" </w:instrText>
          </w:r>
          <w:r>
            <w:fldChar w:fldCharType="separate"/>
          </w:r>
          <w:r>
            <w:rPr>
              <w:rStyle w:val="20"/>
              <w:rFonts w:hint="eastAsia" w:eastAsia="楷体_GB2312"/>
              <w:bCs/>
              <w:sz w:val="28"/>
              <w:szCs w:val="32"/>
            </w:rPr>
            <w:t>（一）打造“青岛蓝”清新空气示范区</w:t>
          </w:r>
          <w:r>
            <w:rPr>
              <w:sz w:val="28"/>
              <w:szCs w:val="32"/>
            </w:rPr>
            <w:tab/>
          </w:r>
          <w:r>
            <w:rPr>
              <w:sz w:val="28"/>
              <w:szCs w:val="32"/>
            </w:rPr>
            <w:fldChar w:fldCharType="begin"/>
          </w:r>
          <w:r>
            <w:rPr>
              <w:sz w:val="28"/>
              <w:szCs w:val="32"/>
            </w:rPr>
            <w:instrText xml:space="preserve"> PAGEREF _Toc133150287 \h </w:instrText>
          </w:r>
          <w:r>
            <w:rPr>
              <w:sz w:val="28"/>
              <w:szCs w:val="32"/>
            </w:rPr>
            <w:fldChar w:fldCharType="separate"/>
          </w:r>
          <w:r>
            <w:rPr>
              <w:sz w:val="28"/>
              <w:szCs w:val="32"/>
            </w:rPr>
            <w:t>- 13 -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"_Toc133150288" </w:instrText>
          </w:r>
          <w:r>
            <w:fldChar w:fldCharType="separate"/>
          </w:r>
          <w:r>
            <w:rPr>
              <w:rStyle w:val="20"/>
              <w:rFonts w:hint="eastAsia" w:eastAsia="楷体_GB2312"/>
              <w:bCs/>
              <w:sz w:val="28"/>
              <w:szCs w:val="32"/>
            </w:rPr>
            <w:t>（二）</w:t>
          </w:r>
          <w:r>
            <w:rPr>
              <w:rStyle w:val="20"/>
              <w:rFonts w:hint="eastAsia" w:eastAsia="楷体_GB2312" w:asciiTheme="minorHAnsi" w:hAnsiTheme="minorHAnsi" w:cstheme="minorBidi"/>
              <w:bCs/>
              <w:sz w:val="28"/>
              <w:szCs w:val="32"/>
            </w:rPr>
            <w:t>高质量打造北方美丽河湖样板</w:t>
          </w:r>
          <w:r>
            <w:rPr>
              <w:sz w:val="28"/>
              <w:szCs w:val="32"/>
            </w:rPr>
            <w:tab/>
          </w:r>
          <w:r>
            <w:rPr>
              <w:sz w:val="28"/>
              <w:szCs w:val="32"/>
            </w:rPr>
            <w:fldChar w:fldCharType="begin"/>
          </w:r>
          <w:r>
            <w:rPr>
              <w:sz w:val="28"/>
              <w:szCs w:val="32"/>
            </w:rPr>
            <w:instrText xml:space="preserve"> PAGEREF _Toc133150288 \h </w:instrText>
          </w:r>
          <w:r>
            <w:rPr>
              <w:sz w:val="28"/>
              <w:szCs w:val="32"/>
            </w:rPr>
            <w:fldChar w:fldCharType="separate"/>
          </w:r>
          <w:r>
            <w:rPr>
              <w:sz w:val="28"/>
              <w:szCs w:val="32"/>
            </w:rPr>
            <w:t>- 14 -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"_Toc133150289" </w:instrText>
          </w:r>
          <w:r>
            <w:fldChar w:fldCharType="separate"/>
          </w:r>
          <w:r>
            <w:rPr>
              <w:rStyle w:val="20"/>
              <w:rFonts w:hint="eastAsia" w:eastAsia="楷体_GB2312"/>
              <w:bCs/>
              <w:sz w:val="28"/>
              <w:szCs w:val="32"/>
            </w:rPr>
            <w:t>（三）高标准推进全域美丽海湾建设</w:t>
          </w:r>
          <w:r>
            <w:rPr>
              <w:sz w:val="28"/>
              <w:szCs w:val="32"/>
            </w:rPr>
            <w:tab/>
          </w:r>
          <w:r>
            <w:rPr>
              <w:sz w:val="28"/>
              <w:szCs w:val="32"/>
            </w:rPr>
            <w:fldChar w:fldCharType="begin"/>
          </w:r>
          <w:r>
            <w:rPr>
              <w:sz w:val="28"/>
              <w:szCs w:val="32"/>
            </w:rPr>
            <w:instrText xml:space="preserve"> PAGEREF _Toc133150289 \h </w:instrText>
          </w:r>
          <w:r>
            <w:rPr>
              <w:sz w:val="28"/>
              <w:szCs w:val="32"/>
            </w:rPr>
            <w:fldChar w:fldCharType="separate"/>
          </w:r>
          <w:r>
            <w:rPr>
              <w:sz w:val="28"/>
              <w:szCs w:val="32"/>
            </w:rPr>
            <w:t>- 15 -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"_Toc133150290" </w:instrText>
          </w:r>
          <w:r>
            <w:fldChar w:fldCharType="separate"/>
          </w:r>
          <w:r>
            <w:rPr>
              <w:rStyle w:val="20"/>
              <w:rFonts w:hint="eastAsia" w:eastAsia="楷体_GB2312"/>
              <w:bCs/>
              <w:sz w:val="28"/>
              <w:szCs w:val="32"/>
            </w:rPr>
            <w:t>（四）建设国家土壤污染防治先行区</w:t>
          </w:r>
          <w:r>
            <w:rPr>
              <w:sz w:val="28"/>
              <w:szCs w:val="32"/>
            </w:rPr>
            <w:tab/>
          </w:r>
          <w:r>
            <w:rPr>
              <w:sz w:val="28"/>
              <w:szCs w:val="32"/>
            </w:rPr>
            <w:fldChar w:fldCharType="begin"/>
          </w:r>
          <w:r>
            <w:rPr>
              <w:sz w:val="28"/>
              <w:szCs w:val="32"/>
            </w:rPr>
            <w:instrText xml:space="preserve"> PAGEREF _Toc133150290 \h </w:instrText>
          </w:r>
          <w:r>
            <w:rPr>
              <w:sz w:val="28"/>
              <w:szCs w:val="32"/>
            </w:rPr>
            <w:fldChar w:fldCharType="separate"/>
          </w:r>
          <w:r>
            <w:rPr>
              <w:sz w:val="28"/>
              <w:szCs w:val="32"/>
            </w:rPr>
            <w:t>- 16 -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"_Toc133150291" </w:instrText>
          </w:r>
          <w:r>
            <w:fldChar w:fldCharType="separate"/>
          </w:r>
          <w:r>
            <w:rPr>
              <w:rStyle w:val="20"/>
              <w:rFonts w:hint="eastAsia" w:ascii="等线" w:hAnsi="等线" w:eastAsia="黑体"/>
              <w:bCs/>
              <w:kern w:val="44"/>
              <w:sz w:val="28"/>
              <w:szCs w:val="32"/>
            </w:rPr>
            <w:t>五、多维联动，打造环境健康安全韧性之城</w:t>
          </w:r>
          <w:r>
            <w:rPr>
              <w:sz w:val="28"/>
              <w:szCs w:val="32"/>
            </w:rPr>
            <w:tab/>
          </w:r>
          <w:r>
            <w:rPr>
              <w:sz w:val="28"/>
              <w:szCs w:val="32"/>
            </w:rPr>
            <w:fldChar w:fldCharType="begin"/>
          </w:r>
          <w:r>
            <w:rPr>
              <w:sz w:val="28"/>
              <w:szCs w:val="32"/>
            </w:rPr>
            <w:instrText xml:space="preserve"> PAGEREF _Toc133150291 \h </w:instrText>
          </w:r>
          <w:r>
            <w:rPr>
              <w:sz w:val="28"/>
              <w:szCs w:val="32"/>
            </w:rPr>
            <w:fldChar w:fldCharType="separate"/>
          </w:r>
          <w:r>
            <w:rPr>
              <w:sz w:val="28"/>
              <w:szCs w:val="32"/>
            </w:rPr>
            <w:t>- 18 -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"_Toc133150292" </w:instrText>
          </w:r>
          <w:r>
            <w:fldChar w:fldCharType="separate"/>
          </w:r>
          <w:r>
            <w:rPr>
              <w:rStyle w:val="20"/>
              <w:rFonts w:hint="eastAsia" w:eastAsia="楷体_GB2312"/>
              <w:bCs/>
              <w:sz w:val="28"/>
              <w:szCs w:val="32"/>
            </w:rPr>
            <w:t>（一）守护生态环境安全底线</w:t>
          </w:r>
          <w:r>
            <w:rPr>
              <w:sz w:val="28"/>
              <w:szCs w:val="32"/>
            </w:rPr>
            <w:tab/>
          </w:r>
          <w:r>
            <w:rPr>
              <w:sz w:val="28"/>
              <w:szCs w:val="32"/>
            </w:rPr>
            <w:fldChar w:fldCharType="begin"/>
          </w:r>
          <w:r>
            <w:rPr>
              <w:sz w:val="28"/>
              <w:szCs w:val="32"/>
            </w:rPr>
            <w:instrText xml:space="preserve"> PAGEREF _Toc133150292 \h </w:instrText>
          </w:r>
          <w:r>
            <w:rPr>
              <w:sz w:val="28"/>
              <w:szCs w:val="32"/>
            </w:rPr>
            <w:fldChar w:fldCharType="separate"/>
          </w:r>
          <w:r>
            <w:rPr>
              <w:sz w:val="28"/>
              <w:szCs w:val="32"/>
            </w:rPr>
            <w:t>- 18 -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"_Toc133150293" </w:instrText>
          </w:r>
          <w:r>
            <w:fldChar w:fldCharType="separate"/>
          </w:r>
          <w:r>
            <w:rPr>
              <w:rStyle w:val="20"/>
              <w:rFonts w:hint="eastAsia" w:eastAsia="楷体_GB2312"/>
              <w:bCs/>
              <w:sz w:val="28"/>
              <w:szCs w:val="32"/>
            </w:rPr>
            <w:t>（二）提升城市气候韧性能力</w:t>
          </w:r>
          <w:r>
            <w:rPr>
              <w:sz w:val="28"/>
              <w:szCs w:val="32"/>
            </w:rPr>
            <w:tab/>
          </w:r>
          <w:r>
            <w:rPr>
              <w:sz w:val="28"/>
              <w:szCs w:val="32"/>
            </w:rPr>
            <w:fldChar w:fldCharType="begin"/>
          </w:r>
          <w:r>
            <w:rPr>
              <w:sz w:val="28"/>
              <w:szCs w:val="32"/>
            </w:rPr>
            <w:instrText xml:space="preserve"> PAGEREF _Toc133150293 \h </w:instrText>
          </w:r>
          <w:r>
            <w:rPr>
              <w:sz w:val="28"/>
              <w:szCs w:val="32"/>
            </w:rPr>
            <w:fldChar w:fldCharType="separate"/>
          </w:r>
          <w:r>
            <w:rPr>
              <w:sz w:val="28"/>
              <w:szCs w:val="32"/>
            </w:rPr>
            <w:t>- 19 -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"_Toc133150294" </w:instrText>
          </w:r>
          <w:r>
            <w:fldChar w:fldCharType="separate"/>
          </w:r>
          <w:r>
            <w:rPr>
              <w:rStyle w:val="20"/>
              <w:rFonts w:hint="eastAsia" w:ascii="仿宋" w:hAnsi="仿宋" w:eastAsia="楷体_GB2312"/>
              <w:bCs/>
              <w:sz w:val="28"/>
              <w:szCs w:val="32"/>
            </w:rPr>
            <w:t>（三）健全环境健康保障体系</w:t>
          </w:r>
          <w:r>
            <w:rPr>
              <w:sz w:val="28"/>
              <w:szCs w:val="32"/>
            </w:rPr>
            <w:tab/>
          </w:r>
          <w:r>
            <w:rPr>
              <w:sz w:val="28"/>
              <w:szCs w:val="32"/>
            </w:rPr>
            <w:fldChar w:fldCharType="begin"/>
          </w:r>
          <w:r>
            <w:rPr>
              <w:sz w:val="28"/>
              <w:szCs w:val="32"/>
            </w:rPr>
            <w:instrText xml:space="preserve"> PAGEREF _Toc133150294 \h </w:instrText>
          </w:r>
          <w:r>
            <w:rPr>
              <w:sz w:val="28"/>
              <w:szCs w:val="32"/>
            </w:rPr>
            <w:fldChar w:fldCharType="separate"/>
          </w:r>
          <w:r>
            <w:rPr>
              <w:sz w:val="28"/>
              <w:szCs w:val="32"/>
            </w:rPr>
            <w:t>- 20 -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"_Toc133150295" </w:instrText>
          </w:r>
          <w:r>
            <w:fldChar w:fldCharType="separate"/>
          </w:r>
          <w:r>
            <w:rPr>
              <w:rStyle w:val="20"/>
              <w:rFonts w:hint="eastAsia" w:ascii="等线" w:hAnsi="等线" w:eastAsia="黑体"/>
              <w:bCs/>
              <w:kern w:val="44"/>
              <w:sz w:val="28"/>
              <w:szCs w:val="32"/>
            </w:rPr>
            <w:t>六、城乡统筹，打造同美普惠宜居典范之城</w:t>
          </w:r>
          <w:r>
            <w:rPr>
              <w:sz w:val="28"/>
              <w:szCs w:val="32"/>
            </w:rPr>
            <w:tab/>
          </w:r>
          <w:r>
            <w:rPr>
              <w:sz w:val="28"/>
              <w:szCs w:val="32"/>
            </w:rPr>
            <w:fldChar w:fldCharType="begin"/>
          </w:r>
          <w:r>
            <w:rPr>
              <w:sz w:val="28"/>
              <w:szCs w:val="32"/>
            </w:rPr>
            <w:instrText xml:space="preserve"> PAGEREF _Toc133150295 \h </w:instrText>
          </w:r>
          <w:r>
            <w:rPr>
              <w:sz w:val="28"/>
              <w:szCs w:val="32"/>
            </w:rPr>
            <w:fldChar w:fldCharType="separate"/>
          </w:r>
          <w:r>
            <w:rPr>
              <w:sz w:val="28"/>
              <w:szCs w:val="32"/>
            </w:rPr>
            <w:t>- 22 -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"_Toc133150296" </w:instrText>
          </w:r>
          <w:r>
            <w:fldChar w:fldCharType="separate"/>
          </w:r>
          <w:r>
            <w:rPr>
              <w:rStyle w:val="20"/>
              <w:rFonts w:hint="eastAsia" w:eastAsia="楷体_GB2312"/>
              <w:bCs/>
              <w:sz w:val="28"/>
              <w:szCs w:val="32"/>
            </w:rPr>
            <w:t>（一）推动城乡统筹协同发展</w:t>
          </w:r>
          <w:r>
            <w:rPr>
              <w:sz w:val="28"/>
              <w:szCs w:val="32"/>
            </w:rPr>
            <w:tab/>
          </w:r>
          <w:r>
            <w:rPr>
              <w:sz w:val="28"/>
              <w:szCs w:val="32"/>
            </w:rPr>
            <w:fldChar w:fldCharType="begin"/>
          </w:r>
          <w:r>
            <w:rPr>
              <w:sz w:val="28"/>
              <w:szCs w:val="32"/>
            </w:rPr>
            <w:instrText xml:space="preserve"> PAGEREF _Toc133150296 \h </w:instrText>
          </w:r>
          <w:r>
            <w:rPr>
              <w:sz w:val="28"/>
              <w:szCs w:val="32"/>
            </w:rPr>
            <w:fldChar w:fldCharType="separate"/>
          </w:r>
          <w:r>
            <w:rPr>
              <w:sz w:val="28"/>
              <w:szCs w:val="32"/>
            </w:rPr>
            <w:t>- 22 -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"_Toc133150297" </w:instrText>
          </w:r>
          <w:r>
            <w:fldChar w:fldCharType="separate"/>
          </w:r>
          <w:r>
            <w:rPr>
              <w:rStyle w:val="20"/>
              <w:rFonts w:hint="eastAsia" w:eastAsia="楷体_GB2312"/>
              <w:bCs/>
              <w:sz w:val="28"/>
              <w:szCs w:val="32"/>
            </w:rPr>
            <w:t>（二）建设全域公园美丽城市</w:t>
          </w:r>
          <w:r>
            <w:rPr>
              <w:sz w:val="28"/>
              <w:szCs w:val="32"/>
            </w:rPr>
            <w:tab/>
          </w:r>
          <w:r>
            <w:rPr>
              <w:sz w:val="28"/>
              <w:szCs w:val="32"/>
            </w:rPr>
            <w:fldChar w:fldCharType="begin"/>
          </w:r>
          <w:r>
            <w:rPr>
              <w:sz w:val="28"/>
              <w:szCs w:val="32"/>
            </w:rPr>
            <w:instrText xml:space="preserve"> PAGEREF _Toc133150297 \h </w:instrText>
          </w:r>
          <w:r>
            <w:rPr>
              <w:sz w:val="28"/>
              <w:szCs w:val="32"/>
            </w:rPr>
            <w:fldChar w:fldCharType="separate"/>
          </w:r>
          <w:r>
            <w:rPr>
              <w:sz w:val="28"/>
              <w:szCs w:val="32"/>
            </w:rPr>
            <w:t>- 23 -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"_Toc133150298" </w:instrText>
          </w:r>
          <w:r>
            <w:fldChar w:fldCharType="separate"/>
          </w:r>
          <w:r>
            <w:rPr>
              <w:rStyle w:val="20"/>
              <w:rFonts w:hint="eastAsia" w:eastAsia="楷体_GB2312"/>
              <w:bCs/>
              <w:sz w:val="28"/>
              <w:szCs w:val="32"/>
            </w:rPr>
            <w:t>（三）打造美丽宜居特色城镇</w:t>
          </w:r>
          <w:r>
            <w:rPr>
              <w:sz w:val="28"/>
              <w:szCs w:val="32"/>
            </w:rPr>
            <w:tab/>
          </w:r>
          <w:r>
            <w:rPr>
              <w:sz w:val="28"/>
              <w:szCs w:val="32"/>
            </w:rPr>
            <w:fldChar w:fldCharType="begin"/>
          </w:r>
          <w:r>
            <w:rPr>
              <w:sz w:val="28"/>
              <w:szCs w:val="32"/>
            </w:rPr>
            <w:instrText xml:space="preserve"> PAGEREF _Toc133150298 \h </w:instrText>
          </w:r>
          <w:r>
            <w:rPr>
              <w:sz w:val="28"/>
              <w:szCs w:val="32"/>
            </w:rPr>
            <w:fldChar w:fldCharType="separate"/>
          </w:r>
          <w:r>
            <w:rPr>
              <w:sz w:val="28"/>
              <w:szCs w:val="32"/>
            </w:rPr>
            <w:t>- 25 -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"_Toc133150299" </w:instrText>
          </w:r>
          <w:r>
            <w:fldChar w:fldCharType="separate"/>
          </w:r>
          <w:r>
            <w:rPr>
              <w:rStyle w:val="20"/>
              <w:rFonts w:hint="eastAsia" w:eastAsia="楷体_GB2312"/>
              <w:bCs/>
              <w:sz w:val="28"/>
              <w:szCs w:val="32"/>
            </w:rPr>
            <w:t>（四）建设宜居宜业和美乡村</w:t>
          </w:r>
          <w:r>
            <w:rPr>
              <w:sz w:val="28"/>
              <w:szCs w:val="32"/>
            </w:rPr>
            <w:tab/>
          </w:r>
          <w:r>
            <w:rPr>
              <w:sz w:val="28"/>
              <w:szCs w:val="32"/>
            </w:rPr>
            <w:fldChar w:fldCharType="begin"/>
          </w:r>
          <w:r>
            <w:rPr>
              <w:sz w:val="28"/>
              <w:szCs w:val="32"/>
            </w:rPr>
            <w:instrText xml:space="preserve"> PAGEREF _Toc133150299 \h </w:instrText>
          </w:r>
          <w:r>
            <w:rPr>
              <w:sz w:val="28"/>
              <w:szCs w:val="32"/>
            </w:rPr>
            <w:fldChar w:fldCharType="separate"/>
          </w:r>
          <w:r>
            <w:rPr>
              <w:sz w:val="28"/>
              <w:szCs w:val="32"/>
            </w:rPr>
            <w:t>- 26 -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"_Toc133150300" </w:instrText>
          </w:r>
          <w:r>
            <w:fldChar w:fldCharType="separate"/>
          </w:r>
          <w:r>
            <w:rPr>
              <w:rStyle w:val="20"/>
              <w:rFonts w:hint="eastAsia" w:ascii="等线" w:hAnsi="等线" w:eastAsia="黑体"/>
              <w:bCs/>
              <w:kern w:val="44"/>
              <w:sz w:val="28"/>
              <w:szCs w:val="32"/>
            </w:rPr>
            <w:t>七、产城共兴，打造绿色低碳发展先行之城</w:t>
          </w:r>
          <w:r>
            <w:rPr>
              <w:sz w:val="28"/>
              <w:szCs w:val="32"/>
            </w:rPr>
            <w:tab/>
          </w:r>
          <w:r>
            <w:rPr>
              <w:sz w:val="28"/>
              <w:szCs w:val="32"/>
            </w:rPr>
            <w:fldChar w:fldCharType="begin"/>
          </w:r>
          <w:r>
            <w:rPr>
              <w:sz w:val="28"/>
              <w:szCs w:val="32"/>
            </w:rPr>
            <w:instrText xml:space="preserve"> PAGEREF _Toc133150300 \h </w:instrText>
          </w:r>
          <w:r>
            <w:rPr>
              <w:sz w:val="28"/>
              <w:szCs w:val="32"/>
            </w:rPr>
            <w:fldChar w:fldCharType="separate"/>
          </w:r>
          <w:r>
            <w:rPr>
              <w:sz w:val="28"/>
              <w:szCs w:val="32"/>
            </w:rPr>
            <w:t>- 28 -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"_Toc133150301" </w:instrText>
          </w:r>
          <w:r>
            <w:fldChar w:fldCharType="separate"/>
          </w:r>
          <w:r>
            <w:rPr>
              <w:rStyle w:val="20"/>
              <w:rFonts w:hint="eastAsia" w:eastAsia="楷体_GB2312"/>
              <w:bCs/>
              <w:sz w:val="28"/>
              <w:szCs w:val="32"/>
            </w:rPr>
            <w:t>（一）先行示范碳达峰碳中和</w:t>
          </w:r>
          <w:r>
            <w:rPr>
              <w:sz w:val="28"/>
              <w:szCs w:val="32"/>
            </w:rPr>
            <w:tab/>
          </w:r>
          <w:r>
            <w:rPr>
              <w:sz w:val="28"/>
              <w:szCs w:val="32"/>
            </w:rPr>
            <w:fldChar w:fldCharType="begin"/>
          </w:r>
          <w:r>
            <w:rPr>
              <w:sz w:val="28"/>
              <w:szCs w:val="32"/>
            </w:rPr>
            <w:instrText xml:space="preserve"> PAGEREF _Toc133150301 \h </w:instrText>
          </w:r>
          <w:r>
            <w:rPr>
              <w:sz w:val="28"/>
              <w:szCs w:val="32"/>
            </w:rPr>
            <w:fldChar w:fldCharType="separate"/>
          </w:r>
          <w:r>
            <w:rPr>
              <w:sz w:val="28"/>
              <w:szCs w:val="32"/>
            </w:rPr>
            <w:t>- 28 -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"_Toc133150302" </w:instrText>
          </w:r>
          <w:r>
            <w:fldChar w:fldCharType="separate"/>
          </w:r>
          <w:r>
            <w:rPr>
              <w:rStyle w:val="20"/>
              <w:rFonts w:hint="eastAsia" w:eastAsia="楷体_GB2312"/>
              <w:bCs/>
              <w:sz w:val="28"/>
              <w:szCs w:val="32"/>
            </w:rPr>
            <w:t>（二）引领绿色低碳产业发展</w:t>
          </w:r>
          <w:r>
            <w:rPr>
              <w:sz w:val="28"/>
              <w:szCs w:val="32"/>
            </w:rPr>
            <w:tab/>
          </w:r>
          <w:r>
            <w:rPr>
              <w:sz w:val="28"/>
              <w:szCs w:val="32"/>
            </w:rPr>
            <w:fldChar w:fldCharType="begin"/>
          </w:r>
          <w:r>
            <w:rPr>
              <w:sz w:val="28"/>
              <w:szCs w:val="32"/>
            </w:rPr>
            <w:instrText xml:space="preserve"> PAGEREF _Toc133150302 \h </w:instrText>
          </w:r>
          <w:r>
            <w:rPr>
              <w:sz w:val="28"/>
              <w:szCs w:val="32"/>
            </w:rPr>
            <w:fldChar w:fldCharType="separate"/>
          </w:r>
          <w:r>
            <w:rPr>
              <w:sz w:val="28"/>
              <w:szCs w:val="32"/>
            </w:rPr>
            <w:t>- 29 -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"_Toc133150303" </w:instrText>
          </w:r>
          <w:r>
            <w:fldChar w:fldCharType="separate"/>
          </w:r>
          <w:r>
            <w:rPr>
              <w:rStyle w:val="20"/>
              <w:rFonts w:hint="eastAsia" w:eastAsia="楷体_GB2312"/>
              <w:bCs/>
              <w:sz w:val="28"/>
              <w:szCs w:val="32"/>
            </w:rPr>
            <w:t>（三）持续激发海洋蓝色动能</w:t>
          </w:r>
          <w:r>
            <w:rPr>
              <w:sz w:val="28"/>
              <w:szCs w:val="32"/>
            </w:rPr>
            <w:tab/>
          </w:r>
          <w:r>
            <w:rPr>
              <w:sz w:val="28"/>
              <w:szCs w:val="32"/>
            </w:rPr>
            <w:fldChar w:fldCharType="begin"/>
          </w:r>
          <w:r>
            <w:rPr>
              <w:sz w:val="28"/>
              <w:szCs w:val="32"/>
            </w:rPr>
            <w:instrText xml:space="preserve"> PAGEREF _Toc133150303 \h </w:instrText>
          </w:r>
          <w:r>
            <w:rPr>
              <w:sz w:val="28"/>
              <w:szCs w:val="32"/>
            </w:rPr>
            <w:fldChar w:fldCharType="separate"/>
          </w:r>
          <w:r>
            <w:rPr>
              <w:sz w:val="28"/>
              <w:szCs w:val="32"/>
            </w:rPr>
            <w:t>- 31 -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"_Toc133150304" </w:instrText>
          </w:r>
          <w:r>
            <w:fldChar w:fldCharType="separate"/>
          </w:r>
          <w:r>
            <w:rPr>
              <w:rStyle w:val="20"/>
              <w:rFonts w:hint="eastAsia" w:eastAsia="楷体_GB2312"/>
              <w:bCs/>
              <w:sz w:val="28"/>
              <w:szCs w:val="32"/>
            </w:rPr>
            <w:t>（四）健全绿色发展支撑体系</w:t>
          </w:r>
          <w:r>
            <w:rPr>
              <w:sz w:val="28"/>
              <w:szCs w:val="32"/>
            </w:rPr>
            <w:tab/>
          </w:r>
          <w:r>
            <w:rPr>
              <w:sz w:val="28"/>
              <w:szCs w:val="32"/>
            </w:rPr>
            <w:fldChar w:fldCharType="begin"/>
          </w:r>
          <w:r>
            <w:rPr>
              <w:sz w:val="28"/>
              <w:szCs w:val="32"/>
            </w:rPr>
            <w:instrText xml:space="preserve"> PAGEREF _Toc133150304 \h </w:instrText>
          </w:r>
          <w:r>
            <w:rPr>
              <w:sz w:val="28"/>
              <w:szCs w:val="32"/>
            </w:rPr>
            <w:fldChar w:fldCharType="separate"/>
          </w:r>
          <w:r>
            <w:rPr>
              <w:sz w:val="28"/>
              <w:szCs w:val="32"/>
            </w:rPr>
            <w:t>- 31 -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"_Toc133150305" </w:instrText>
          </w:r>
          <w:r>
            <w:fldChar w:fldCharType="separate"/>
          </w:r>
          <w:r>
            <w:rPr>
              <w:rStyle w:val="20"/>
              <w:rFonts w:hint="eastAsia" w:ascii="等线" w:hAnsi="等线" w:eastAsia="黑体"/>
              <w:bCs/>
              <w:kern w:val="44"/>
              <w:sz w:val="28"/>
              <w:szCs w:val="32"/>
            </w:rPr>
            <w:t>八、多元包容，打造生态文化魅力出彩之城</w:t>
          </w:r>
          <w:r>
            <w:rPr>
              <w:sz w:val="28"/>
              <w:szCs w:val="32"/>
            </w:rPr>
            <w:tab/>
          </w:r>
          <w:r>
            <w:rPr>
              <w:sz w:val="28"/>
              <w:szCs w:val="32"/>
            </w:rPr>
            <w:fldChar w:fldCharType="begin"/>
          </w:r>
          <w:r>
            <w:rPr>
              <w:sz w:val="28"/>
              <w:szCs w:val="32"/>
            </w:rPr>
            <w:instrText xml:space="preserve"> PAGEREF _Toc133150305 \h </w:instrText>
          </w:r>
          <w:r>
            <w:rPr>
              <w:sz w:val="28"/>
              <w:szCs w:val="32"/>
            </w:rPr>
            <w:fldChar w:fldCharType="separate"/>
          </w:r>
          <w:r>
            <w:rPr>
              <w:sz w:val="28"/>
              <w:szCs w:val="32"/>
            </w:rPr>
            <w:t>- 34 -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"_Toc133150306" </w:instrText>
          </w:r>
          <w:r>
            <w:fldChar w:fldCharType="separate"/>
          </w:r>
          <w:r>
            <w:rPr>
              <w:rStyle w:val="20"/>
              <w:rFonts w:hint="eastAsia" w:eastAsia="楷体_GB2312"/>
              <w:bCs/>
              <w:sz w:val="28"/>
              <w:szCs w:val="32"/>
            </w:rPr>
            <w:t>（一）厚植自然和谐文化底蕴</w:t>
          </w:r>
          <w:r>
            <w:rPr>
              <w:sz w:val="28"/>
              <w:szCs w:val="32"/>
            </w:rPr>
            <w:tab/>
          </w:r>
          <w:r>
            <w:rPr>
              <w:sz w:val="28"/>
              <w:szCs w:val="32"/>
            </w:rPr>
            <w:fldChar w:fldCharType="begin"/>
          </w:r>
          <w:r>
            <w:rPr>
              <w:sz w:val="28"/>
              <w:szCs w:val="32"/>
            </w:rPr>
            <w:instrText xml:space="preserve"> PAGEREF _Toc133150306 \h </w:instrText>
          </w:r>
          <w:r>
            <w:rPr>
              <w:sz w:val="28"/>
              <w:szCs w:val="32"/>
            </w:rPr>
            <w:fldChar w:fldCharType="separate"/>
          </w:r>
          <w:r>
            <w:rPr>
              <w:sz w:val="28"/>
              <w:szCs w:val="32"/>
            </w:rPr>
            <w:t>- 34 -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"_Toc133150307" </w:instrText>
          </w:r>
          <w:r>
            <w:fldChar w:fldCharType="separate"/>
          </w:r>
          <w:r>
            <w:rPr>
              <w:rStyle w:val="20"/>
              <w:rFonts w:hint="eastAsia" w:eastAsia="楷体_GB2312"/>
              <w:bCs/>
              <w:sz w:val="28"/>
              <w:szCs w:val="32"/>
            </w:rPr>
            <w:t>（二）强化生态文化服务供给</w:t>
          </w:r>
          <w:r>
            <w:rPr>
              <w:sz w:val="28"/>
              <w:szCs w:val="32"/>
            </w:rPr>
            <w:tab/>
          </w:r>
          <w:r>
            <w:rPr>
              <w:sz w:val="28"/>
              <w:szCs w:val="32"/>
            </w:rPr>
            <w:fldChar w:fldCharType="begin"/>
          </w:r>
          <w:r>
            <w:rPr>
              <w:sz w:val="28"/>
              <w:szCs w:val="32"/>
            </w:rPr>
            <w:instrText xml:space="preserve"> PAGEREF _Toc133150307 \h </w:instrText>
          </w:r>
          <w:r>
            <w:rPr>
              <w:sz w:val="28"/>
              <w:szCs w:val="32"/>
            </w:rPr>
            <w:fldChar w:fldCharType="separate"/>
          </w:r>
          <w:r>
            <w:rPr>
              <w:sz w:val="28"/>
              <w:szCs w:val="32"/>
            </w:rPr>
            <w:t>- 35 -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"_Toc133150308" </w:instrText>
          </w:r>
          <w:r>
            <w:fldChar w:fldCharType="separate"/>
          </w:r>
          <w:r>
            <w:rPr>
              <w:rStyle w:val="20"/>
              <w:rFonts w:hint="eastAsia" w:eastAsia="楷体_GB2312"/>
              <w:bCs/>
              <w:sz w:val="28"/>
              <w:szCs w:val="32"/>
            </w:rPr>
            <w:t>（三）彰显城市绿色人文品格</w:t>
          </w:r>
          <w:r>
            <w:rPr>
              <w:sz w:val="28"/>
              <w:szCs w:val="32"/>
            </w:rPr>
            <w:tab/>
          </w:r>
          <w:r>
            <w:rPr>
              <w:sz w:val="28"/>
              <w:szCs w:val="32"/>
            </w:rPr>
            <w:fldChar w:fldCharType="begin"/>
          </w:r>
          <w:r>
            <w:rPr>
              <w:sz w:val="28"/>
              <w:szCs w:val="32"/>
            </w:rPr>
            <w:instrText xml:space="preserve"> PAGEREF _Toc133150308 \h </w:instrText>
          </w:r>
          <w:r>
            <w:rPr>
              <w:sz w:val="28"/>
              <w:szCs w:val="32"/>
            </w:rPr>
            <w:fldChar w:fldCharType="separate"/>
          </w:r>
          <w:r>
            <w:rPr>
              <w:sz w:val="28"/>
              <w:szCs w:val="32"/>
            </w:rPr>
            <w:t>- 36 -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"_Toc133150309" </w:instrText>
          </w:r>
          <w:r>
            <w:fldChar w:fldCharType="separate"/>
          </w:r>
          <w:r>
            <w:rPr>
              <w:rStyle w:val="20"/>
              <w:rFonts w:hint="eastAsia" w:ascii="等线" w:hAnsi="等线" w:eastAsia="黑体"/>
              <w:bCs/>
              <w:kern w:val="44"/>
              <w:sz w:val="28"/>
              <w:szCs w:val="32"/>
            </w:rPr>
            <w:t>九、改革创新，打造现代生态环境善治样板之城</w:t>
          </w:r>
          <w:r>
            <w:rPr>
              <w:sz w:val="28"/>
              <w:szCs w:val="32"/>
            </w:rPr>
            <w:tab/>
          </w:r>
          <w:r>
            <w:rPr>
              <w:sz w:val="28"/>
              <w:szCs w:val="32"/>
            </w:rPr>
            <w:fldChar w:fldCharType="begin"/>
          </w:r>
          <w:r>
            <w:rPr>
              <w:sz w:val="28"/>
              <w:szCs w:val="32"/>
            </w:rPr>
            <w:instrText xml:space="preserve"> PAGEREF _Toc133150309 \h </w:instrText>
          </w:r>
          <w:r>
            <w:rPr>
              <w:sz w:val="28"/>
              <w:szCs w:val="32"/>
            </w:rPr>
            <w:fldChar w:fldCharType="separate"/>
          </w:r>
          <w:r>
            <w:rPr>
              <w:sz w:val="28"/>
              <w:szCs w:val="32"/>
            </w:rPr>
            <w:t>- 37 -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"_Toc133150310" </w:instrText>
          </w:r>
          <w:r>
            <w:fldChar w:fldCharType="separate"/>
          </w:r>
          <w:r>
            <w:rPr>
              <w:rStyle w:val="20"/>
              <w:rFonts w:hint="eastAsia" w:eastAsia="楷体_GB2312"/>
              <w:sz w:val="28"/>
              <w:szCs w:val="32"/>
            </w:rPr>
            <w:t>（一）构建多元主体共建责任体系</w:t>
          </w:r>
          <w:r>
            <w:rPr>
              <w:sz w:val="28"/>
              <w:szCs w:val="32"/>
            </w:rPr>
            <w:tab/>
          </w:r>
          <w:r>
            <w:rPr>
              <w:sz w:val="28"/>
              <w:szCs w:val="32"/>
            </w:rPr>
            <w:fldChar w:fldCharType="begin"/>
          </w:r>
          <w:r>
            <w:rPr>
              <w:sz w:val="28"/>
              <w:szCs w:val="32"/>
            </w:rPr>
            <w:instrText xml:space="preserve"> PAGEREF _Toc133150310 \h </w:instrText>
          </w:r>
          <w:r>
            <w:rPr>
              <w:sz w:val="28"/>
              <w:szCs w:val="32"/>
            </w:rPr>
            <w:fldChar w:fldCharType="separate"/>
          </w:r>
          <w:r>
            <w:rPr>
              <w:sz w:val="28"/>
              <w:szCs w:val="32"/>
            </w:rPr>
            <w:t>- 37 -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"_Toc133150311" </w:instrText>
          </w:r>
          <w:r>
            <w:fldChar w:fldCharType="separate"/>
          </w:r>
          <w:r>
            <w:rPr>
              <w:rStyle w:val="20"/>
              <w:rFonts w:hint="eastAsia" w:eastAsia="楷体_GB2312"/>
              <w:sz w:val="28"/>
              <w:szCs w:val="32"/>
            </w:rPr>
            <w:t>（二）拓展生态产品价值实现路径</w:t>
          </w:r>
          <w:r>
            <w:rPr>
              <w:sz w:val="28"/>
              <w:szCs w:val="32"/>
            </w:rPr>
            <w:tab/>
          </w:r>
          <w:r>
            <w:rPr>
              <w:sz w:val="28"/>
              <w:szCs w:val="32"/>
            </w:rPr>
            <w:fldChar w:fldCharType="begin"/>
          </w:r>
          <w:r>
            <w:rPr>
              <w:sz w:val="28"/>
              <w:szCs w:val="32"/>
            </w:rPr>
            <w:instrText xml:space="preserve"> PAGEREF _Toc133150311 \h </w:instrText>
          </w:r>
          <w:r>
            <w:rPr>
              <w:sz w:val="28"/>
              <w:szCs w:val="32"/>
            </w:rPr>
            <w:fldChar w:fldCharType="separate"/>
          </w:r>
          <w:r>
            <w:rPr>
              <w:sz w:val="28"/>
              <w:szCs w:val="32"/>
            </w:rPr>
            <w:t>- 38 -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"_Toc133150312" </w:instrText>
          </w:r>
          <w:r>
            <w:fldChar w:fldCharType="separate"/>
          </w:r>
          <w:r>
            <w:rPr>
              <w:rStyle w:val="20"/>
              <w:rFonts w:hint="eastAsia" w:eastAsia="楷体_GB2312"/>
              <w:sz w:val="28"/>
              <w:szCs w:val="32"/>
            </w:rPr>
            <w:t>（三）打造生态环境智慧治理标杆</w:t>
          </w:r>
          <w:r>
            <w:rPr>
              <w:sz w:val="28"/>
              <w:szCs w:val="32"/>
            </w:rPr>
            <w:tab/>
          </w:r>
          <w:r>
            <w:rPr>
              <w:sz w:val="28"/>
              <w:szCs w:val="32"/>
            </w:rPr>
            <w:fldChar w:fldCharType="begin"/>
          </w:r>
          <w:r>
            <w:rPr>
              <w:sz w:val="28"/>
              <w:szCs w:val="32"/>
            </w:rPr>
            <w:instrText xml:space="preserve"> PAGEREF _Toc133150312 \h </w:instrText>
          </w:r>
          <w:r>
            <w:rPr>
              <w:sz w:val="28"/>
              <w:szCs w:val="32"/>
            </w:rPr>
            <w:fldChar w:fldCharType="separate"/>
          </w:r>
          <w:r>
            <w:rPr>
              <w:sz w:val="28"/>
              <w:szCs w:val="32"/>
            </w:rPr>
            <w:t>- 39 -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"_Toc133150313" </w:instrText>
          </w:r>
          <w:r>
            <w:fldChar w:fldCharType="separate"/>
          </w:r>
          <w:r>
            <w:rPr>
              <w:rStyle w:val="20"/>
              <w:rFonts w:hint="eastAsia" w:ascii="等线" w:hAnsi="等线" w:eastAsia="黑体"/>
              <w:bCs/>
              <w:kern w:val="44"/>
              <w:sz w:val="28"/>
              <w:szCs w:val="32"/>
            </w:rPr>
            <w:t>十、开放共赢，打造全球生态文明窗口之城</w:t>
          </w:r>
          <w:r>
            <w:rPr>
              <w:sz w:val="28"/>
              <w:szCs w:val="32"/>
            </w:rPr>
            <w:tab/>
          </w:r>
          <w:r>
            <w:rPr>
              <w:sz w:val="28"/>
              <w:szCs w:val="32"/>
            </w:rPr>
            <w:fldChar w:fldCharType="begin"/>
          </w:r>
          <w:r>
            <w:rPr>
              <w:sz w:val="28"/>
              <w:szCs w:val="32"/>
            </w:rPr>
            <w:instrText xml:space="preserve"> PAGEREF _Toc133150313 \h </w:instrText>
          </w:r>
          <w:r>
            <w:rPr>
              <w:sz w:val="28"/>
              <w:szCs w:val="32"/>
            </w:rPr>
            <w:fldChar w:fldCharType="separate"/>
          </w:r>
          <w:r>
            <w:rPr>
              <w:sz w:val="28"/>
              <w:szCs w:val="32"/>
            </w:rPr>
            <w:t>- 41 -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"_Toc133150314" </w:instrText>
          </w:r>
          <w:r>
            <w:fldChar w:fldCharType="separate"/>
          </w:r>
          <w:r>
            <w:rPr>
              <w:rStyle w:val="20"/>
              <w:rFonts w:hint="eastAsia" w:eastAsia="楷体_GB2312"/>
              <w:bCs/>
              <w:sz w:val="28"/>
              <w:szCs w:val="32"/>
            </w:rPr>
            <w:t>（一）推进绿色发展合作共赢</w:t>
          </w:r>
          <w:r>
            <w:rPr>
              <w:sz w:val="28"/>
              <w:szCs w:val="32"/>
            </w:rPr>
            <w:tab/>
          </w:r>
          <w:r>
            <w:rPr>
              <w:sz w:val="28"/>
              <w:szCs w:val="32"/>
            </w:rPr>
            <w:fldChar w:fldCharType="begin"/>
          </w:r>
          <w:r>
            <w:rPr>
              <w:sz w:val="28"/>
              <w:szCs w:val="32"/>
            </w:rPr>
            <w:instrText xml:space="preserve"> PAGEREF _Toc133150314 \h </w:instrText>
          </w:r>
          <w:r>
            <w:rPr>
              <w:sz w:val="28"/>
              <w:szCs w:val="32"/>
            </w:rPr>
            <w:fldChar w:fldCharType="separate"/>
          </w:r>
          <w:r>
            <w:rPr>
              <w:sz w:val="28"/>
              <w:szCs w:val="32"/>
            </w:rPr>
            <w:t>- 41 -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"_Toc133150315" </w:instrText>
          </w:r>
          <w:r>
            <w:fldChar w:fldCharType="separate"/>
          </w:r>
          <w:r>
            <w:rPr>
              <w:rStyle w:val="20"/>
              <w:rFonts w:hint="eastAsia" w:eastAsia="楷体_GB2312"/>
              <w:bCs/>
              <w:sz w:val="28"/>
              <w:szCs w:val="32"/>
            </w:rPr>
            <w:t>（二）开拓绿色开放创新优势</w:t>
          </w:r>
          <w:r>
            <w:rPr>
              <w:sz w:val="28"/>
              <w:szCs w:val="32"/>
            </w:rPr>
            <w:tab/>
          </w:r>
          <w:r>
            <w:rPr>
              <w:sz w:val="28"/>
              <w:szCs w:val="32"/>
            </w:rPr>
            <w:fldChar w:fldCharType="begin"/>
          </w:r>
          <w:r>
            <w:rPr>
              <w:sz w:val="28"/>
              <w:szCs w:val="32"/>
            </w:rPr>
            <w:instrText xml:space="preserve"> PAGEREF _Toc133150315 \h </w:instrText>
          </w:r>
          <w:r>
            <w:rPr>
              <w:sz w:val="28"/>
              <w:szCs w:val="32"/>
            </w:rPr>
            <w:fldChar w:fldCharType="separate"/>
          </w:r>
          <w:r>
            <w:rPr>
              <w:sz w:val="28"/>
              <w:szCs w:val="32"/>
            </w:rPr>
            <w:t>- 42 -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"_Toc133150316" </w:instrText>
          </w:r>
          <w:r>
            <w:fldChar w:fldCharType="separate"/>
          </w:r>
          <w:r>
            <w:rPr>
              <w:rStyle w:val="20"/>
              <w:rFonts w:hint="eastAsia" w:eastAsia="楷体_GB2312"/>
              <w:bCs/>
              <w:sz w:val="28"/>
              <w:szCs w:val="32"/>
            </w:rPr>
            <w:t>（三）共建生态文明展示窗口</w:t>
          </w:r>
          <w:r>
            <w:rPr>
              <w:sz w:val="28"/>
              <w:szCs w:val="32"/>
            </w:rPr>
            <w:tab/>
          </w:r>
          <w:r>
            <w:rPr>
              <w:sz w:val="28"/>
              <w:szCs w:val="32"/>
            </w:rPr>
            <w:fldChar w:fldCharType="begin"/>
          </w:r>
          <w:r>
            <w:rPr>
              <w:sz w:val="28"/>
              <w:szCs w:val="32"/>
            </w:rPr>
            <w:instrText xml:space="preserve"> PAGEREF _Toc133150316 \h </w:instrText>
          </w:r>
          <w:r>
            <w:rPr>
              <w:sz w:val="28"/>
              <w:szCs w:val="32"/>
            </w:rPr>
            <w:fldChar w:fldCharType="separate"/>
          </w:r>
          <w:r>
            <w:rPr>
              <w:sz w:val="28"/>
              <w:szCs w:val="32"/>
            </w:rPr>
            <w:t>- 43 -</w:t>
          </w:r>
          <w:r>
            <w:rPr>
              <w:sz w:val="28"/>
              <w:szCs w:val="32"/>
            </w:rPr>
            <w:fldChar w:fldCharType="end"/>
          </w:r>
          <w:r>
            <w:rPr>
              <w:sz w:val="28"/>
              <w:szCs w:val="32"/>
            </w:rPr>
            <w:fldChar w:fldCharType="end"/>
          </w:r>
        </w:p>
        <w:p>
          <w:pPr>
            <w:pStyle w:val="11"/>
            <w:tabs>
              <w:tab w:val="right" w:leader="dot" w:pos="8296"/>
            </w:tabs>
            <w:rPr>
              <w:rFonts w:asciiTheme="minorHAnsi" w:hAnsiTheme="minorHAnsi" w:eastAsiaTheme="minorEastAsia" w:cstheme="minorBidi"/>
              <w:sz w:val="28"/>
              <w:szCs w:val="32"/>
            </w:rPr>
          </w:pPr>
          <w:r>
            <w:fldChar w:fldCharType="begin"/>
          </w:r>
          <w:r>
            <w:instrText xml:space="preserve"> HYPERLINK \l "_Toc133150317" </w:instrText>
          </w:r>
          <w:r>
            <w:fldChar w:fldCharType="separate"/>
          </w:r>
          <w:r>
            <w:rPr>
              <w:rStyle w:val="20"/>
              <w:rFonts w:hint="eastAsia" w:ascii="等线" w:hAnsi="等线" w:eastAsia="黑体"/>
              <w:bCs/>
              <w:kern w:val="44"/>
              <w:sz w:val="28"/>
              <w:szCs w:val="32"/>
            </w:rPr>
            <w:t>十一、保障措施</w:t>
          </w:r>
          <w:r>
            <w:rPr>
              <w:sz w:val="28"/>
              <w:szCs w:val="32"/>
            </w:rPr>
            <w:tab/>
          </w:r>
          <w:r>
            <w:rPr>
              <w:sz w:val="28"/>
              <w:szCs w:val="32"/>
            </w:rPr>
            <w:fldChar w:fldCharType="begin"/>
          </w:r>
          <w:r>
            <w:rPr>
              <w:sz w:val="28"/>
              <w:szCs w:val="32"/>
            </w:rPr>
            <w:instrText xml:space="preserve"> PAGEREF _Toc133150317 \h </w:instrText>
          </w:r>
          <w:r>
            <w:rPr>
              <w:sz w:val="28"/>
              <w:szCs w:val="32"/>
            </w:rPr>
            <w:fldChar w:fldCharType="separate"/>
          </w:r>
          <w:r>
            <w:rPr>
              <w:sz w:val="28"/>
              <w:szCs w:val="32"/>
            </w:rPr>
            <w:t>- 44 -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"_Toc133150318" </w:instrText>
          </w:r>
          <w:r>
            <w:fldChar w:fldCharType="separate"/>
          </w:r>
          <w:r>
            <w:rPr>
              <w:rStyle w:val="20"/>
              <w:rFonts w:hint="eastAsia" w:eastAsia="楷体_GB2312"/>
              <w:bCs/>
              <w:sz w:val="28"/>
              <w:szCs w:val="32"/>
            </w:rPr>
            <w:t>（一）加强组织领导</w:t>
          </w:r>
          <w:r>
            <w:rPr>
              <w:sz w:val="28"/>
              <w:szCs w:val="32"/>
            </w:rPr>
            <w:tab/>
          </w:r>
          <w:r>
            <w:rPr>
              <w:sz w:val="28"/>
              <w:szCs w:val="32"/>
            </w:rPr>
            <w:fldChar w:fldCharType="begin"/>
          </w:r>
          <w:r>
            <w:rPr>
              <w:sz w:val="28"/>
              <w:szCs w:val="32"/>
            </w:rPr>
            <w:instrText xml:space="preserve"> PAGEREF _Toc133150318 \h </w:instrText>
          </w:r>
          <w:r>
            <w:rPr>
              <w:sz w:val="28"/>
              <w:szCs w:val="32"/>
            </w:rPr>
            <w:fldChar w:fldCharType="separate"/>
          </w:r>
          <w:r>
            <w:rPr>
              <w:sz w:val="28"/>
              <w:szCs w:val="32"/>
            </w:rPr>
            <w:t>- 44 -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"_Toc133150319" </w:instrText>
          </w:r>
          <w:r>
            <w:fldChar w:fldCharType="separate"/>
          </w:r>
          <w:r>
            <w:rPr>
              <w:rStyle w:val="20"/>
              <w:rFonts w:hint="eastAsia" w:eastAsia="楷体_GB2312"/>
              <w:bCs/>
              <w:sz w:val="28"/>
              <w:szCs w:val="32"/>
            </w:rPr>
            <w:t>（二）加大投入保障</w:t>
          </w:r>
          <w:r>
            <w:rPr>
              <w:sz w:val="28"/>
              <w:szCs w:val="32"/>
            </w:rPr>
            <w:tab/>
          </w:r>
          <w:r>
            <w:rPr>
              <w:sz w:val="28"/>
              <w:szCs w:val="32"/>
            </w:rPr>
            <w:fldChar w:fldCharType="begin"/>
          </w:r>
          <w:r>
            <w:rPr>
              <w:sz w:val="28"/>
              <w:szCs w:val="32"/>
            </w:rPr>
            <w:instrText xml:space="preserve"> PAGEREF _Toc133150319 \h </w:instrText>
          </w:r>
          <w:r>
            <w:rPr>
              <w:sz w:val="28"/>
              <w:szCs w:val="32"/>
            </w:rPr>
            <w:fldChar w:fldCharType="separate"/>
          </w:r>
          <w:r>
            <w:rPr>
              <w:sz w:val="28"/>
              <w:szCs w:val="32"/>
            </w:rPr>
            <w:t>- 44 -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"_Toc133150320" </w:instrText>
          </w:r>
          <w:r>
            <w:fldChar w:fldCharType="separate"/>
          </w:r>
          <w:r>
            <w:rPr>
              <w:rStyle w:val="20"/>
              <w:rFonts w:hint="eastAsia" w:eastAsia="楷体_GB2312"/>
              <w:bCs/>
              <w:sz w:val="28"/>
              <w:szCs w:val="32"/>
            </w:rPr>
            <w:t>（三）创新试点示范</w:t>
          </w:r>
          <w:r>
            <w:rPr>
              <w:sz w:val="28"/>
              <w:szCs w:val="32"/>
            </w:rPr>
            <w:tab/>
          </w:r>
          <w:r>
            <w:rPr>
              <w:sz w:val="28"/>
              <w:szCs w:val="32"/>
            </w:rPr>
            <w:fldChar w:fldCharType="begin"/>
          </w:r>
          <w:r>
            <w:rPr>
              <w:sz w:val="28"/>
              <w:szCs w:val="32"/>
            </w:rPr>
            <w:instrText xml:space="preserve"> PAGEREF _Toc133150320 \h </w:instrText>
          </w:r>
          <w:r>
            <w:rPr>
              <w:sz w:val="28"/>
              <w:szCs w:val="32"/>
            </w:rPr>
            <w:fldChar w:fldCharType="separate"/>
          </w:r>
          <w:r>
            <w:rPr>
              <w:sz w:val="28"/>
              <w:szCs w:val="32"/>
            </w:rPr>
            <w:t>- 44 -</w:t>
          </w:r>
          <w:r>
            <w:rPr>
              <w:sz w:val="28"/>
              <w:szCs w:val="32"/>
            </w:rPr>
            <w:fldChar w:fldCharType="end"/>
          </w:r>
          <w:r>
            <w:rPr>
              <w:sz w:val="28"/>
              <w:szCs w:val="32"/>
            </w:rPr>
            <w:fldChar w:fldCharType="end"/>
          </w:r>
        </w:p>
        <w:p>
          <w:pPr>
            <w:pStyle w:val="13"/>
            <w:tabs>
              <w:tab w:val="right" w:leader="dot" w:pos="8296"/>
            </w:tabs>
            <w:rPr>
              <w:rFonts w:asciiTheme="minorHAnsi" w:hAnsiTheme="minorHAnsi" w:eastAsiaTheme="minorEastAsia" w:cstheme="minorBidi"/>
              <w:sz w:val="28"/>
              <w:szCs w:val="32"/>
            </w:rPr>
          </w:pPr>
          <w:r>
            <w:fldChar w:fldCharType="begin"/>
          </w:r>
          <w:r>
            <w:instrText xml:space="preserve"> HYPERLINK \l "_Toc133150321" </w:instrText>
          </w:r>
          <w:r>
            <w:fldChar w:fldCharType="separate"/>
          </w:r>
          <w:r>
            <w:rPr>
              <w:rStyle w:val="20"/>
              <w:rFonts w:hint="eastAsia" w:eastAsia="楷体_GB2312"/>
              <w:bCs/>
              <w:sz w:val="28"/>
              <w:szCs w:val="32"/>
            </w:rPr>
            <w:t>（四）加强宣传参与</w:t>
          </w:r>
          <w:r>
            <w:rPr>
              <w:sz w:val="28"/>
              <w:szCs w:val="32"/>
            </w:rPr>
            <w:tab/>
          </w:r>
          <w:r>
            <w:rPr>
              <w:sz w:val="28"/>
              <w:szCs w:val="32"/>
            </w:rPr>
            <w:fldChar w:fldCharType="begin"/>
          </w:r>
          <w:r>
            <w:rPr>
              <w:sz w:val="28"/>
              <w:szCs w:val="32"/>
            </w:rPr>
            <w:instrText xml:space="preserve"> PAGEREF _Toc133150321 \h </w:instrText>
          </w:r>
          <w:r>
            <w:rPr>
              <w:sz w:val="28"/>
              <w:szCs w:val="32"/>
            </w:rPr>
            <w:fldChar w:fldCharType="separate"/>
          </w:r>
          <w:r>
            <w:rPr>
              <w:sz w:val="28"/>
              <w:szCs w:val="32"/>
            </w:rPr>
            <w:t>- 45 -</w:t>
          </w:r>
          <w:r>
            <w:rPr>
              <w:sz w:val="28"/>
              <w:szCs w:val="32"/>
            </w:rPr>
            <w:fldChar w:fldCharType="end"/>
          </w:r>
          <w:r>
            <w:rPr>
              <w:sz w:val="28"/>
              <w:szCs w:val="32"/>
            </w:rPr>
            <w:fldChar w:fldCharType="end"/>
          </w:r>
        </w:p>
        <w:p>
          <w:r>
            <w:rPr>
              <w:b/>
              <w:bCs/>
              <w:lang w:val="zh-CN"/>
            </w:rPr>
            <w:fldChar w:fldCharType="end"/>
          </w:r>
        </w:p>
      </w:sdtContent>
    </w:sdt>
    <w:p>
      <w:pPr>
        <w:adjustRightInd w:val="0"/>
        <w:snapToGrid w:val="0"/>
        <w:spacing w:line="540" w:lineRule="exact"/>
        <w:ind w:firstLine="600" w:firstLineChars="200"/>
        <w:rPr>
          <w:rFonts w:eastAsia="仿宋_GB2312"/>
          <w:sz w:val="30"/>
          <w:szCs w:val="30"/>
        </w:rPr>
      </w:pPr>
    </w:p>
    <w:p>
      <w:pPr>
        <w:widowControl/>
        <w:jc w:val="left"/>
        <w:rPr>
          <w:rFonts w:eastAsia="仿宋_GB2312"/>
          <w:sz w:val="30"/>
          <w:szCs w:val="30"/>
        </w:rPr>
        <w:sectPr>
          <w:footerReference r:id="rId5" w:type="default"/>
          <w:pgSz w:w="11906" w:h="16838"/>
          <w:pgMar w:top="2098" w:right="1474" w:bottom="1984" w:left="1587" w:header="851" w:footer="992" w:gutter="0"/>
          <w:pgNumType w:start="1"/>
          <w:cols w:space="425" w:num="1"/>
          <w:docGrid w:type="lines" w:linePitch="312" w:charSpace="0"/>
        </w:sectPr>
      </w:pPr>
      <w:r>
        <w:rPr>
          <w:rFonts w:eastAsia="仿宋_GB2312"/>
          <w:sz w:val="30"/>
          <w:szCs w:val="30"/>
        </w:rPr>
        <w:br w:type="page"/>
      </w:r>
    </w:p>
    <w:p>
      <w:pPr>
        <w:keepNext/>
        <w:keepLines/>
        <w:adjustRightInd w:val="0"/>
        <w:snapToGrid w:val="0"/>
        <w:spacing w:line="560" w:lineRule="exact"/>
        <w:outlineLvl w:val="0"/>
        <w:rPr>
          <w:rFonts w:ascii="等线" w:hAnsi="等线" w:eastAsia="黑体"/>
          <w:bCs/>
          <w:kern w:val="44"/>
          <w:sz w:val="32"/>
          <w:szCs w:val="48"/>
        </w:rPr>
      </w:pPr>
      <w:bookmarkStart w:id="14" w:name="_Toc133150273"/>
      <w:r>
        <w:rPr>
          <w:rFonts w:hint="eastAsia" w:ascii="等线" w:hAnsi="等线" w:eastAsia="黑体"/>
          <w:bCs/>
          <w:kern w:val="44"/>
          <w:sz w:val="32"/>
          <w:szCs w:val="48"/>
        </w:rPr>
        <w:t>一、基础形势</w:t>
      </w:r>
      <w:bookmarkEnd w:id="14"/>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15" w:name="_Toc133150274"/>
      <w:r>
        <w:rPr>
          <w:rFonts w:hint="eastAsia" w:ascii="等线" w:hAnsi="等线" w:eastAsia="楷体_GB2312"/>
          <w:b/>
          <w:bCs/>
          <w:sz w:val="32"/>
          <w:szCs w:val="32"/>
        </w:rPr>
        <w:t>（一）建设基础</w:t>
      </w:r>
      <w:bookmarkEnd w:id="15"/>
    </w:p>
    <w:p>
      <w:pPr>
        <w:adjustRightInd w:val="0"/>
        <w:snapToGrid w:val="0"/>
        <w:spacing w:line="560" w:lineRule="exact"/>
        <w:ind w:firstLine="640" w:firstLineChars="200"/>
        <w:rPr>
          <w:rFonts w:ascii="等线" w:hAnsi="等线" w:eastAsia="仿宋_GB2312"/>
          <w:sz w:val="32"/>
          <w:szCs w:val="32"/>
        </w:rPr>
      </w:pPr>
      <w:r>
        <w:rPr>
          <w:rFonts w:hint="eastAsia" w:eastAsia="仿宋_GB2312"/>
          <w:sz w:val="32"/>
          <w:szCs w:val="32"/>
        </w:rPr>
        <w:t>青岛市</w:t>
      </w:r>
      <w:r>
        <w:rPr>
          <w:rFonts w:hint="eastAsia" w:ascii="等线" w:hAnsi="等线" w:eastAsia="仿宋_GB2312"/>
          <w:sz w:val="32"/>
          <w:szCs w:val="32"/>
        </w:rPr>
        <w:t>陆海辽阔、山海相映、城海相依、</w:t>
      </w:r>
      <w:r>
        <w:rPr>
          <w:rFonts w:hint="eastAsia" w:eastAsia="仿宋_GB2312"/>
          <w:sz w:val="32"/>
          <w:szCs w:val="32"/>
        </w:rPr>
        <w:t>环境宜人、</w:t>
      </w:r>
      <w:r>
        <w:rPr>
          <w:rFonts w:hint="eastAsia" w:ascii="等线" w:hAnsi="等线" w:eastAsia="仿宋_GB2312"/>
          <w:sz w:val="32"/>
          <w:szCs w:val="32"/>
        </w:rPr>
        <w:t>底蕴深厚</w:t>
      </w:r>
      <w:r>
        <w:rPr>
          <w:rFonts w:hint="eastAsia" w:eastAsia="仿宋_GB2312"/>
          <w:sz w:val="32"/>
          <w:szCs w:val="32"/>
        </w:rPr>
        <w:t>、中西交融，绿色低碳高质量发展走在前列，是国家沿海重要中心城市、国际性港口城市、国家历史文化名城和滨海度假旅游城市，具有“红瓦绿树、碧海蓝天”的独特风貌，被誉为“东方瑞士”。</w:t>
      </w:r>
      <w:r>
        <w:rPr>
          <w:rFonts w:hint="eastAsia" w:ascii="等线" w:hAnsi="等线" w:eastAsia="仿宋_GB2312"/>
          <w:sz w:val="32"/>
          <w:szCs w:val="32"/>
        </w:rPr>
        <w:t>近年来，青岛市不断加强生态文明建设，坚定不移地走生态优先、绿色低碳发展道路，持续改善生态环境质量，不断谱写人与自然和谐共生的“美丽青岛”新篇章。</w:t>
      </w:r>
    </w:p>
    <w:p>
      <w:pPr>
        <w:adjustRightInd w:val="0"/>
        <w:snapToGrid w:val="0"/>
        <w:spacing w:line="560" w:lineRule="exact"/>
        <w:ind w:firstLine="643" w:firstLineChars="200"/>
        <w:rPr>
          <w:rFonts w:eastAsia="仿宋_GB2312"/>
          <w:sz w:val="32"/>
          <w:szCs w:val="32"/>
        </w:rPr>
      </w:pPr>
      <w:r>
        <w:rPr>
          <w:rFonts w:hint="eastAsia" w:ascii="等线" w:hAnsi="等线" w:eastAsia="仿宋_GB2312"/>
          <w:b/>
          <w:bCs/>
          <w:sz w:val="32"/>
          <w:szCs w:val="32"/>
        </w:rPr>
        <w:t>自然</w:t>
      </w:r>
      <w:r>
        <w:rPr>
          <w:rFonts w:hint="eastAsia" w:ascii="等线" w:hAnsi="等线" w:eastAsia="仿宋_GB2312"/>
          <w:b/>
          <w:sz w:val="32"/>
          <w:szCs w:val="32"/>
        </w:rPr>
        <w:t>生态优越，蓝绿交融特征鲜明。</w:t>
      </w:r>
      <w:r>
        <w:rPr>
          <w:rFonts w:hint="eastAsia" w:eastAsia="仿宋_GB2312"/>
          <w:sz w:val="32"/>
          <w:szCs w:val="32"/>
        </w:rPr>
        <w:t>青岛市山海相望、湾群相连、蓝绿交织、环湾凝聚，大美自然生态格局特征鲜明。东南部有崂山之峻，西南部有大小珠山之奇，北部有大泽山-大青山之秀，中西部有胶莱盆地之阔，鸟类种类数量占全省</w:t>
      </w:r>
      <w:r>
        <w:rPr>
          <w:rFonts w:eastAsia="仿宋_GB2312"/>
          <w:sz w:val="32"/>
          <w:szCs w:val="32"/>
        </w:rPr>
        <w:t>91%</w:t>
      </w:r>
      <w:r>
        <w:rPr>
          <w:rFonts w:hint="eastAsia" w:eastAsia="仿宋_GB2312"/>
          <w:sz w:val="32"/>
          <w:szCs w:val="32"/>
        </w:rPr>
        <w:t>。崂山是中国海岸线最高峰，亦是享誉中外的海上“第一名山”和道教名山。大沽河、北胶莱河、胶莱河、墨水河、周疃河、白沙河、洋河、风河、白马河九大水系流入黄海和渤海。林地与耕地资源丰富，是同纬度地区植物种类最多、组成植被建群种最多的地区。拥有</w:t>
      </w:r>
      <w:r>
        <w:rPr>
          <w:rFonts w:eastAsia="仿宋_GB2312"/>
          <w:sz w:val="32"/>
          <w:szCs w:val="32"/>
        </w:rPr>
        <w:t>6</w:t>
      </w:r>
      <w:r>
        <w:rPr>
          <w:rFonts w:hint="eastAsia" w:eastAsia="仿宋_GB2312"/>
          <w:sz w:val="32"/>
          <w:szCs w:val="32"/>
        </w:rPr>
        <w:t>种湿地类型，自然湿地保护率</w:t>
      </w:r>
      <w:r>
        <w:rPr>
          <w:rFonts w:eastAsia="仿宋_GB2312"/>
          <w:sz w:val="32"/>
          <w:szCs w:val="32"/>
        </w:rPr>
        <w:t>70%</w:t>
      </w:r>
      <w:r>
        <w:rPr>
          <w:rFonts w:hint="eastAsia" w:eastAsia="仿宋_GB2312"/>
          <w:sz w:val="32"/>
          <w:szCs w:val="32"/>
        </w:rPr>
        <w:t>。海岸线长</w:t>
      </w:r>
      <w:r>
        <w:rPr>
          <w:rFonts w:eastAsia="仿宋_GB2312"/>
          <w:sz w:val="32"/>
          <w:szCs w:val="32"/>
        </w:rPr>
        <w:t>760</w:t>
      </w:r>
      <w:r>
        <w:rPr>
          <w:rFonts w:hint="eastAsia" w:eastAsia="仿宋_GB2312"/>
          <w:sz w:val="32"/>
          <w:szCs w:val="32"/>
        </w:rPr>
        <w:t>公里，大陆自然海岸线保有率</w:t>
      </w:r>
      <w:r>
        <w:rPr>
          <w:rFonts w:eastAsia="仿宋_GB2312"/>
          <w:sz w:val="32"/>
          <w:szCs w:val="32"/>
        </w:rPr>
        <w:t>39%</w:t>
      </w:r>
      <w:r>
        <w:rPr>
          <w:rFonts w:hint="eastAsia" w:eastAsia="仿宋_GB2312"/>
          <w:sz w:val="32"/>
          <w:szCs w:val="32"/>
        </w:rPr>
        <w:t>，拥有</w:t>
      </w:r>
      <w:r>
        <w:rPr>
          <w:rFonts w:eastAsia="仿宋_GB2312"/>
          <w:sz w:val="32"/>
          <w:szCs w:val="32"/>
        </w:rPr>
        <w:t>120</w:t>
      </w:r>
      <w:r>
        <w:rPr>
          <w:rFonts w:hint="eastAsia" w:eastAsia="仿宋_GB2312"/>
          <w:sz w:val="32"/>
          <w:szCs w:val="32"/>
        </w:rPr>
        <w:t>个海岛，金沙、绿岬、红礁、碧海形成“世界最美海湾</w:t>
      </w:r>
      <w:r>
        <w:rPr>
          <w:rFonts w:eastAsia="仿宋_GB2312"/>
          <w:sz w:val="32"/>
          <w:szCs w:val="32"/>
        </w:rPr>
        <w:t>”</w:t>
      </w:r>
      <w:r>
        <w:rPr>
          <w:rFonts w:hint="eastAsia" w:eastAsia="仿宋_GB2312"/>
          <w:sz w:val="32"/>
          <w:szCs w:val="32"/>
        </w:rPr>
        <w:t>。</w:t>
      </w:r>
    </w:p>
    <w:p>
      <w:pPr>
        <w:adjustRightInd w:val="0"/>
        <w:snapToGrid w:val="0"/>
        <w:spacing w:line="560" w:lineRule="exact"/>
        <w:ind w:firstLine="643" w:firstLineChars="200"/>
        <w:rPr>
          <w:rFonts w:eastAsia="仿宋_GB2312"/>
          <w:sz w:val="32"/>
          <w:szCs w:val="32"/>
        </w:rPr>
      </w:pPr>
      <w:r>
        <w:rPr>
          <w:rFonts w:hint="eastAsia" w:ascii="等线" w:hAnsi="等线" w:eastAsia="仿宋_GB2312"/>
          <w:b/>
          <w:sz w:val="32"/>
          <w:szCs w:val="32"/>
        </w:rPr>
        <w:t>环境质量优良，碧海蓝天底色亮丽。</w:t>
      </w:r>
      <w:r>
        <w:rPr>
          <w:rFonts w:hint="eastAsia" w:ascii="等线" w:hAnsi="等线" w:eastAsia="仿宋_GB2312"/>
          <w:sz w:val="32"/>
          <w:szCs w:val="32"/>
        </w:rPr>
        <w:t>青岛市深入</w:t>
      </w:r>
      <w:r>
        <w:rPr>
          <w:rFonts w:hint="eastAsia" w:eastAsia="仿宋_GB2312"/>
          <w:sz w:val="32"/>
          <w:szCs w:val="32"/>
        </w:rPr>
        <w:t>推进“蓝天、碧水、净土”攻坚战，生态环境质量显著改善，蓝天白云、绿水青山成为常态。</w:t>
      </w:r>
      <w:r>
        <w:rPr>
          <w:rFonts w:eastAsia="仿宋_GB2312"/>
          <w:sz w:val="32"/>
          <w:szCs w:val="32"/>
        </w:rPr>
        <w:t>2022</w:t>
      </w:r>
      <w:r>
        <w:rPr>
          <w:rFonts w:hint="eastAsia" w:eastAsia="仿宋_GB2312"/>
          <w:sz w:val="32"/>
          <w:szCs w:val="32"/>
        </w:rPr>
        <w:t>年，空气质量优良天数达到</w:t>
      </w:r>
      <w:r>
        <w:rPr>
          <w:rFonts w:eastAsia="仿宋_GB2312"/>
          <w:sz w:val="32"/>
          <w:szCs w:val="32"/>
        </w:rPr>
        <w:t>323</w:t>
      </w:r>
      <w:r>
        <w:rPr>
          <w:rFonts w:hint="eastAsia" w:eastAsia="仿宋_GB2312"/>
          <w:sz w:val="32"/>
          <w:szCs w:val="32"/>
        </w:rPr>
        <w:t>天，连续三年稳定达到国家二级标准。国、省控断面水质全部达标，全面消除城市建成区黑臭水体，水环境质量改善度排名全国前列。近岸海域水质优良面积比例达到</w:t>
      </w:r>
      <w:r>
        <w:rPr>
          <w:rFonts w:eastAsia="楷体_GB2312"/>
          <w:sz w:val="32"/>
          <w:szCs w:val="32"/>
        </w:rPr>
        <w:t>99</w:t>
      </w:r>
      <w:r>
        <w:rPr>
          <w:rFonts w:hint="eastAsia" w:eastAsia="楷体_GB2312"/>
          <w:sz w:val="32"/>
          <w:szCs w:val="32"/>
        </w:rPr>
        <w:t>％，</w:t>
      </w:r>
      <w:r>
        <w:rPr>
          <w:rFonts w:hint="eastAsia" w:eastAsia="仿宋_GB2312"/>
          <w:sz w:val="32"/>
          <w:szCs w:val="32"/>
        </w:rPr>
        <w:t>海洋生态环境质量稳中有升。土壤和地下水环境质量总体稳定，重点建设用地安全利用得到保障，受污染耕地安全利用</w:t>
      </w:r>
      <w:r>
        <w:rPr>
          <w:rFonts w:eastAsia="仿宋_GB2312"/>
          <w:sz w:val="32"/>
          <w:szCs w:val="32"/>
        </w:rPr>
        <w:t>率</w:t>
      </w:r>
      <w:r>
        <w:rPr>
          <w:rFonts w:hint="eastAsia" w:eastAsia="仿宋_GB2312"/>
          <w:sz w:val="32"/>
          <w:szCs w:val="32"/>
        </w:rPr>
        <w:t>达到</w:t>
      </w:r>
      <w:r>
        <w:rPr>
          <w:rFonts w:eastAsia="仿宋_GB2312"/>
          <w:sz w:val="32"/>
          <w:szCs w:val="32"/>
        </w:rPr>
        <w:t>95%</w:t>
      </w:r>
      <w:r>
        <w:rPr>
          <w:rFonts w:hint="eastAsia" w:eastAsia="仿宋_GB2312"/>
          <w:sz w:val="32"/>
          <w:szCs w:val="32"/>
        </w:rPr>
        <w:t>，出台“无废城市”建设实施方案，加快推进“无废城市”建设。</w:t>
      </w:r>
    </w:p>
    <w:p>
      <w:pPr>
        <w:adjustRightInd w:val="0"/>
        <w:snapToGrid w:val="0"/>
        <w:spacing w:line="560" w:lineRule="exact"/>
        <w:ind w:firstLine="643" w:firstLineChars="200"/>
        <w:rPr>
          <w:rFonts w:eastAsia="仿宋_GB2312"/>
          <w:sz w:val="32"/>
          <w:szCs w:val="32"/>
        </w:rPr>
      </w:pPr>
      <w:r>
        <w:rPr>
          <w:rFonts w:hint="eastAsia" w:ascii="等线" w:hAnsi="等线" w:eastAsia="仿宋_GB2312"/>
          <w:b/>
          <w:sz w:val="32"/>
          <w:szCs w:val="32"/>
        </w:rPr>
        <w:t>城乡环境宜人，民生福祉持续增强。</w:t>
      </w:r>
      <w:r>
        <w:rPr>
          <w:rFonts w:hint="eastAsia" w:eastAsia="仿宋_GB2312"/>
          <w:sz w:val="32"/>
          <w:szCs w:val="32"/>
        </w:rPr>
        <w:t>青岛市获得国家人居环境范例奖、中国最宜居和最具幸福感城市等称号。扎实推进城市品质改善提升行动，统筹推进老城区有机更新，完成全国第一批城市设计试点，高品质都市空间格局日渐完善。西海岸新区、胶州市、崂山区、城阳区成功创建国家生态文明建设示范区，莱西市创建国家“绿水青山就是金山银山”实践创新基地，八大关景区被誉为中国最美城区。持续推进美丽乡村、美丽村居、美丽庭院“三美”示范创建，实施美丽乡村“十百千”工程，特质化打造20个“村嵌山海间、乡融田园里”的“鲁派民居”示范点，美丽庭院覆盖率达到36%以上，获评中国美丽乡村建设新典范地区称号。</w:t>
      </w:r>
    </w:p>
    <w:p>
      <w:pPr>
        <w:adjustRightInd w:val="0"/>
        <w:snapToGrid w:val="0"/>
        <w:spacing w:line="560" w:lineRule="exact"/>
        <w:ind w:firstLine="643" w:firstLineChars="200"/>
        <w:rPr>
          <w:rFonts w:eastAsia="仿宋_GB2312"/>
          <w:sz w:val="32"/>
          <w:szCs w:val="32"/>
        </w:rPr>
      </w:pPr>
      <w:r>
        <w:rPr>
          <w:rFonts w:hint="eastAsia" w:ascii="等线" w:hAnsi="等线" w:eastAsia="仿宋_GB2312"/>
          <w:b/>
          <w:sz w:val="32"/>
          <w:szCs w:val="32"/>
        </w:rPr>
        <w:t>绿色低碳引领，高质量发展走在前列。</w:t>
      </w:r>
      <w:r>
        <w:rPr>
          <w:rFonts w:hint="eastAsia" w:eastAsia="仿宋_GB2312"/>
          <w:sz w:val="32"/>
          <w:szCs w:val="32"/>
        </w:rPr>
        <w:t>青岛市是山东新旧动能转换</w:t>
      </w:r>
      <w:r>
        <w:rPr>
          <w:rFonts w:eastAsia="仿宋_GB2312"/>
          <w:sz w:val="32"/>
          <w:szCs w:val="32"/>
        </w:rPr>
        <w:t>“</w:t>
      </w:r>
      <w:r>
        <w:rPr>
          <w:rFonts w:hint="eastAsia" w:eastAsia="仿宋_GB2312"/>
          <w:sz w:val="32"/>
          <w:szCs w:val="32"/>
        </w:rPr>
        <w:t>三核引领</w:t>
      </w:r>
      <w:r>
        <w:rPr>
          <w:rFonts w:eastAsia="仿宋_GB2312"/>
          <w:sz w:val="32"/>
          <w:szCs w:val="32"/>
        </w:rPr>
        <w:t>”</w:t>
      </w:r>
      <w:r>
        <w:rPr>
          <w:rFonts w:hint="eastAsia" w:eastAsia="仿宋_GB2312"/>
          <w:sz w:val="32"/>
          <w:szCs w:val="32"/>
        </w:rPr>
        <w:t>的重要一极，获批全国首个</w:t>
      </w:r>
      <w:r>
        <w:rPr>
          <w:rFonts w:eastAsia="仿宋_GB2312"/>
          <w:sz w:val="32"/>
          <w:szCs w:val="32"/>
        </w:rPr>
        <w:t>“</w:t>
      </w:r>
      <w:r>
        <w:rPr>
          <w:rFonts w:hint="eastAsia" w:eastAsia="仿宋_GB2312"/>
          <w:sz w:val="32"/>
          <w:szCs w:val="32"/>
        </w:rPr>
        <w:t>绿色城市</w:t>
      </w:r>
      <w:r>
        <w:rPr>
          <w:rFonts w:eastAsia="仿宋_GB2312"/>
          <w:sz w:val="32"/>
          <w:szCs w:val="32"/>
        </w:rPr>
        <w:t>”</w:t>
      </w:r>
      <w:r>
        <w:rPr>
          <w:rFonts w:hint="eastAsia" w:eastAsia="仿宋_GB2312"/>
          <w:sz w:val="32"/>
          <w:szCs w:val="32"/>
        </w:rPr>
        <w:t>、全省首个国家低碳城市试点，入选中国最具生态竞争力城市。</w:t>
      </w:r>
      <w:r>
        <w:rPr>
          <w:rFonts w:eastAsia="仿宋_GB2312"/>
          <w:sz w:val="32"/>
          <w:szCs w:val="32"/>
        </w:rPr>
        <w:t>2020</w:t>
      </w:r>
      <w:r>
        <w:rPr>
          <w:rFonts w:hint="eastAsia" w:eastAsia="仿宋_GB2312"/>
          <w:sz w:val="32"/>
          <w:szCs w:val="32"/>
        </w:rPr>
        <w:t>年，煤炭消费比重</w:t>
      </w:r>
      <w:r>
        <w:rPr>
          <w:rFonts w:eastAsia="仿宋_GB2312"/>
          <w:sz w:val="32"/>
          <w:szCs w:val="32"/>
        </w:rPr>
        <w:t>28.8%</w:t>
      </w:r>
      <w:r>
        <w:rPr>
          <w:rFonts w:hint="eastAsia" w:eastAsia="仿宋_GB2312"/>
          <w:sz w:val="32"/>
          <w:szCs w:val="32"/>
        </w:rPr>
        <w:t>，较</w:t>
      </w:r>
      <w:r>
        <w:rPr>
          <w:rFonts w:eastAsia="仿宋_GB2312"/>
          <w:sz w:val="32"/>
          <w:szCs w:val="32"/>
        </w:rPr>
        <w:t>2015</w:t>
      </w:r>
      <w:r>
        <w:rPr>
          <w:rFonts w:hint="eastAsia" w:eastAsia="仿宋_GB2312"/>
          <w:sz w:val="32"/>
          <w:szCs w:val="32"/>
        </w:rPr>
        <w:t>年下降</w:t>
      </w:r>
      <w:r>
        <w:rPr>
          <w:rFonts w:eastAsia="仿宋_GB2312"/>
          <w:sz w:val="32"/>
          <w:szCs w:val="32"/>
        </w:rPr>
        <w:t>12.9</w:t>
      </w:r>
      <w:r>
        <w:rPr>
          <w:rFonts w:hint="eastAsia" w:eastAsia="仿宋_GB2312"/>
          <w:sz w:val="32"/>
          <w:szCs w:val="32"/>
        </w:rPr>
        <w:t>个百分点，较国家、山东省分别低</w:t>
      </w:r>
      <w:r>
        <w:rPr>
          <w:rFonts w:eastAsia="仿宋_GB2312"/>
          <w:sz w:val="32"/>
          <w:szCs w:val="32"/>
        </w:rPr>
        <w:t>28</w:t>
      </w:r>
      <w:r>
        <w:rPr>
          <w:rFonts w:hint="eastAsia" w:eastAsia="仿宋_GB2312"/>
          <w:sz w:val="32"/>
          <w:szCs w:val="32"/>
        </w:rPr>
        <w:t>、</w:t>
      </w:r>
      <w:r>
        <w:rPr>
          <w:rFonts w:eastAsia="仿宋_GB2312"/>
          <w:sz w:val="32"/>
          <w:szCs w:val="32"/>
        </w:rPr>
        <w:t>38</w:t>
      </w:r>
      <w:r>
        <w:rPr>
          <w:rFonts w:hint="eastAsia" w:eastAsia="仿宋_GB2312"/>
          <w:sz w:val="32"/>
          <w:szCs w:val="32"/>
        </w:rPr>
        <w:t>个百分点；能耗强度</w:t>
      </w:r>
      <w:r>
        <w:rPr>
          <w:rFonts w:eastAsia="仿宋_GB2312"/>
          <w:sz w:val="32"/>
          <w:szCs w:val="32"/>
          <w:vertAlign w:val="superscript"/>
        </w:rPr>
        <w:footnoteReference w:id="0"/>
      </w:r>
      <w:r>
        <w:rPr>
          <w:rFonts w:hint="eastAsia" w:eastAsia="仿宋_GB2312"/>
          <w:sz w:val="32"/>
          <w:szCs w:val="32"/>
        </w:rPr>
        <w:t>、碳排放强度约为全国平均水平的一半，绿色低碳高质量发展先行区建设走在全省全列。</w:t>
      </w:r>
      <w:r>
        <w:rPr>
          <w:rFonts w:eastAsia="仿宋_GB2312"/>
          <w:sz w:val="32"/>
          <w:szCs w:val="32"/>
        </w:rPr>
        <w:t>“</w:t>
      </w:r>
      <w:r>
        <w:rPr>
          <w:rFonts w:hint="eastAsia" w:eastAsia="仿宋_GB2312"/>
          <w:sz w:val="32"/>
          <w:szCs w:val="32"/>
        </w:rPr>
        <w:t>四新</w:t>
      </w:r>
      <w:r>
        <w:rPr>
          <w:rFonts w:eastAsia="仿宋_GB2312"/>
          <w:sz w:val="32"/>
          <w:szCs w:val="32"/>
        </w:rPr>
        <w:t>”</w:t>
      </w:r>
      <w:r>
        <w:rPr>
          <w:rFonts w:hint="eastAsia" w:eastAsia="仿宋_GB2312"/>
          <w:sz w:val="32"/>
          <w:szCs w:val="32"/>
        </w:rPr>
        <w:t>经济增加值占生产总值比重达到</w:t>
      </w:r>
      <w:r>
        <w:rPr>
          <w:rFonts w:eastAsia="仿宋_GB2312"/>
          <w:sz w:val="32"/>
          <w:szCs w:val="32"/>
        </w:rPr>
        <w:t>32.6%</w:t>
      </w:r>
      <w:r>
        <w:rPr>
          <w:rFonts w:hint="eastAsia" w:eastAsia="仿宋_GB2312"/>
          <w:sz w:val="32"/>
          <w:szCs w:val="32"/>
        </w:rPr>
        <w:t>，高新技术产业整体居国内领先地位。海洋经济增加值占生产总值比重达到</w:t>
      </w:r>
      <w:r>
        <w:rPr>
          <w:rFonts w:eastAsia="仿宋_GB2312"/>
          <w:sz w:val="32"/>
          <w:szCs w:val="32"/>
        </w:rPr>
        <w:t>30%</w:t>
      </w:r>
      <w:r>
        <w:rPr>
          <w:rFonts w:hint="eastAsia" w:eastAsia="仿宋_GB2312"/>
          <w:sz w:val="32"/>
          <w:szCs w:val="32"/>
        </w:rPr>
        <w:t>左右。生态环保企业集群初具规模，竞争力明显增强。西海岸新区成为全国首批气候投融资试点，青岛港荣获全国首批</w:t>
      </w:r>
      <w:r>
        <w:rPr>
          <w:rFonts w:eastAsia="仿宋_GB2312"/>
          <w:sz w:val="32"/>
          <w:szCs w:val="32"/>
        </w:rPr>
        <w:t>“</w:t>
      </w:r>
      <w:r>
        <w:rPr>
          <w:rFonts w:hint="eastAsia" w:eastAsia="仿宋_GB2312"/>
          <w:sz w:val="32"/>
          <w:szCs w:val="32"/>
        </w:rPr>
        <w:t>绿色港口</w:t>
      </w:r>
      <w:r>
        <w:rPr>
          <w:rFonts w:eastAsia="仿宋_GB2312"/>
          <w:sz w:val="32"/>
          <w:szCs w:val="32"/>
        </w:rPr>
        <w:t>”</w:t>
      </w:r>
      <w:r>
        <w:rPr>
          <w:rFonts w:hint="eastAsia" w:eastAsia="仿宋_GB2312"/>
          <w:sz w:val="32"/>
          <w:szCs w:val="32"/>
        </w:rPr>
        <w:t>称号。</w:t>
      </w:r>
    </w:p>
    <w:p>
      <w:pPr>
        <w:adjustRightInd w:val="0"/>
        <w:snapToGrid w:val="0"/>
        <w:spacing w:line="560" w:lineRule="exact"/>
        <w:ind w:firstLine="643" w:firstLineChars="200"/>
        <w:rPr>
          <w:rFonts w:eastAsia="仿宋_GB2312"/>
          <w:sz w:val="32"/>
          <w:szCs w:val="32"/>
        </w:rPr>
      </w:pPr>
      <w:r>
        <w:rPr>
          <w:rFonts w:hint="eastAsia" w:ascii="等线" w:hAnsi="等线" w:eastAsia="仿宋_GB2312"/>
          <w:b/>
          <w:sz w:val="32"/>
          <w:szCs w:val="32"/>
        </w:rPr>
        <w:t>多元文化相融，历史人文底蕴深厚。</w:t>
      </w:r>
      <w:r>
        <w:rPr>
          <w:rFonts w:hint="eastAsia" w:ascii="等线" w:hAnsi="等线" w:eastAsia="仿宋_GB2312"/>
          <w:sz w:val="32"/>
          <w:szCs w:val="32"/>
        </w:rPr>
        <w:t>青岛是国家历史文化名城，具有中西合璧、</w:t>
      </w:r>
      <w:r>
        <w:rPr>
          <w:rFonts w:ascii="等线" w:hAnsi="等线" w:eastAsia="仿宋_GB2312"/>
          <w:sz w:val="32"/>
          <w:szCs w:val="32"/>
        </w:rPr>
        <w:t>古今交融</w:t>
      </w:r>
      <w:r>
        <w:rPr>
          <w:rFonts w:hint="eastAsia" w:ascii="等线" w:hAnsi="等线" w:eastAsia="仿宋_GB2312"/>
          <w:sz w:val="32"/>
          <w:szCs w:val="32"/>
        </w:rPr>
        <w:t>的深厚文化底蕴。</w:t>
      </w:r>
      <w:r>
        <w:rPr>
          <w:rFonts w:hint="eastAsia" w:eastAsia="仿宋_GB2312"/>
          <w:sz w:val="32"/>
          <w:szCs w:val="32"/>
        </w:rPr>
        <w:t>世界文化遗产齐长城由西海岸新区入海。共有全国重点文物保护单位</w:t>
      </w:r>
      <w:r>
        <w:rPr>
          <w:rFonts w:eastAsia="仿宋_GB2312"/>
          <w:sz w:val="32"/>
          <w:szCs w:val="32"/>
        </w:rPr>
        <w:t>18</w:t>
      </w:r>
      <w:r>
        <w:rPr>
          <w:rFonts w:hint="eastAsia" w:eastAsia="仿宋_GB2312"/>
          <w:sz w:val="32"/>
          <w:szCs w:val="32"/>
        </w:rPr>
        <w:t>处，国家级非物质文化遗产</w:t>
      </w:r>
      <w:r>
        <w:rPr>
          <w:rFonts w:eastAsia="仿宋_GB2312"/>
          <w:sz w:val="32"/>
          <w:szCs w:val="32"/>
        </w:rPr>
        <w:t>16</w:t>
      </w:r>
      <w:r>
        <w:rPr>
          <w:rFonts w:hint="eastAsia" w:eastAsia="仿宋_GB2312"/>
          <w:sz w:val="32"/>
          <w:szCs w:val="32"/>
        </w:rPr>
        <w:t>项，省级以上名镇、名村、传统村落</w:t>
      </w:r>
      <w:r>
        <w:rPr>
          <w:rFonts w:eastAsia="仿宋_GB2312"/>
          <w:sz w:val="32"/>
          <w:szCs w:val="32"/>
        </w:rPr>
        <w:t>15</w:t>
      </w:r>
      <w:r>
        <w:rPr>
          <w:rFonts w:hint="eastAsia" w:eastAsia="仿宋_GB2312"/>
          <w:sz w:val="32"/>
          <w:szCs w:val="32"/>
        </w:rPr>
        <w:t>个。成立全国首家文明实践</w:t>
      </w:r>
      <w:r>
        <w:rPr>
          <w:rStyle w:val="60"/>
          <w:rFonts w:hint="eastAsia" w:ascii="Times New Roman" w:hAnsi="Times New Roman"/>
          <w:sz w:val="32"/>
          <w:szCs w:val="32"/>
        </w:rPr>
        <w:t>志愿服务学院，推动</w:t>
      </w:r>
      <w:r>
        <w:rPr>
          <w:rStyle w:val="60"/>
          <w:rFonts w:ascii="Times New Roman" w:hAnsi="Times New Roman"/>
          <w:sz w:val="32"/>
          <w:szCs w:val="32"/>
        </w:rPr>
        <w:t>5000</w:t>
      </w:r>
      <w:r>
        <w:rPr>
          <w:rStyle w:val="60"/>
          <w:rFonts w:hint="eastAsia" w:ascii="Times New Roman" w:hAnsi="Times New Roman"/>
          <w:sz w:val="32"/>
          <w:szCs w:val="32"/>
        </w:rPr>
        <w:t>余个文</w:t>
      </w:r>
      <w:r>
        <w:rPr>
          <w:rStyle w:val="60"/>
          <w:rFonts w:ascii="Times New Roman" w:hAnsi="Times New Roman"/>
          <w:sz w:val="32"/>
          <w:szCs w:val="32"/>
        </w:rPr>
        <w:t>明实践中心全域覆盖，</w:t>
      </w:r>
      <w:r>
        <w:rPr>
          <w:rStyle w:val="60"/>
          <w:rFonts w:hint="eastAsia" w:ascii="Times New Roman" w:hAnsi="Times New Roman"/>
          <w:sz w:val="32"/>
          <w:szCs w:val="32"/>
        </w:rPr>
        <w:t>涌现出“微尘”</w:t>
      </w:r>
      <w:r>
        <w:rPr>
          <w:rFonts w:hint="eastAsia" w:eastAsia="仿宋_GB2312"/>
          <w:sz w:val="32"/>
          <w:szCs w:val="32"/>
        </w:rPr>
        <w:t>“红飘带”等一大批感动中国的城市名片。建有</w:t>
      </w:r>
      <w:r>
        <w:rPr>
          <w:rFonts w:eastAsia="仿宋_GB2312"/>
          <w:sz w:val="32"/>
          <w:szCs w:val="32"/>
        </w:rPr>
        <w:t>67</w:t>
      </w:r>
      <w:r>
        <w:rPr>
          <w:rFonts w:hint="eastAsia" w:eastAsia="仿宋_GB2312"/>
          <w:sz w:val="32"/>
          <w:szCs w:val="32"/>
        </w:rPr>
        <w:t>家环境教育基地，年接待公众</w:t>
      </w:r>
      <w:r>
        <w:rPr>
          <w:rFonts w:eastAsia="仿宋_GB2312"/>
          <w:sz w:val="32"/>
          <w:szCs w:val="32"/>
        </w:rPr>
        <w:t>10</w:t>
      </w:r>
      <w:r>
        <w:rPr>
          <w:rFonts w:hint="eastAsia" w:eastAsia="仿宋_GB2312"/>
          <w:sz w:val="32"/>
          <w:szCs w:val="32"/>
        </w:rPr>
        <w:t>余万人次。</w:t>
      </w:r>
    </w:p>
    <w:p>
      <w:pPr>
        <w:adjustRightInd w:val="0"/>
        <w:snapToGrid w:val="0"/>
        <w:spacing w:line="560" w:lineRule="exact"/>
        <w:ind w:firstLine="643" w:firstLineChars="200"/>
        <w:rPr>
          <w:rFonts w:ascii="等线" w:hAnsi="等线" w:eastAsia="仿宋_GB2312"/>
          <w:sz w:val="32"/>
          <w:szCs w:val="32"/>
        </w:rPr>
      </w:pPr>
      <w:r>
        <w:rPr>
          <w:rFonts w:hint="eastAsia" w:ascii="等线" w:hAnsi="等线" w:eastAsia="仿宋_GB2312"/>
          <w:b/>
          <w:sz w:val="32"/>
          <w:szCs w:val="32"/>
        </w:rPr>
        <w:t>改革创新推动，生态环境治理体系日臻完善。</w:t>
      </w:r>
      <w:r>
        <w:rPr>
          <w:rFonts w:hint="eastAsia" w:ascii="等线" w:hAnsi="等线" w:eastAsia="仿宋_GB2312"/>
          <w:sz w:val="32"/>
          <w:szCs w:val="32"/>
        </w:rPr>
        <w:t>市、区（市）两级生态环境保护委员会工作机制完善，生态环境保护职责分工明确，齐抓共管局面基本形成。在全省率先实现生态环境损害赔偿案件区（市）全覆盖，持续推进国家</w:t>
      </w:r>
      <w:r>
        <w:rPr>
          <w:rFonts w:hint="eastAsia" w:eastAsia="仿宋_GB2312"/>
          <w:sz w:val="32"/>
          <w:szCs w:val="32"/>
        </w:rPr>
        <w:t>排污</w:t>
      </w:r>
      <w:r>
        <w:rPr>
          <w:rFonts w:hint="eastAsia" w:ascii="等线" w:hAnsi="等线" w:eastAsia="仿宋_GB2312"/>
          <w:sz w:val="32"/>
          <w:szCs w:val="32"/>
        </w:rPr>
        <w:t>权有偿使用和交易试点。在全省率先完成生态环境机构监测监察执法垂直管理制度改革。创新环境信用评价和监管机制，常态化落实生态环境监督执法正面清单，推进实施“互联网</w:t>
      </w:r>
      <w:r>
        <w:rPr>
          <w:rFonts w:ascii="等线" w:hAnsi="等线" w:eastAsia="仿宋_GB2312"/>
          <w:sz w:val="32"/>
          <w:szCs w:val="32"/>
        </w:rPr>
        <w:t>+</w:t>
      </w:r>
      <w:r>
        <w:rPr>
          <w:rFonts w:hint="eastAsia" w:ascii="等线" w:hAnsi="等线" w:eastAsia="仿宋_GB2312"/>
          <w:sz w:val="32"/>
          <w:szCs w:val="32"/>
        </w:rPr>
        <w:t>”环境执法。深化环评“放管服”改革，实施环评审批正面清单，推行区域规划环评</w:t>
      </w:r>
      <w:r>
        <w:rPr>
          <w:rFonts w:ascii="等线" w:hAnsi="等线" w:eastAsia="仿宋_GB2312"/>
          <w:sz w:val="32"/>
          <w:szCs w:val="32"/>
        </w:rPr>
        <w:t>+</w:t>
      </w:r>
      <w:r>
        <w:rPr>
          <w:rFonts w:hint="eastAsia" w:ascii="等线" w:hAnsi="等线" w:eastAsia="仿宋_GB2312"/>
          <w:sz w:val="32"/>
          <w:szCs w:val="32"/>
        </w:rPr>
        <w:t>告知承诺审批的管理模式，优化营商环境。探索成立环境医院，为企业提供一站式服务。</w:t>
      </w:r>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16" w:name="_Toc133150275"/>
      <w:r>
        <w:rPr>
          <w:rFonts w:hint="eastAsia" w:ascii="等线" w:hAnsi="等线" w:eastAsia="楷体_GB2312"/>
          <w:b/>
          <w:bCs/>
          <w:sz w:val="32"/>
          <w:szCs w:val="32"/>
        </w:rPr>
        <w:t>（二）面临形势</w:t>
      </w:r>
      <w:bookmarkEnd w:id="16"/>
    </w:p>
    <w:p>
      <w:pPr>
        <w:pStyle w:val="59"/>
        <w:spacing w:after="0" w:afterLines="0"/>
        <w:ind w:firstLine="640"/>
        <w:rPr>
          <w:sz w:val="32"/>
          <w:szCs w:val="32"/>
        </w:rPr>
      </w:pPr>
      <w:r>
        <w:rPr>
          <w:rFonts w:hint="eastAsia"/>
          <w:sz w:val="32"/>
          <w:szCs w:val="32"/>
        </w:rPr>
        <w:t>时代潮起，波澜壮阔，习近平总书记和党中央赋予青岛一系列国之重任，为美丽青岛建设提供了前所未有的战略机遇。在把握“两个大局”战略思维下，青岛应主动融入和服务“一带一路”、黄河流域生态保护和高质量发展等国家战略，持续推进绿色低碳高质量发展先行区建设，深入实施上合示范区、山东自贸试验区青岛片区等重大战略，在开放合作中提升城市能级拓出新空间，不断提升城市影响力，开创新时代美丽青岛建设新局面。</w:t>
      </w:r>
    </w:p>
    <w:p>
      <w:pPr>
        <w:pStyle w:val="59"/>
        <w:spacing w:after="0" w:afterLines="0"/>
        <w:ind w:firstLine="640"/>
        <w:rPr>
          <w:sz w:val="32"/>
          <w:szCs w:val="32"/>
        </w:rPr>
        <w:sectPr>
          <w:footerReference r:id="rId6" w:type="default"/>
          <w:pgSz w:w="11906" w:h="16838"/>
          <w:pgMar w:top="2098" w:right="1474" w:bottom="1984" w:left="1587" w:header="851" w:footer="992" w:gutter="0"/>
          <w:pgNumType w:fmt="numberInDash" w:start="1"/>
          <w:cols w:space="425" w:num="1"/>
          <w:docGrid w:type="lines" w:linePitch="312" w:charSpace="0"/>
        </w:sectPr>
      </w:pPr>
      <w:r>
        <w:rPr>
          <w:rFonts w:hint="eastAsia"/>
          <w:sz w:val="32"/>
          <w:szCs w:val="32"/>
        </w:rPr>
        <w:t>当今世界百年未有之大变局正在加速演进，国际环境日趋复杂，国内改革发展稳定任务艰巨繁重，进入战略机遇和风险挑战并存时期。青岛市正处于转型升级的重要关口，高水平保护和高质量发展水平有待提升。发展保护格局仍需优化，绿色竞争优势尚未全面形成。生态环境持续改善压力增大，生态环境治理效能有待提高，城乡人居生活品质有待提升，优质的生态环境与人民群众对美好生活的期待和现代化国际大都市目标仍有差距。</w:t>
      </w:r>
    </w:p>
    <w:p>
      <w:pPr>
        <w:keepNext/>
        <w:keepLines/>
        <w:adjustRightInd w:val="0"/>
        <w:snapToGrid w:val="0"/>
        <w:spacing w:line="560" w:lineRule="exact"/>
        <w:outlineLvl w:val="0"/>
        <w:rPr>
          <w:rFonts w:ascii="等线" w:hAnsi="等线" w:eastAsia="黑体"/>
          <w:bCs/>
          <w:kern w:val="44"/>
          <w:sz w:val="32"/>
          <w:szCs w:val="48"/>
        </w:rPr>
      </w:pPr>
      <w:bookmarkStart w:id="17" w:name="_Toc5010"/>
      <w:bookmarkStart w:id="18" w:name="_Toc133150276"/>
      <w:r>
        <w:rPr>
          <w:rFonts w:hint="eastAsia" w:ascii="等线" w:hAnsi="等线" w:eastAsia="黑体"/>
          <w:bCs/>
          <w:kern w:val="44"/>
          <w:sz w:val="32"/>
          <w:szCs w:val="48"/>
        </w:rPr>
        <w:t>二、总体要求</w:t>
      </w:r>
      <w:bookmarkEnd w:id="17"/>
      <w:bookmarkEnd w:id="18"/>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19" w:name="_Toc17214"/>
      <w:bookmarkStart w:id="20" w:name="_Toc133150277"/>
      <w:r>
        <w:rPr>
          <w:rFonts w:hint="eastAsia" w:ascii="等线" w:hAnsi="等线" w:eastAsia="楷体_GB2312"/>
          <w:b/>
          <w:bCs/>
          <w:sz w:val="32"/>
          <w:szCs w:val="32"/>
        </w:rPr>
        <w:t>（一）指导思想</w:t>
      </w:r>
      <w:bookmarkEnd w:id="19"/>
      <w:bookmarkEnd w:id="20"/>
    </w:p>
    <w:p>
      <w:pPr>
        <w:adjustRightInd w:val="0"/>
        <w:snapToGrid w:val="0"/>
        <w:spacing w:line="560" w:lineRule="exact"/>
        <w:ind w:firstLine="640" w:firstLineChars="200"/>
        <w:rPr>
          <w:rFonts w:ascii="等线" w:hAnsi="等线" w:eastAsia="仿宋_GB2312"/>
          <w:sz w:val="32"/>
          <w:szCs w:val="32"/>
        </w:rPr>
      </w:pPr>
      <w:r>
        <w:rPr>
          <w:rFonts w:hint="eastAsia" w:ascii="等线" w:hAnsi="等线" w:eastAsia="仿宋_GB2312"/>
          <w:sz w:val="32"/>
          <w:szCs w:val="32"/>
        </w:rPr>
        <w:t>以习近平新时代中国特色社会主义思想为指导，全面贯彻党的二十大精神和习近平总书记视察山东、视察青岛重要讲话精神，深入践行习近平生态文明思想，落实省委、省政府对美丽山东建设的部署，积极践行人民城市重要理念，统筹产业结构调整、污染治理、生态保护、应对气候变化，协同推进降碳、减污、扩绿、增长。以和谐生态、品质环境、健康韧性、宜居典范、低碳先行、出彩文化、现代制度、绿色窗口“八美之城”为建设重点，打造山风海韵、魅力宜居、活力善治的美丽青岛，建设美丽中国建设样板区，为特大城市清洁美丽建设贡献青岛智慧。</w:t>
      </w:r>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21" w:name="_Toc9710"/>
      <w:bookmarkStart w:id="22" w:name="_Toc133150278"/>
      <w:r>
        <w:rPr>
          <w:rFonts w:hint="eastAsia" w:ascii="等线" w:hAnsi="等线" w:eastAsia="楷体_GB2312"/>
          <w:b/>
          <w:bCs/>
          <w:sz w:val="32"/>
          <w:szCs w:val="32"/>
        </w:rPr>
        <w:t>（二）基本原则</w:t>
      </w:r>
      <w:bookmarkEnd w:id="21"/>
      <w:bookmarkEnd w:id="22"/>
    </w:p>
    <w:p>
      <w:pPr>
        <w:pStyle w:val="59"/>
        <w:spacing w:after="0" w:afterLines="0"/>
        <w:ind w:firstLine="640"/>
        <w:rPr>
          <w:sz w:val="32"/>
          <w:szCs w:val="32"/>
        </w:rPr>
      </w:pPr>
      <w:r>
        <w:rPr>
          <w:rFonts w:hint="eastAsia" w:ascii="楷体_GB2312" w:eastAsia="楷体_GB2312"/>
          <w:sz w:val="32"/>
          <w:szCs w:val="32"/>
        </w:rPr>
        <w:t>守正创新，典范引领。</w:t>
      </w:r>
      <w:r>
        <w:rPr>
          <w:rFonts w:hint="eastAsia"/>
          <w:sz w:val="32"/>
          <w:szCs w:val="32"/>
        </w:rPr>
        <w:t>对标国际可持续发展先进城市，积极探索特大城市美丽建设模式，以美丽青岛品牌效应提升城市竞争力和影响力，在全省勇当龙头、在全国争先进位、在全球彰显特色，讲好美丽中国建设的“青岛故事”。</w:t>
      </w:r>
    </w:p>
    <w:p>
      <w:pPr>
        <w:pStyle w:val="59"/>
        <w:spacing w:after="0" w:afterLines="0"/>
        <w:ind w:firstLine="640"/>
        <w:rPr>
          <w:sz w:val="32"/>
          <w:szCs w:val="32"/>
        </w:rPr>
      </w:pPr>
      <w:r>
        <w:rPr>
          <w:rFonts w:hint="eastAsia" w:ascii="楷体_GB2312" w:eastAsia="楷体_GB2312"/>
          <w:sz w:val="32"/>
          <w:szCs w:val="32"/>
        </w:rPr>
        <w:t>生态优先、绿色发展。</w:t>
      </w:r>
      <w:r>
        <w:rPr>
          <w:rFonts w:hint="eastAsia"/>
          <w:sz w:val="32"/>
          <w:szCs w:val="32"/>
        </w:rPr>
        <w:t>牢固树立和践行“绿水青山就是金山银山”理念，</w:t>
      </w:r>
      <w:r>
        <w:rPr>
          <w:rFonts w:hint="eastAsia" w:ascii="仿宋_GB2312" w:hAnsi="仿宋_GB2312" w:cs="仿宋_GB2312"/>
          <w:sz w:val="32"/>
          <w:szCs w:val="32"/>
        </w:rPr>
        <w:t>将生态环境保护要求融入经济社会发展全过程，</w:t>
      </w:r>
      <w:r>
        <w:rPr>
          <w:rFonts w:hint="eastAsia"/>
          <w:sz w:val="32"/>
          <w:szCs w:val="32"/>
        </w:rPr>
        <w:t>推动形成节约资源和保护环境的空间格局、产业结构、生产生活方式，以生态环境高水平保护推动经济高质量发展。</w:t>
      </w:r>
    </w:p>
    <w:p>
      <w:pPr>
        <w:pStyle w:val="59"/>
        <w:spacing w:after="0" w:afterLines="0"/>
        <w:ind w:firstLine="640"/>
        <w:rPr>
          <w:sz w:val="32"/>
          <w:szCs w:val="32"/>
        </w:rPr>
      </w:pPr>
      <w:r>
        <w:rPr>
          <w:rFonts w:hint="eastAsia" w:ascii="楷体_GB2312" w:eastAsia="楷体_GB2312"/>
          <w:sz w:val="32"/>
          <w:szCs w:val="32"/>
        </w:rPr>
        <w:t>系统推进，协同增效。</w:t>
      </w:r>
      <w:r>
        <w:rPr>
          <w:rFonts w:hint="eastAsia"/>
          <w:sz w:val="32"/>
          <w:szCs w:val="32"/>
        </w:rPr>
        <w:t>把城市作为有机生命体，系统谋划美丽青岛建设，坚持多污染物协同控制和区域协同治理，坚持减污降碳协同增效，统筹推进山水林田海岛湾系统治理，系统治理、源头治理，推进一体化保护与修复。</w:t>
      </w:r>
    </w:p>
    <w:p>
      <w:pPr>
        <w:pStyle w:val="59"/>
        <w:spacing w:after="0" w:afterLines="0"/>
        <w:ind w:firstLine="640"/>
        <w:rPr>
          <w:sz w:val="32"/>
          <w:szCs w:val="32"/>
        </w:rPr>
      </w:pPr>
      <w:r>
        <w:rPr>
          <w:rFonts w:hint="eastAsia" w:ascii="楷体_GB2312" w:eastAsia="楷体_GB2312"/>
          <w:sz w:val="32"/>
          <w:szCs w:val="32"/>
        </w:rPr>
        <w:t>因地制宜，彰显魅力。</w:t>
      </w:r>
      <w:r>
        <w:rPr>
          <w:rFonts w:hint="eastAsia"/>
          <w:sz w:val="32"/>
          <w:szCs w:val="32"/>
        </w:rPr>
        <w:t>立足“山海岛城湾、田园林水乡”交融共生的生态城市基底，聚山海形胜，汇中西之长，延续历史文脉，彰显山海城湾一体特色，形成各美其美、美美与共的美丽建设特色模式，打造别样精彩的美丽青岛名片。</w:t>
      </w:r>
    </w:p>
    <w:p>
      <w:pPr>
        <w:pStyle w:val="59"/>
        <w:spacing w:after="0" w:afterLines="0"/>
        <w:ind w:firstLine="640"/>
        <w:rPr>
          <w:sz w:val="32"/>
          <w:szCs w:val="32"/>
        </w:rPr>
      </w:pPr>
      <w:r>
        <w:rPr>
          <w:rFonts w:hint="eastAsia" w:ascii="楷体_GB2312" w:eastAsia="楷体_GB2312"/>
          <w:sz w:val="32"/>
          <w:szCs w:val="32"/>
        </w:rPr>
        <w:t>全民行动，共建共享。</w:t>
      </w:r>
      <w:r>
        <w:rPr>
          <w:rFonts w:hint="eastAsia"/>
          <w:sz w:val="32"/>
          <w:szCs w:val="32"/>
        </w:rPr>
        <w:t>坚持人民城市人民建、人民城市为人民的理念，形成美丽青岛建设共同体和具有深厚社会基础的行动体系，打造共治共建共富共享的美丽建设格局，不断增强人民群众的获得感、幸福感和安全感。</w:t>
      </w:r>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23" w:name="_Toc26870"/>
      <w:bookmarkStart w:id="24" w:name="_Toc133150279"/>
      <w:bookmarkStart w:id="25" w:name="_Hlk131765734"/>
      <w:r>
        <w:rPr>
          <w:rFonts w:hint="eastAsia" w:ascii="等线" w:hAnsi="等线" w:eastAsia="楷体_GB2312"/>
          <w:b/>
          <w:bCs/>
          <w:sz w:val="32"/>
          <w:szCs w:val="32"/>
        </w:rPr>
        <w:t>（三）战略定位</w:t>
      </w:r>
      <w:bookmarkEnd w:id="23"/>
      <w:bookmarkEnd w:id="24"/>
    </w:p>
    <w:bookmarkEnd w:id="25"/>
    <w:p>
      <w:pPr>
        <w:adjustRightInd w:val="0"/>
        <w:snapToGrid w:val="0"/>
        <w:spacing w:line="560" w:lineRule="exact"/>
        <w:ind w:firstLine="640" w:firstLineChars="200"/>
        <w:rPr>
          <w:rFonts w:ascii="等线" w:hAnsi="等线" w:eastAsia="仿宋_GB2312"/>
          <w:sz w:val="32"/>
          <w:szCs w:val="32"/>
        </w:rPr>
      </w:pPr>
      <w:r>
        <w:rPr>
          <w:rFonts w:hint="eastAsia" w:ascii="等线" w:hAnsi="等线" w:eastAsia="楷体_GB2312"/>
          <w:sz w:val="32"/>
          <w:szCs w:val="32"/>
        </w:rPr>
        <w:t>展示习近平生态文明思想的“重要窗口”。</w:t>
      </w:r>
      <w:r>
        <w:rPr>
          <w:rFonts w:hint="eastAsia" w:ascii="等线" w:hAnsi="等线" w:eastAsia="仿宋_GB2312"/>
          <w:sz w:val="32"/>
          <w:szCs w:val="32"/>
        </w:rPr>
        <w:t>充分发挥“国际客厅”效应，将青岛打造成为生态文明国际合作开放创新高地，建设山东省面向世界开放发展的桥头堡，打造国家纵深开放新的重要战略支点，努力成为向世界展示习近平生态文明思想的“重要窗口”。</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等线" w:hAnsi="等线" w:eastAsia="楷体_GB2312"/>
          <w:sz w:val="32"/>
          <w:szCs w:val="32"/>
        </w:rPr>
        <w:t>绿色低碳高质量发展引领区。</w:t>
      </w:r>
      <w:r>
        <w:rPr>
          <w:rFonts w:hint="eastAsia" w:ascii="等线" w:hAnsi="等线" w:eastAsia="仿宋_GB2312"/>
          <w:sz w:val="32"/>
          <w:szCs w:val="32"/>
        </w:rPr>
        <w:t>发挥新旧动能转换核心城市引领作用，以形成绿色低碳生产生活方式为主攻方向，以</w:t>
      </w:r>
      <w:r>
        <w:rPr>
          <w:rFonts w:hint="eastAsia" w:ascii="仿宋_GB2312" w:hAnsi="仿宋_GB2312" w:eastAsia="仿宋_GB2312" w:cs="仿宋_GB2312"/>
          <w:sz w:val="32"/>
          <w:szCs w:val="32"/>
        </w:rPr>
        <w:t>减污降碳协同增效作为总抓手，</w:t>
      </w:r>
      <w:r>
        <w:rPr>
          <w:rFonts w:hint="eastAsia" w:ascii="等线" w:hAnsi="等线" w:eastAsia="仿宋_GB2312"/>
          <w:sz w:val="32"/>
          <w:szCs w:val="32"/>
        </w:rPr>
        <w:t>深化新旧动能转换，推进国家低碳城市试点，争创全国碳中和先行示范区，努力在绿色低碳高质量发展先行区建设中体现龙头担当。</w:t>
      </w:r>
    </w:p>
    <w:p>
      <w:pPr>
        <w:adjustRightInd w:val="0"/>
        <w:snapToGrid w:val="0"/>
        <w:spacing w:line="560" w:lineRule="exact"/>
        <w:ind w:firstLine="640" w:firstLineChars="200"/>
        <w:rPr>
          <w:rFonts w:ascii="等线" w:hAnsi="等线" w:eastAsia="仿宋_GB2312"/>
          <w:sz w:val="32"/>
          <w:szCs w:val="32"/>
        </w:rPr>
      </w:pPr>
      <w:r>
        <w:rPr>
          <w:rFonts w:hint="eastAsia" w:ascii="等线" w:hAnsi="等线" w:eastAsia="楷体_GB2312"/>
          <w:sz w:val="32"/>
          <w:szCs w:val="32"/>
        </w:rPr>
        <w:t>陆海统筹生态保护先行示范区。</w:t>
      </w:r>
      <w:r>
        <w:rPr>
          <w:rFonts w:hint="eastAsia" w:ascii="仿宋_GB2312" w:hAnsi="等线" w:eastAsia="仿宋_GB2312"/>
          <w:sz w:val="32"/>
          <w:szCs w:val="32"/>
        </w:rPr>
        <w:t>围绕优质生态产品供给，统筹气、水、土、海等要素，</w:t>
      </w:r>
      <w:r>
        <w:rPr>
          <w:rFonts w:hint="eastAsia" w:ascii="等线" w:hAnsi="等线" w:eastAsia="仿宋_GB2312"/>
          <w:sz w:val="32"/>
          <w:szCs w:val="32"/>
        </w:rPr>
        <w:t>健全陆海统筹污染治理体系，促进“河</w:t>
      </w:r>
      <w:r>
        <w:rPr>
          <w:rFonts w:ascii="等线" w:hAnsi="等线" w:eastAsia="仿宋_GB2312"/>
          <w:sz w:val="32"/>
          <w:szCs w:val="32"/>
        </w:rPr>
        <w:t>-</w:t>
      </w:r>
      <w:r>
        <w:rPr>
          <w:rFonts w:hint="eastAsia" w:ascii="等线" w:hAnsi="等线" w:eastAsia="仿宋_GB2312"/>
          <w:sz w:val="32"/>
          <w:szCs w:val="32"/>
        </w:rPr>
        <w:t>陆</w:t>
      </w:r>
      <w:r>
        <w:rPr>
          <w:rFonts w:ascii="等线" w:hAnsi="等线" w:eastAsia="仿宋_GB2312"/>
          <w:sz w:val="32"/>
          <w:szCs w:val="32"/>
        </w:rPr>
        <w:t>-</w:t>
      </w:r>
      <w:r>
        <w:rPr>
          <w:rFonts w:hint="eastAsia" w:ascii="等线" w:hAnsi="等线" w:eastAsia="仿宋_GB2312"/>
          <w:sz w:val="32"/>
          <w:szCs w:val="32"/>
        </w:rPr>
        <w:t>湾</w:t>
      </w:r>
      <w:r>
        <w:rPr>
          <w:rFonts w:ascii="等线" w:hAnsi="等线" w:eastAsia="仿宋_GB2312"/>
          <w:sz w:val="32"/>
          <w:szCs w:val="32"/>
        </w:rPr>
        <w:t>-</w:t>
      </w:r>
      <w:r>
        <w:rPr>
          <w:rFonts w:hint="eastAsia" w:ascii="等线" w:hAnsi="等线" w:eastAsia="仿宋_GB2312"/>
          <w:sz w:val="32"/>
          <w:szCs w:val="32"/>
        </w:rPr>
        <w:t>海”生态系统良性循环，不断提高生物多样性，加快建设绿色可持续的海洋生态环境，努力实现人与自然和谐共生。</w:t>
      </w:r>
    </w:p>
    <w:p>
      <w:pPr>
        <w:adjustRightInd w:val="0"/>
        <w:snapToGrid w:val="0"/>
        <w:spacing w:line="560" w:lineRule="exact"/>
        <w:ind w:firstLine="640" w:firstLineChars="200"/>
        <w:rPr>
          <w:rFonts w:ascii="等线" w:hAnsi="等线" w:eastAsia="仿宋_GB2312"/>
          <w:sz w:val="32"/>
          <w:szCs w:val="32"/>
        </w:rPr>
      </w:pPr>
      <w:r>
        <w:rPr>
          <w:rFonts w:hint="eastAsia" w:ascii="等线" w:hAnsi="等线" w:eastAsia="楷体_GB2312"/>
          <w:sz w:val="32"/>
          <w:szCs w:val="32"/>
        </w:rPr>
        <w:t>高品质滨海宜居典范城市。</w:t>
      </w:r>
      <w:r>
        <w:rPr>
          <w:rFonts w:hint="eastAsia" w:ascii="等线" w:hAnsi="等线" w:eastAsia="仿宋_GB2312"/>
          <w:sz w:val="32"/>
          <w:szCs w:val="32"/>
        </w:rPr>
        <w:t>牢牢把握人民群众对美好生活的向往，聚力提升城市品质，持续改善人居环境质量，优化城乡公共服务供给，推动形成共同富裕体制机制和政策体系，建设生态环境良好、人文底蕴深厚、城乡高水平融合、人民安居乐业的滨海宜居典范之城。</w:t>
      </w:r>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26" w:name="_Toc133150280"/>
      <w:bookmarkStart w:id="27" w:name="_Toc24067"/>
      <w:r>
        <w:rPr>
          <w:rFonts w:hint="eastAsia" w:ascii="等线" w:hAnsi="等线" w:eastAsia="楷体_GB2312"/>
          <w:b/>
          <w:bCs/>
          <w:sz w:val="32"/>
          <w:szCs w:val="32"/>
        </w:rPr>
        <w:t>（四）战略目标</w:t>
      </w:r>
      <w:bookmarkEnd w:id="26"/>
    </w:p>
    <w:p>
      <w:pPr>
        <w:adjustRightInd w:val="0"/>
        <w:snapToGrid w:val="0"/>
        <w:spacing w:line="560" w:lineRule="exact"/>
        <w:ind w:firstLine="640" w:firstLineChars="200"/>
        <w:rPr>
          <w:rFonts w:eastAsia="仿宋_GB2312"/>
          <w:bCs/>
          <w:color w:val="FF0000"/>
          <w:sz w:val="32"/>
          <w:szCs w:val="32"/>
        </w:rPr>
      </w:pPr>
      <w:r>
        <w:rPr>
          <w:rFonts w:eastAsia="楷体_GB2312"/>
          <w:sz w:val="32"/>
          <w:szCs w:val="32"/>
        </w:rPr>
        <w:t>2025</w:t>
      </w:r>
      <w:r>
        <w:rPr>
          <w:rFonts w:hint="eastAsia" w:eastAsia="楷体_GB2312"/>
          <w:sz w:val="32"/>
          <w:szCs w:val="32"/>
        </w:rPr>
        <w:t>年，人与自然和谐共生的美丽青岛基本建成。</w:t>
      </w:r>
      <w:r>
        <w:rPr>
          <w:rFonts w:hint="eastAsia" w:eastAsia="仿宋_GB2312"/>
          <w:bCs/>
          <w:sz w:val="32"/>
          <w:szCs w:val="32"/>
        </w:rPr>
        <w:t>城市生态环境质量显著提升，生态系统和生物多样性得到有效保护，一流生态基底更加稳固。绿色低碳转型成效显著，蓝色经济和绿色经济新动能加速释放，</w:t>
      </w:r>
      <w:r>
        <w:rPr>
          <w:rFonts w:eastAsia="仿宋_GB2312"/>
          <w:bCs/>
          <w:sz w:val="32"/>
          <w:szCs w:val="32"/>
        </w:rPr>
        <w:t>“</w:t>
      </w:r>
      <w:r>
        <w:rPr>
          <w:rFonts w:hint="eastAsia" w:eastAsia="仿宋_GB2312"/>
          <w:bCs/>
          <w:sz w:val="32"/>
          <w:szCs w:val="32"/>
        </w:rPr>
        <w:t>两山</w:t>
      </w:r>
      <w:r>
        <w:rPr>
          <w:rFonts w:eastAsia="仿宋_GB2312"/>
          <w:bCs/>
          <w:sz w:val="32"/>
          <w:szCs w:val="32"/>
        </w:rPr>
        <w:t>”</w:t>
      </w:r>
      <w:r>
        <w:rPr>
          <w:rFonts w:hint="eastAsia" w:eastAsia="仿宋_GB2312"/>
          <w:bCs/>
          <w:sz w:val="32"/>
          <w:szCs w:val="32"/>
        </w:rPr>
        <w:t>转化通道创新拓展。宜居宜业宜游的高品质湾区城市功能品质全面提升，绿色生活方式广泛推行，滨海城市特色风貌更加突出。共建共享的美丽建设政策机制持续优</w:t>
      </w:r>
      <w:r>
        <w:rPr>
          <w:rFonts w:hint="eastAsia" w:eastAsia="仿宋_GB2312"/>
          <w:bCs/>
          <w:color w:val="000000"/>
          <w:sz w:val="32"/>
          <w:szCs w:val="32"/>
        </w:rPr>
        <w:t>化，现代环境治理体系建立健全</w:t>
      </w:r>
      <w:r>
        <w:rPr>
          <w:rFonts w:hint="eastAsia" w:eastAsia="仿宋_GB2312"/>
          <w:bCs/>
          <w:sz w:val="32"/>
          <w:szCs w:val="32"/>
        </w:rPr>
        <w:t>。</w:t>
      </w:r>
    </w:p>
    <w:p>
      <w:pPr>
        <w:adjustRightInd w:val="0"/>
        <w:snapToGrid w:val="0"/>
        <w:spacing w:line="560" w:lineRule="exact"/>
        <w:ind w:firstLine="640" w:firstLineChars="200"/>
        <w:rPr>
          <w:rFonts w:eastAsia="仿宋_GB2312"/>
          <w:bCs/>
          <w:color w:val="000000"/>
          <w:sz w:val="32"/>
          <w:szCs w:val="32"/>
          <w:highlight w:val="yellow"/>
        </w:rPr>
      </w:pPr>
      <w:r>
        <w:rPr>
          <w:rFonts w:eastAsia="楷体_GB2312"/>
          <w:sz w:val="32"/>
          <w:szCs w:val="32"/>
        </w:rPr>
        <w:t>2030</w:t>
      </w:r>
      <w:r>
        <w:rPr>
          <w:rFonts w:hint="eastAsia" w:eastAsia="楷体_GB2312"/>
          <w:sz w:val="32"/>
          <w:szCs w:val="32"/>
        </w:rPr>
        <w:t>年，人与自然和谐共生的美丽青岛总体建成。</w:t>
      </w:r>
      <w:r>
        <w:rPr>
          <w:rFonts w:hint="eastAsia" w:eastAsia="仿宋_GB2312"/>
          <w:bCs/>
          <w:sz w:val="32"/>
          <w:szCs w:val="32"/>
        </w:rPr>
        <w:t>生态环境质量根本改善，实现碳排放达峰，绿色生产生活方式总体形成，城市绿色竞争力、国际影响力大幅提升，资源能源利用效率达到世界先进水平，人与自然和谐共生格局基本形成，</w:t>
      </w:r>
      <w:r>
        <w:rPr>
          <w:rFonts w:hint="eastAsia" w:eastAsia="仿宋_GB2312"/>
          <w:bCs/>
          <w:color w:val="000000"/>
          <w:sz w:val="32"/>
          <w:szCs w:val="32"/>
        </w:rPr>
        <w:t>开放、现代、活力、时尚的国际大都市建设取得显著成效。</w:t>
      </w:r>
    </w:p>
    <w:p>
      <w:pPr>
        <w:adjustRightInd w:val="0"/>
        <w:snapToGrid w:val="0"/>
        <w:spacing w:line="560" w:lineRule="exact"/>
        <w:ind w:firstLine="640" w:firstLineChars="200"/>
        <w:rPr>
          <w:rFonts w:eastAsia="仿宋_GB2312"/>
          <w:bCs/>
          <w:sz w:val="32"/>
          <w:szCs w:val="32"/>
        </w:rPr>
      </w:pPr>
      <w:r>
        <w:rPr>
          <w:rFonts w:eastAsia="楷体_GB2312"/>
          <w:sz w:val="32"/>
          <w:szCs w:val="32"/>
        </w:rPr>
        <w:t>2035</w:t>
      </w:r>
      <w:r>
        <w:rPr>
          <w:rFonts w:hint="eastAsia" w:eastAsia="楷体_GB2312"/>
          <w:sz w:val="32"/>
          <w:szCs w:val="32"/>
        </w:rPr>
        <w:t>年，人与自然和谐共生的美丽青岛全面建成。</w:t>
      </w:r>
      <w:r>
        <w:rPr>
          <w:rFonts w:hint="eastAsia" w:eastAsia="仿宋_GB2312"/>
          <w:bCs/>
          <w:sz w:val="32"/>
          <w:szCs w:val="32"/>
        </w:rPr>
        <w:t>城乡生态环境根本好转，青山绿水碧海蓝天成为常态，碳排放达峰后稳中有降，绿色低碳生产生活方式广泛形成，城市生态环境治理范式全国领先，人民普遍享有宜居宜业宜游的幸福美好生活，成为全球海洋生态文明都会和滨海宜居典范之城。</w:t>
      </w:r>
    </w:p>
    <w:p>
      <w:pPr>
        <w:adjustRightInd w:val="0"/>
        <w:snapToGrid w:val="0"/>
        <w:spacing w:line="560" w:lineRule="exact"/>
        <w:ind w:firstLine="643" w:firstLineChars="200"/>
        <w:rPr>
          <w:rFonts w:eastAsia="仿宋_GB2312"/>
          <w:bCs/>
          <w:sz w:val="32"/>
          <w:szCs w:val="32"/>
        </w:rPr>
      </w:pPr>
      <w:r>
        <w:rPr>
          <w:rFonts w:hint="eastAsia" w:eastAsia="仿宋_GB2312"/>
          <w:b/>
          <w:bCs/>
          <w:sz w:val="32"/>
          <w:szCs w:val="32"/>
        </w:rPr>
        <w:t>到本世纪中叶，人与自然和谐共生的现代化国际大都市展现壮丽图景。</w:t>
      </w:r>
      <w:r>
        <w:rPr>
          <w:rFonts w:hint="eastAsia" w:eastAsia="仿宋_GB2312"/>
          <w:bCs/>
          <w:sz w:val="32"/>
          <w:szCs w:val="32"/>
        </w:rPr>
        <w:t>稳步迈向碳中和，与国际一流城市相匹配的自然—经济—社会复合系统实现良性循环，成为向世界展示中国式现代化、生态文明建设与可持续发展新形态的重要窗口。</w:t>
      </w:r>
    </w:p>
    <w:bookmarkEnd w:id="13"/>
    <w:bookmarkEnd w:id="27"/>
    <w:p>
      <w:pPr>
        <w:keepNext/>
        <w:keepLines/>
        <w:adjustRightInd w:val="0"/>
        <w:snapToGrid w:val="0"/>
        <w:spacing w:line="560" w:lineRule="exact"/>
        <w:outlineLvl w:val="0"/>
        <w:rPr>
          <w:rFonts w:ascii="等线" w:hAnsi="等线" w:eastAsia="黑体"/>
          <w:bCs/>
          <w:kern w:val="44"/>
          <w:sz w:val="32"/>
          <w:szCs w:val="48"/>
        </w:rPr>
      </w:pPr>
      <w:bookmarkStart w:id="28" w:name="_Toc133150281"/>
      <w:r>
        <w:rPr>
          <w:rFonts w:hint="eastAsia" w:ascii="等线" w:hAnsi="等线" w:eastAsia="黑体"/>
          <w:bCs/>
          <w:kern w:val="44"/>
          <w:sz w:val="32"/>
          <w:szCs w:val="48"/>
        </w:rPr>
        <w:t>三、蓝绿交织，打造共享自然生态和谐之城</w:t>
      </w:r>
      <w:bookmarkEnd w:id="28"/>
    </w:p>
    <w:p>
      <w:pPr>
        <w:adjustRightInd w:val="0"/>
        <w:snapToGrid w:val="0"/>
        <w:spacing w:line="560" w:lineRule="exact"/>
        <w:ind w:firstLine="640" w:firstLineChars="200"/>
        <w:rPr>
          <w:rFonts w:ascii="等线" w:hAnsi="等线" w:eastAsia="仿宋_GB2312"/>
          <w:sz w:val="32"/>
        </w:rPr>
      </w:pPr>
      <w:r>
        <w:rPr>
          <w:rFonts w:hint="eastAsia" w:ascii="等线" w:hAnsi="等线" w:eastAsia="仿宋_GB2312"/>
          <w:sz w:val="32"/>
        </w:rPr>
        <w:t>实施“从山顶到海洋”的“陆海一盘棋”策略，筑牢通山达海的生态基底，推进重点区域生态保护修复，建立覆盖全面的生态监管体系，建设生物多样性友好城市，建设高质量“山海湾岛林田河”生命共同体。</w:t>
      </w:r>
    </w:p>
    <w:p>
      <w:pPr>
        <w:keepNext/>
        <w:keepLines/>
        <w:adjustRightInd w:val="0"/>
        <w:snapToGrid w:val="0"/>
        <w:spacing w:line="560" w:lineRule="exact"/>
        <w:ind w:firstLine="643" w:firstLineChars="200"/>
        <w:outlineLvl w:val="1"/>
        <w:rPr>
          <w:rFonts w:ascii="等线 Light" w:hAnsi="等线 Light" w:eastAsia="楷体_GB2312"/>
          <w:b/>
          <w:bCs/>
          <w:sz w:val="32"/>
          <w:szCs w:val="32"/>
        </w:rPr>
      </w:pPr>
      <w:bookmarkStart w:id="29" w:name="_Toc133150282"/>
      <w:r>
        <w:rPr>
          <w:rFonts w:hint="eastAsia" w:ascii="等线 Light" w:hAnsi="等线 Light" w:eastAsia="楷体_GB2312"/>
          <w:b/>
          <w:bCs/>
          <w:sz w:val="32"/>
          <w:szCs w:val="32"/>
        </w:rPr>
        <w:t>（一）保护山海相依生态空间</w:t>
      </w:r>
      <w:bookmarkEnd w:id="29"/>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筑牢连山通海生态格局。</w:t>
      </w:r>
      <w:r>
        <w:rPr>
          <w:rFonts w:hint="eastAsia" w:ascii="等线" w:hAnsi="等线" w:eastAsia="仿宋_GB2312"/>
          <w:sz w:val="32"/>
        </w:rPr>
        <w:t>加强生态空间区域共保和陆海联动，以青岛市生态安全格局为基础，筑牢胶州湾生态核心，打造蓝色湾区。护好大沽河-胶莱河生态中轴，加强青烟联治和流域共保。建设崂山、珠山—铁镢山、大泽山三大山群，共筑胶东半岛绿色屏障。联合烟台等城市建设以胶州湾、鳌山湾、灵山湾、刘家湾等为主要湾区的滨海生态带，畅通白沙河、墨水河等蓝色廊道和滨海绿道等绿色廊道。</w:t>
      </w:r>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深化全域空间生态管控。</w:t>
      </w:r>
      <w:r>
        <w:rPr>
          <w:rFonts w:hint="eastAsia" w:ascii="等线" w:hAnsi="等线" w:eastAsia="仿宋_GB2312"/>
          <w:sz w:val="32"/>
        </w:rPr>
        <w:t>实施并细化主体功能区战略，持续完善县域功能区，建立乡镇单元细化管理模式，适当建立特殊名录区。严格落实“三区三线”空间管控和用途管制，整合优化各级各类自然保护地。健全完善海岸建筑退缩线制度，严控海岸线开发建设活动，严守自然岸线保有率。健全生态环境分区管控制度，推动“三线一单”实施应用、跟踪评估、更新调整以及平台建设。</w:t>
      </w:r>
    </w:p>
    <w:p>
      <w:pPr>
        <w:adjustRightInd w:val="0"/>
        <w:snapToGrid w:val="0"/>
        <w:spacing w:line="560" w:lineRule="exact"/>
        <w:ind w:firstLine="643" w:firstLineChars="200"/>
        <w:rPr>
          <w:rFonts w:ascii="等线" w:hAnsi="等线" w:eastAsia="等线"/>
        </w:rPr>
      </w:pPr>
      <w:r>
        <w:rPr>
          <w:rFonts w:hint="eastAsia" w:ascii="等线" w:hAnsi="等线" w:eastAsia="仿宋_GB2312"/>
          <w:b/>
          <w:bCs/>
          <w:sz w:val="32"/>
        </w:rPr>
        <w:t>促进陆海景观连续交融。</w:t>
      </w:r>
      <w:r>
        <w:rPr>
          <w:rFonts w:hint="eastAsia" w:ascii="等线" w:hAnsi="等线" w:eastAsia="仿宋_GB2312"/>
          <w:sz w:val="32"/>
        </w:rPr>
        <w:t>有效贯通河流生态廊道、城市绿道和胶州湾及两侧滨海绿道，串联近岸滩涂湿地、砂质岸线、沿海防护林带与滨海自然景观，打通生态空间与城市绿地系统。促进山体、水系、岸线、公园、绿道、人居等有机交融，打造亲自然公共空间。持续推进河湖岸线生态缓冲带连续成片建设，打造亲水驳岸。</w:t>
      </w:r>
    </w:p>
    <w:p>
      <w:pPr>
        <w:keepNext/>
        <w:keepLines/>
        <w:adjustRightInd w:val="0"/>
        <w:snapToGrid w:val="0"/>
        <w:spacing w:line="560" w:lineRule="exact"/>
        <w:ind w:firstLine="643" w:firstLineChars="200"/>
        <w:outlineLvl w:val="1"/>
        <w:rPr>
          <w:rFonts w:ascii="等线" w:hAnsi="等线" w:eastAsia="楷体_GB2312"/>
          <w:b/>
          <w:bCs/>
          <w:sz w:val="32"/>
          <w:szCs w:val="32"/>
        </w:rPr>
      </w:pPr>
      <w:bookmarkStart w:id="30" w:name="_Toc133150283"/>
      <w:r>
        <w:rPr>
          <w:rFonts w:hint="eastAsia" w:ascii="等线" w:hAnsi="等线" w:eastAsia="楷体_GB2312"/>
          <w:b/>
          <w:bCs/>
          <w:sz w:val="32"/>
          <w:szCs w:val="32"/>
        </w:rPr>
        <w:t>（二）深化自然生态保护修复</w:t>
      </w:r>
      <w:bookmarkEnd w:id="30"/>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保护海岛湾岸重要区域。</w:t>
      </w:r>
      <w:r>
        <w:rPr>
          <w:rFonts w:hint="eastAsia" w:ascii="等线" w:hAnsi="等线" w:eastAsia="仿宋_GB2312"/>
          <w:sz w:val="32"/>
        </w:rPr>
        <w:t>加强海草床、牡蛎礁、海藻场盐沼、柽柳林养护培育，培育海洋生物典型生境。开展生态岛礁工程，恢复受损海岛地形地貌和生态系统。重点建设胶州湾国家级海洋公园，打造一个生态健康、人与自然和谐相处的海湾型国家级海洋公园典范。开展胶州湾、鳌山湾等重点海湾以及海岛生态保护与岸线修复，维持基岩、砂砾质岸滩岸线稳定。积极开展人工岸线生态化改造，实施重点岸线景观优化工程。</w:t>
      </w:r>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强化滩涂湿地生态修复。</w:t>
      </w:r>
      <w:r>
        <w:rPr>
          <w:rFonts w:hint="eastAsia" w:ascii="等线" w:hAnsi="等线" w:eastAsia="仿宋_GB2312"/>
          <w:sz w:val="32"/>
        </w:rPr>
        <w:t>持续推进墨水河、大沽河、北胶莱河等重点流域治理保护和生态修复，加强少海、唐岛湾国家湿地公园等重要湿地和丁字湾、胶州湾等滩涂湿地保护管理，实施墨水河、祥茂河、桃源河、洋河等河口湿地治理行动，恢复特色滨海湿地生态系统生境。加强沿海防护林建设。</w:t>
      </w:r>
    </w:p>
    <w:p>
      <w:pPr>
        <w:adjustRightInd w:val="0"/>
        <w:snapToGrid w:val="0"/>
        <w:spacing w:line="560" w:lineRule="exact"/>
        <w:ind w:firstLine="643" w:firstLineChars="200"/>
        <w:rPr>
          <w:rFonts w:eastAsia="仿宋_GB2312"/>
          <w:sz w:val="32"/>
        </w:rPr>
      </w:pPr>
      <w:r>
        <w:rPr>
          <w:rFonts w:hint="eastAsia" w:ascii="等线" w:hAnsi="等线" w:eastAsia="仿宋_GB2312"/>
          <w:b/>
          <w:bCs/>
          <w:sz w:val="32"/>
        </w:rPr>
        <w:t>提升重点山林质量与风貌。</w:t>
      </w:r>
      <w:r>
        <w:rPr>
          <w:rFonts w:hint="eastAsia" w:ascii="等线" w:hAnsi="等线" w:eastAsia="仿宋_GB2312"/>
          <w:sz w:val="32"/>
        </w:rPr>
        <w:t>对城区山头和浮山、崂山山系、大泽山山系、大青山山系、黄岛山群山系、即墨东部山群山系等重点生态林区实施森林提质增效工程，增强水源涵养、固碳释氧、生物多样性维护等生态系统服务功能。持续推进林相改造，增加乡土物种比例，还原和保护大泽山</w:t>
      </w:r>
      <w:r>
        <w:rPr>
          <w:rFonts w:ascii="等线" w:hAnsi="等线" w:eastAsia="仿宋_GB2312"/>
          <w:sz w:val="32"/>
        </w:rPr>
        <w:t>-</w:t>
      </w:r>
      <w:r>
        <w:rPr>
          <w:rFonts w:hint="eastAsia" w:ascii="等线" w:hAnsi="等线" w:eastAsia="仿宋_GB2312"/>
          <w:sz w:val="32"/>
        </w:rPr>
        <w:t>大青山、崂山、珠山</w:t>
      </w:r>
      <w:r>
        <w:rPr>
          <w:rFonts w:ascii="等线" w:hAnsi="等线" w:eastAsia="仿宋_GB2312"/>
          <w:sz w:val="32"/>
        </w:rPr>
        <w:t>-</w:t>
      </w:r>
      <w:r>
        <w:rPr>
          <w:rFonts w:hint="eastAsia" w:ascii="等线" w:hAnsi="等线" w:eastAsia="仿宋_GB2312"/>
          <w:sz w:val="32"/>
        </w:rPr>
        <w:t>铁橛山等重要山体自然风貌，探索地带性植被还原方案。以崂山区、莱西市、平度市、西海岸新区等为重点，对历史遗留露天矿山开展环境综合治理与生态修复</w:t>
      </w:r>
      <w:r>
        <w:rPr>
          <w:rFonts w:hint="eastAsia" w:eastAsia="仿宋_GB2312"/>
          <w:sz w:val="32"/>
        </w:rPr>
        <w:t>。到</w:t>
      </w:r>
      <w:r>
        <w:rPr>
          <w:rFonts w:eastAsia="仿宋_GB2312"/>
          <w:sz w:val="32"/>
        </w:rPr>
        <w:t>2035</w:t>
      </w:r>
      <w:r>
        <w:rPr>
          <w:rFonts w:hint="eastAsia" w:eastAsia="仿宋_GB2312"/>
          <w:sz w:val="32"/>
        </w:rPr>
        <w:t>年，都市区破损山体修复率达到</w:t>
      </w:r>
      <w:r>
        <w:rPr>
          <w:rFonts w:eastAsia="仿宋_GB2312"/>
          <w:sz w:val="32"/>
        </w:rPr>
        <w:t>100%</w:t>
      </w:r>
      <w:r>
        <w:rPr>
          <w:rFonts w:hint="eastAsia" w:eastAsia="仿宋_GB2312"/>
          <w:sz w:val="32"/>
        </w:rPr>
        <w:t>。</w:t>
      </w:r>
    </w:p>
    <w:p>
      <w:pPr>
        <w:keepNext/>
        <w:keepLines/>
        <w:adjustRightInd w:val="0"/>
        <w:snapToGrid w:val="0"/>
        <w:spacing w:line="560" w:lineRule="exact"/>
        <w:ind w:firstLine="643" w:firstLineChars="200"/>
        <w:outlineLvl w:val="1"/>
        <w:rPr>
          <w:rFonts w:eastAsia="楷体_GB2312"/>
          <w:b/>
          <w:bCs/>
          <w:sz w:val="32"/>
          <w:szCs w:val="32"/>
        </w:rPr>
      </w:pPr>
      <w:bookmarkStart w:id="31" w:name="_Toc133150284"/>
      <w:r>
        <w:rPr>
          <w:rFonts w:hint="eastAsia" w:eastAsia="楷体_GB2312"/>
          <w:b/>
          <w:bCs/>
          <w:sz w:val="32"/>
          <w:szCs w:val="32"/>
        </w:rPr>
        <w:t>（三）强化陆海一体生态监管</w:t>
      </w:r>
      <w:bookmarkEnd w:id="31"/>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持续开展生态监测评估。</w:t>
      </w:r>
      <w:r>
        <w:rPr>
          <w:rFonts w:hint="eastAsia" w:ascii="等线" w:hAnsi="等线" w:eastAsia="仿宋_GB2312"/>
          <w:sz w:val="32"/>
        </w:rPr>
        <w:t>建立和实施常态化国土动态监测评估预警和监管机制。统筹开展全市、重点区域（流域）、生态保护红线、自然保护地、县域重点生态功能区生态状况调查评估。聚焦生物多样性保护优先区域有序开展生物多样性调查，建立健全陆地和海洋生物多样性监测网络。加强评估结果应用，根据评估结果及时调整和控制开发行为。</w:t>
      </w:r>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优化生态监管平台系统。</w:t>
      </w:r>
      <w:r>
        <w:rPr>
          <w:rFonts w:hint="eastAsia" w:ascii="等线" w:hAnsi="等线" w:eastAsia="仿宋_GB2312"/>
          <w:sz w:val="32"/>
        </w:rPr>
        <w:t>依法持续开展“绿盾”自然保护地监督检查专项行动，建立健全自然保护地生态环境问题台账，妥善解决各级自然保护区历史遗留问题，实现自然保护地智能化动态管理。建设生态保护红线监管平台，开展人类活动遥感监测。建立生物多样性数据管理系统，实现全方位、立体化、数字化的生物多样性信息展示和发布。</w:t>
      </w:r>
    </w:p>
    <w:p>
      <w:pPr>
        <w:keepNext/>
        <w:keepLines/>
        <w:adjustRightInd w:val="0"/>
        <w:snapToGrid w:val="0"/>
        <w:spacing w:line="560" w:lineRule="exact"/>
        <w:ind w:firstLine="643" w:firstLineChars="200"/>
        <w:outlineLvl w:val="1"/>
        <w:rPr>
          <w:rFonts w:ascii="等线 Light" w:hAnsi="等线 Light" w:eastAsia="楷体_GB2312"/>
          <w:b/>
          <w:bCs/>
          <w:sz w:val="32"/>
          <w:szCs w:val="32"/>
        </w:rPr>
      </w:pPr>
      <w:bookmarkStart w:id="32" w:name="_Toc133150285"/>
      <w:r>
        <w:rPr>
          <w:rFonts w:hint="eastAsia" w:ascii="等线 Light" w:hAnsi="等线 Light" w:eastAsia="楷体_GB2312"/>
          <w:b/>
          <w:bCs/>
          <w:sz w:val="32"/>
          <w:szCs w:val="32"/>
        </w:rPr>
        <w:t>（四）建设生物友好湾区城市</w:t>
      </w:r>
      <w:bookmarkEnd w:id="32"/>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深化生物多样性资源普查。</w:t>
      </w:r>
      <w:r>
        <w:rPr>
          <w:rFonts w:hint="eastAsia" w:ascii="等线" w:hAnsi="等线" w:eastAsia="仿宋_GB2312"/>
          <w:sz w:val="32"/>
        </w:rPr>
        <w:t>推进生物资源规范化管理，完善物种资源定期调查与生物多样性数据库、信息平台、种质资源基因库更新维护制度，编制重点生物遗传资源目录，及时更新生物多样性优先保护名单。争取建立青岛市野生中国特有动植物信息数据库，推进国家特殊及珍稀林木培育和良种选育攻关。</w:t>
      </w:r>
    </w:p>
    <w:p>
      <w:pPr>
        <w:adjustRightInd w:val="0"/>
        <w:snapToGrid w:val="0"/>
        <w:spacing w:line="560" w:lineRule="exact"/>
        <w:ind w:firstLine="643" w:firstLineChars="200"/>
        <w:rPr>
          <w:rFonts w:eastAsia="仿宋_GB2312"/>
          <w:sz w:val="32"/>
        </w:rPr>
      </w:pPr>
      <w:r>
        <w:rPr>
          <w:rFonts w:hint="eastAsia" w:ascii="等线" w:hAnsi="等线" w:eastAsia="仿宋_GB2312"/>
          <w:b/>
          <w:bCs/>
          <w:sz w:val="32"/>
        </w:rPr>
        <w:t>提升生物多样性保护能力。</w:t>
      </w:r>
      <w:r>
        <w:rPr>
          <w:rFonts w:hint="eastAsia" w:ascii="等线" w:hAnsi="等线" w:eastAsia="仿宋_GB2312"/>
          <w:sz w:val="32"/>
        </w:rPr>
        <w:t>以大沽河、墨水河、白沙河、洋河等入海河流为基础，构建生物多样性保护网络。开展多鳃孔舌形虫、黄岛长吻虫、文昌鱼等海洋珍稀及濒危物种保护工程。建设崂山、胶州湾等重点区域的生物多样性综合观测站，建立野生动物救护繁</w:t>
      </w:r>
      <w:r>
        <w:rPr>
          <w:rFonts w:ascii="等线" w:hAnsi="等线" w:eastAsia="仿宋_GB2312"/>
          <w:sz w:val="32"/>
        </w:rPr>
        <w:t>(培)育中心及野放(化)基</w:t>
      </w:r>
      <w:r>
        <w:rPr>
          <w:rFonts w:hint="eastAsia" w:ascii="等线" w:hAnsi="等线" w:eastAsia="仿宋_GB2312"/>
          <w:sz w:val="32"/>
        </w:rPr>
        <w:t>地，</w:t>
      </w:r>
      <w:r>
        <w:rPr>
          <w:rFonts w:ascii="等线" w:hAnsi="等线" w:eastAsia="仿宋_GB2312"/>
          <w:sz w:val="32"/>
        </w:rPr>
        <w:t>实施珍稀濒危和极小种群物种抢救性保护</w:t>
      </w:r>
      <w:r>
        <w:rPr>
          <w:rFonts w:hint="eastAsia" w:ascii="等线" w:hAnsi="等线" w:eastAsia="仿宋_GB2312"/>
          <w:sz w:val="32"/>
        </w:rPr>
        <w:t>。</w:t>
      </w:r>
      <w:r>
        <w:rPr>
          <w:rFonts w:hint="eastAsia" w:eastAsia="仿宋_GB2312"/>
          <w:sz w:val="32"/>
        </w:rPr>
        <w:t>到</w:t>
      </w:r>
      <w:r>
        <w:rPr>
          <w:rFonts w:eastAsia="仿宋_GB2312"/>
          <w:sz w:val="32"/>
        </w:rPr>
        <w:t>2035</w:t>
      </w:r>
      <w:r>
        <w:rPr>
          <w:rFonts w:hint="eastAsia" w:eastAsia="仿宋_GB2312"/>
          <w:sz w:val="32"/>
        </w:rPr>
        <w:t>年，实现本地植物指数≥</w:t>
      </w:r>
      <w:r>
        <w:rPr>
          <w:rFonts w:eastAsia="仿宋_GB2312"/>
          <w:sz w:val="32"/>
        </w:rPr>
        <w:t>0.8</w:t>
      </w:r>
      <w:r>
        <w:rPr>
          <w:rFonts w:hint="eastAsia" w:eastAsia="仿宋_GB2312"/>
          <w:sz w:val="32"/>
        </w:rPr>
        <w:t>，珍稀濒危物种保护率达到</w:t>
      </w:r>
      <w:r>
        <w:rPr>
          <w:rFonts w:eastAsia="仿宋_GB2312"/>
          <w:sz w:val="32"/>
        </w:rPr>
        <w:t>100%</w:t>
      </w:r>
      <w:r>
        <w:rPr>
          <w:rFonts w:hint="eastAsia" w:eastAsia="仿宋_GB2312"/>
          <w:sz w:val="32"/>
        </w:rPr>
        <w:t>。</w:t>
      </w:r>
    </w:p>
    <w:p>
      <w:pPr>
        <w:adjustRightInd w:val="0"/>
        <w:snapToGrid w:val="0"/>
        <w:spacing w:line="560" w:lineRule="exact"/>
        <w:ind w:firstLine="643" w:firstLineChars="200"/>
        <w:rPr>
          <w:rFonts w:ascii="等线" w:hAnsi="等线" w:eastAsia="等线"/>
        </w:rPr>
      </w:pPr>
      <w:r>
        <w:rPr>
          <w:rFonts w:hint="eastAsia" w:ascii="仿宋_GB2312" w:hAnsi="等线" w:eastAsia="仿宋_GB2312"/>
          <w:b/>
          <w:bCs/>
          <w:sz w:val="32"/>
        </w:rPr>
        <w:t>加强生物安全管理。</w:t>
      </w:r>
      <w:r>
        <w:rPr>
          <w:rFonts w:hint="eastAsia" w:ascii="等线" w:hAnsi="等线" w:eastAsia="仿宋_GB2312"/>
          <w:sz w:val="32"/>
        </w:rPr>
        <w:t>针对农田、渔业水域、森林、草地、湿地、海洋等重点区域，加强互花米草、松材线虫、美国白蛾等外来入侵物种的调查、监测、预警、防范、治理以及生态修复。建立健全陆地和海洋生态系统有害病原微生物及动物疫源疫病监测预警体系。健全生物多样性损害鉴定评估方法和工作机制，加大野生动植物非法贸易打击力度和执法、监督检查力度。严格生物技术研发应用监管与生物实验室管理。</w:t>
      </w:r>
      <w:r>
        <w:rPr>
          <w:rFonts w:hint="eastAsia" w:eastAsia="仿宋_GB2312"/>
          <w:sz w:val="32"/>
        </w:rPr>
        <w:t>到</w:t>
      </w:r>
      <w:r>
        <w:rPr>
          <w:rFonts w:eastAsia="仿宋_GB2312"/>
          <w:sz w:val="32"/>
        </w:rPr>
        <w:t>2035</w:t>
      </w:r>
      <w:r>
        <w:rPr>
          <w:rFonts w:hint="eastAsia" w:eastAsia="仿宋_GB2312"/>
          <w:sz w:val="32"/>
        </w:rPr>
        <w:t>年，外来入侵物种摸底调查完成率≥</w:t>
      </w:r>
      <w:r>
        <w:rPr>
          <w:rFonts w:eastAsia="仿宋_GB2312"/>
          <w:sz w:val="32"/>
        </w:rPr>
        <w:t>95%</w:t>
      </w:r>
      <w:r>
        <w:rPr>
          <w:rFonts w:hint="eastAsia" w:eastAsia="仿宋_GB2312"/>
          <w:sz w:val="32"/>
        </w:rPr>
        <w:t>。</w:t>
      </w:r>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营建生物友好城市氛围。</w:t>
      </w:r>
      <w:r>
        <w:rPr>
          <w:rFonts w:hint="eastAsia" w:ascii="等线" w:hAnsi="等线" w:eastAsia="仿宋_GB2312"/>
          <w:sz w:val="32"/>
        </w:rPr>
        <w:t>开展城市绿地系统植被近自然化改造和城市内河岸线自然化改造，探索建设城市生境花园，扩展野生动植物生存空间。依托自然保护地、动物园、植物园、海洋馆、标本馆和自然博物馆，加强体验式生物多样性科普教育，提升公众生物多样性保护意识和动力。建立健全生物多样性公益诉讼和生态补偿机制。</w:t>
      </w:r>
      <w:r>
        <w:br w:type="page"/>
      </w:r>
    </w:p>
    <w:p>
      <w:pPr>
        <w:keepNext/>
        <w:keepLines/>
        <w:adjustRightInd w:val="0"/>
        <w:snapToGrid w:val="0"/>
        <w:spacing w:line="560" w:lineRule="exact"/>
        <w:outlineLvl w:val="0"/>
        <w:rPr>
          <w:rFonts w:ascii="等线" w:hAnsi="等线" w:eastAsia="黑体"/>
          <w:bCs/>
          <w:kern w:val="44"/>
          <w:sz w:val="32"/>
          <w:szCs w:val="48"/>
        </w:rPr>
      </w:pPr>
      <w:bookmarkStart w:id="33" w:name="_Toc133150286"/>
      <w:r>
        <w:rPr>
          <w:rFonts w:hint="eastAsia" w:ascii="等线" w:hAnsi="等线" w:eastAsia="黑体"/>
          <w:bCs/>
          <w:kern w:val="44"/>
          <w:sz w:val="32"/>
          <w:szCs w:val="48"/>
        </w:rPr>
        <w:t>四、协同共治，打造碧海蓝天环境品质之城</w:t>
      </w:r>
      <w:bookmarkEnd w:id="33"/>
    </w:p>
    <w:p>
      <w:pPr>
        <w:adjustRightInd w:val="0"/>
        <w:snapToGrid w:val="0"/>
        <w:spacing w:line="560" w:lineRule="exact"/>
        <w:ind w:firstLine="640" w:firstLineChars="200"/>
        <w:rPr>
          <w:rFonts w:eastAsia="仿宋_GB2312"/>
          <w:sz w:val="32"/>
          <w:szCs w:val="32"/>
        </w:rPr>
      </w:pPr>
      <w:r>
        <w:rPr>
          <w:rFonts w:hint="eastAsia" w:eastAsia="仿宋_GB2312"/>
          <w:sz w:val="32"/>
          <w:szCs w:val="32"/>
        </w:rPr>
        <w:t>以环境品质提升为核心，坚持区域联动、陆海统筹、水土共治，</w:t>
      </w:r>
      <w:r>
        <w:rPr>
          <w:rFonts w:eastAsia="仿宋_GB2312"/>
          <w:sz w:val="32"/>
          <w:szCs w:val="32"/>
        </w:rPr>
        <w:t>建立陆海一体化的污染</w:t>
      </w:r>
      <w:r>
        <w:rPr>
          <w:rFonts w:hint="eastAsia" w:eastAsia="仿宋_GB2312"/>
          <w:sz w:val="32"/>
          <w:szCs w:val="32"/>
        </w:rPr>
        <w:t>综合</w:t>
      </w:r>
      <w:r>
        <w:rPr>
          <w:rFonts w:eastAsia="仿宋_GB2312"/>
          <w:sz w:val="32"/>
          <w:szCs w:val="32"/>
        </w:rPr>
        <w:t>防治机制，加大大气、水、</w:t>
      </w:r>
      <w:r>
        <w:rPr>
          <w:rFonts w:hint="eastAsia" w:eastAsia="仿宋_GB2312"/>
          <w:sz w:val="32"/>
          <w:szCs w:val="32"/>
        </w:rPr>
        <w:t>海洋、土壤污染</w:t>
      </w:r>
      <w:r>
        <w:rPr>
          <w:rFonts w:eastAsia="仿宋_GB2312"/>
          <w:sz w:val="32"/>
          <w:szCs w:val="32"/>
        </w:rPr>
        <w:t>的</w:t>
      </w:r>
      <w:r>
        <w:rPr>
          <w:rFonts w:hint="eastAsia" w:eastAsia="仿宋_GB2312"/>
          <w:sz w:val="32"/>
          <w:szCs w:val="32"/>
        </w:rPr>
        <w:t>协同防控</w:t>
      </w:r>
      <w:r>
        <w:rPr>
          <w:rFonts w:eastAsia="仿宋_GB2312"/>
          <w:sz w:val="32"/>
          <w:szCs w:val="32"/>
        </w:rPr>
        <w:t>力度，</w:t>
      </w:r>
      <w:r>
        <w:rPr>
          <w:rFonts w:hint="eastAsia" w:eastAsia="仿宋_GB2312"/>
          <w:sz w:val="32"/>
          <w:szCs w:val="32"/>
        </w:rPr>
        <w:t>让“碧海蓝天、水清土净”成为美丽青岛的生动写照。</w:t>
      </w:r>
    </w:p>
    <w:p>
      <w:pPr>
        <w:keepNext/>
        <w:keepLines/>
        <w:adjustRightInd w:val="0"/>
        <w:snapToGrid w:val="0"/>
        <w:spacing w:line="560" w:lineRule="exact"/>
        <w:ind w:firstLine="643" w:firstLineChars="200"/>
        <w:outlineLvl w:val="1"/>
        <w:rPr>
          <w:rFonts w:eastAsia="楷体_GB2312"/>
          <w:b/>
          <w:bCs/>
          <w:sz w:val="32"/>
          <w:szCs w:val="32"/>
        </w:rPr>
      </w:pPr>
      <w:bookmarkStart w:id="34" w:name="_Toc133150287"/>
      <w:r>
        <w:rPr>
          <w:rFonts w:hint="eastAsia" w:eastAsia="楷体_GB2312"/>
          <w:b/>
          <w:bCs/>
          <w:sz w:val="32"/>
          <w:szCs w:val="32"/>
        </w:rPr>
        <w:t>（一）打造“青岛蓝”清新空气示范区</w:t>
      </w:r>
      <w:bookmarkEnd w:id="34"/>
    </w:p>
    <w:p>
      <w:pPr>
        <w:adjustRightInd w:val="0"/>
        <w:snapToGrid w:val="0"/>
        <w:spacing w:line="560" w:lineRule="exact"/>
        <w:ind w:firstLine="643" w:firstLineChars="200"/>
        <w:rPr>
          <w:rFonts w:eastAsia="仿宋_GB2312"/>
          <w:sz w:val="32"/>
          <w:szCs w:val="28"/>
        </w:rPr>
      </w:pPr>
      <w:r>
        <w:rPr>
          <w:rFonts w:hint="eastAsia" w:eastAsia="仿宋_GB2312"/>
          <w:b/>
          <w:sz w:val="32"/>
          <w:szCs w:val="28"/>
        </w:rPr>
        <w:t>打造多污染物协同控制标杆</w:t>
      </w:r>
      <w:r>
        <w:rPr>
          <w:rFonts w:hint="eastAsia" w:eastAsia="仿宋_GB2312"/>
          <w:sz w:val="32"/>
          <w:szCs w:val="28"/>
        </w:rPr>
        <w:t>。持续开展以PM</w:t>
      </w:r>
      <w:r>
        <w:rPr>
          <w:rFonts w:hint="eastAsia" w:eastAsia="仿宋_GB2312"/>
          <w:sz w:val="32"/>
          <w:szCs w:val="28"/>
          <w:vertAlign w:val="subscript"/>
        </w:rPr>
        <w:t>2.5</w:t>
      </w:r>
      <w:r>
        <w:rPr>
          <w:rFonts w:hint="eastAsia" w:eastAsia="仿宋_GB2312"/>
          <w:sz w:val="32"/>
          <w:szCs w:val="28"/>
        </w:rPr>
        <w:t>和O</w:t>
      </w:r>
      <w:r>
        <w:rPr>
          <w:rFonts w:hint="eastAsia" w:eastAsia="仿宋_GB2312"/>
          <w:sz w:val="32"/>
          <w:szCs w:val="28"/>
          <w:vertAlign w:val="subscript"/>
        </w:rPr>
        <w:t>3</w:t>
      </w:r>
      <w:r>
        <w:rPr>
          <w:rFonts w:hint="eastAsia" w:eastAsia="仿宋_GB2312"/>
          <w:sz w:val="32"/>
          <w:szCs w:val="28"/>
        </w:rPr>
        <w:t>“双控双减”为核心的V</w:t>
      </w:r>
      <w:r>
        <w:rPr>
          <w:rFonts w:eastAsia="仿宋_GB2312"/>
          <w:sz w:val="32"/>
          <w:szCs w:val="28"/>
        </w:rPr>
        <w:t>OCs与</w:t>
      </w:r>
      <w:r>
        <w:rPr>
          <w:rFonts w:hint="eastAsia" w:eastAsia="仿宋_GB2312"/>
          <w:sz w:val="32"/>
          <w:szCs w:val="28"/>
        </w:rPr>
        <w:t>N</w:t>
      </w:r>
      <w:r>
        <w:rPr>
          <w:rFonts w:eastAsia="仿宋_GB2312"/>
          <w:sz w:val="32"/>
          <w:szCs w:val="28"/>
        </w:rPr>
        <w:t>Ox</w:t>
      </w:r>
      <w:r>
        <w:rPr>
          <w:rFonts w:hint="eastAsia" w:eastAsia="仿宋_GB2312"/>
          <w:sz w:val="32"/>
          <w:szCs w:val="28"/>
        </w:rPr>
        <w:t>区域协同控制与减排。以石化、化工、工业涂装、包装印刷等行业为主，</w:t>
      </w:r>
      <w:r>
        <w:rPr>
          <w:rFonts w:eastAsia="仿宋_GB2312"/>
          <w:sz w:val="32"/>
          <w:szCs w:val="28"/>
        </w:rPr>
        <w:t>实施</w:t>
      </w:r>
      <w:r>
        <w:rPr>
          <w:rFonts w:hint="eastAsia" w:eastAsia="仿宋_GB2312"/>
          <w:sz w:val="32"/>
          <w:szCs w:val="28"/>
        </w:rPr>
        <w:t>V</w:t>
      </w:r>
      <w:r>
        <w:rPr>
          <w:rFonts w:eastAsia="仿宋_GB2312"/>
          <w:sz w:val="32"/>
          <w:szCs w:val="28"/>
        </w:rPr>
        <w:t>OCs与</w:t>
      </w:r>
      <w:r>
        <w:rPr>
          <w:rFonts w:hint="eastAsia" w:eastAsia="仿宋_GB2312"/>
          <w:sz w:val="32"/>
          <w:szCs w:val="28"/>
        </w:rPr>
        <w:t>N</w:t>
      </w:r>
      <w:r>
        <w:rPr>
          <w:rFonts w:eastAsia="仿宋_GB2312"/>
          <w:sz w:val="32"/>
          <w:szCs w:val="28"/>
        </w:rPr>
        <w:t>Ox差异化管控试点，打造</w:t>
      </w:r>
      <w:r>
        <w:rPr>
          <w:rFonts w:hint="eastAsia" w:eastAsia="仿宋_GB2312"/>
          <w:sz w:val="32"/>
          <w:szCs w:val="28"/>
        </w:rPr>
        <w:t>O</w:t>
      </w:r>
      <w:r>
        <w:rPr>
          <w:rFonts w:hint="eastAsia" w:eastAsia="仿宋_GB2312"/>
          <w:sz w:val="32"/>
          <w:szCs w:val="28"/>
          <w:vertAlign w:val="subscript"/>
        </w:rPr>
        <w:t>3</w:t>
      </w:r>
      <w:r>
        <w:rPr>
          <w:rFonts w:eastAsia="仿宋_GB2312"/>
          <w:sz w:val="32"/>
          <w:szCs w:val="28"/>
        </w:rPr>
        <w:t>污染区域精准治理模式</w:t>
      </w:r>
      <w:r>
        <w:rPr>
          <w:rFonts w:hint="eastAsia" w:eastAsia="仿宋_GB2312"/>
          <w:sz w:val="32"/>
          <w:szCs w:val="28"/>
        </w:rPr>
        <w:t>。以移动源、燃煤污染管控为主，强化不利扩散条件下颗粒物、N</w:t>
      </w:r>
      <w:r>
        <w:rPr>
          <w:rFonts w:eastAsia="仿宋_GB2312"/>
          <w:sz w:val="32"/>
          <w:szCs w:val="28"/>
        </w:rPr>
        <w:t>Ox</w:t>
      </w:r>
      <w:r>
        <w:rPr>
          <w:rFonts w:hint="eastAsia" w:eastAsia="仿宋_GB2312"/>
          <w:sz w:val="32"/>
          <w:szCs w:val="28"/>
        </w:rPr>
        <w:t>等污染物排放监管。加强恶臭、氨等其他涉气污染物的治理力度。到2035年，空气质量优良天数比例不低于9</w:t>
      </w:r>
      <w:r>
        <w:rPr>
          <w:rFonts w:eastAsia="仿宋_GB2312"/>
          <w:sz w:val="32"/>
          <w:szCs w:val="28"/>
        </w:rPr>
        <w:t>4.5</w:t>
      </w:r>
      <w:r>
        <w:rPr>
          <w:rFonts w:hint="eastAsia" w:eastAsia="仿宋_GB2312"/>
          <w:sz w:val="32"/>
          <w:szCs w:val="28"/>
        </w:rPr>
        <w:t>%。</w:t>
      </w:r>
    </w:p>
    <w:p>
      <w:pPr>
        <w:adjustRightInd w:val="0"/>
        <w:snapToGrid w:val="0"/>
        <w:spacing w:line="560" w:lineRule="exact"/>
        <w:ind w:firstLine="643" w:firstLineChars="200"/>
        <w:rPr>
          <w:rFonts w:eastAsia="仿宋_GB2312"/>
          <w:sz w:val="32"/>
          <w:szCs w:val="28"/>
        </w:rPr>
      </w:pPr>
      <w:r>
        <w:rPr>
          <w:rFonts w:hint="eastAsia" w:eastAsia="仿宋_GB2312"/>
          <w:b/>
          <w:bCs/>
          <w:sz w:val="32"/>
          <w:szCs w:val="28"/>
        </w:rPr>
        <w:t>实施多源污染精细化管控。</w:t>
      </w:r>
      <w:r>
        <w:rPr>
          <w:rFonts w:hint="eastAsia" w:eastAsia="仿宋_GB2312"/>
          <w:bCs/>
          <w:sz w:val="32"/>
          <w:szCs w:val="28"/>
        </w:rPr>
        <w:t>推动末端治理向源头治理和综合治理转变，实施污染源差异化管控。深化开展表面涂装、橡胶、包装印刷等工业提标改造，推动实施重点企业VOCs管控“一厂一策”。强化“车油路港”联合防控，加大成品油监管力度，加快车船结构升级，</w:t>
      </w:r>
      <w:r>
        <w:rPr>
          <w:rFonts w:hint="eastAsia" w:eastAsia="仿宋_GB2312"/>
          <w:sz w:val="32"/>
          <w:szCs w:val="28"/>
        </w:rPr>
        <w:t>推动城市物流轻型柴油车基本实现电动化，新能源汽车占全市机动车保有量比例提高到50%以上，升级重型柴油车排放标准</w:t>
      </w:r>
      <w:r>
        <w:rPr>
          <w:rFonts w:hint="eastAsia" w:eastAsia="仿宋_GB2312"/>
          <w:bCs/>
          <w:sz w:val="32"/>
          <w:szCs w:val="28"/>
        </w:rPr>
        <w:t>，提高船舶岸电使用率。持续深化扬尘管控，提升道路保洁质效。到2</w:t>
      </w:r>
      <w:r>
        <w:rPr>
          <w:rFonts w:eastAsia="仿宋_GB2312"/>
          <w:bCs/>
          <w:sz w:val="32"/>
          <w:szCs w:val="28"/>
        </w:rPr>
        <w:t>035年</w:t>
      </w:r>
      <w:r>
        <w:rPr>
          <w:rFonts w:hint="eastAsia" w:eastAsia="仿宋_GB2312"/>
          <w:bCs/>
          <w:sz w:val="32"/>
          <w:szCs w:val="28"/>
        </w:rPr>
        <w:t>，全市岸电使用率提高至80%以上。</w:t>
      </w:r>
    </w:p>
    <w:p>
      <w:pPr>
        <w:adjustRightInd w:val="0"/>
        <w:snapToGrid w:val="0"/>
        <w:spacing w:line="560" w:lineRule="exact"/>
        <w:ind w:firstLine="643" w:firstLineChars="200"/>
        <w:rPr>
          <w:rFonts w:eastAsia="仿宋_GB2312"/>
          <w:sz w:val="32"/>
          <w:szCs w:val="28"/>
        </w:rPr>
      </w:pPr>
      <w:r>
        <w:rPr>
          <w:rFonts w:hint="eastAsia" w:eastAsia="仿宋_GB2312"/>
          <w:b/>
          <w:bCs/>
          <w:sz w:val="32"/>
          <w:szCs w:val="28"/>
        </w:rPr>
        <w:t>共建北方“清新空气示范区”。</w:t>
      </w:r>
      <w:r>
        <w:rPr>
          <w:rFonts w:hint="eastAsia" w:eastAsia="仿宋_GB2312"/>
          <w:sz w:val="32"/>
          <w:szCs w:val="28"/>
        </w:rPr>
        <w:t>健全胶东经济圈</w:t>
      </w:r>
      <w:bookmarkStart w:id="35" w:name="_Hlk132729068"/>
      <w:r>
        <w:rPr>
          <w:rFonts w:hint="eastAsia" w:eastAsia="仿宋_GB2312"/>
          <w:sz w:val="32"/>
          <w:szCs w:val="28"/>
        </w:rPr>
        <w:t>大气污染</w:t>
      </w:r>
      <w:bookmarkEnd w:id="35"/>
      <w:r>
        <w:rPr>
          <w:rFonts w:hint="eastAsia" w:eastAsia="仿宋_GB2312"/>
          <w:sz w:val="32"/>
          <w:szCs w:val="28"/>
        </w:rPr>
        <w:t>联防联治机制，统一环境执法标准，推动联合执法。建立健全区域空气质量预报预警会商机制，统一预警分级标准和应急响应措施。推进重污染绩效分级管理规范化、标准化，有效应对重污染天气。与烟台、威海等共建北方“清新空气示范区”，联合制定“清新空气示范区”评选标准。</w:t>
      </w:r>
    </w:p>
    <w:p>
      <w:pPr>
        <w:keepNext/>
        <w:keepLines/>
        <w:adjustRightInd w:val="0"/>
        <w:snapToGrid w:val="0"/>
        <w:spacing w:line="560" w:lineRule="exact"/>
        <w:ind w:firstLine="643" w:firstLineChars="200"/>
        <w:outlineLvl w:val="1"/>
        <w:rPr>
          <w:rFonts w:eastAsia="楷体_GB2312"/>
          <w:b/>
          <w:bCs/>
          <w:sz w:val="32"/>
          <w:szCs w:val="32"/>
        </w:rPr>
      </w:pPr>
      <w:bookmarkStart w:id="36" w:name="_Toc133150288"/>
      <w:r>
        <w:rPr>
          <w:rFonts w:hint="eastAsia" w:eastAsia="楷体_GB2312"/>
          <w:b/>
          <w:bCs/>
          <w:sz w:val="32"/>
          <w:szCs w:val="32"/>
        </w:rPr>
        <w:t>（二）高质量</w:t>
      </w:r>
      <w:r>
        <w:rPr>
          <w:rFonts w:hint="eastAsia" w:eastAsia="仿宋_GB2312"/>
          <w:b/>
          <w:sz w:val="32"/>
          <w:szCs w:val="28"/>
        </w:rPr>
        <w:t>打造北方美丽河湖样板</w:t>
      </w:r>
      <w:bookmarkEnd w:id="36"/>
    </w:p>
    <w:p>
      <w:pPr>
        <w:adjustRightInd w:val="0"/>
        <w:snapToGrid w:val="0"/>
        <w:spacing w:line="560" w:lineRule="exact"/>
        <w:ind w:firstLine="643" w:firstLineChars="200"/>
        <w:rPr>
          <w:rFonts w:eastAsia="仿宋_GB2312"/>
          <w:sz w:val="32"/>
          <w:szCs w:val="28"/>
        </w:rPr>
      </w:pPr>
      <w:r>
        <w:rPr>
          <w:rFonts w:hint="eastAsia" w:eastAsia="仿宋_GB2312"/>
          <w:b/>
          <w:sz w:val="32"/>
          <w:szCs w:val="28"/>
        </w:rPr>
        <w:t>深化全流域系统防治。</w:t>
      </w:r>
      <w:r>
        <w:rPr>
          <w:rFonts w:hint="eastAsia" w:eastAsia="仿宋_GB2312"/>
          <w:sz w:val="32"/>
          <w:szCs w:val="28"/>
        </w:rPr>
        <w:t>建立流域精细化管理平台，</w:t>
      </w:r>
      <w:r>
        <w:rPr>
          <w:rFonts w:eastAsia="仿宋_GB2312"/>
          <w:sz w:val="32"/>
          <w:szCs w:val="28"/>
        </w:rPr>
        <w:t>健全“污染源-管网-排污口-水体”的全链条监管</w:t>
      </w:r>
      <w:r>
        <w:rPr>
          <w:rFonts w:hint="eastAsia" w:eastAsia="仿宋_GB2312"/>
          <w:sz w:val="32"/>
          <w:szCs w:val="28"/>
        </w:rPr>
        <w:t>。平度、莱西等上游地区加强农业面源污染防治，大力</w:t>
      </w:r>
      <w:r>
        <w:rPr>
          <w:rFonts w:eastAsia="仿宋_GB2312"/>
          <w:sz w:val="32"/>
          <w:szCs w:val="28"/>
        </w:rPr>
        <w:t>发展</w:t>
      </w:r>
      <w:r>
        <w:rPr>
          <w:rFonts w:hint="eastAsia" w:eastAsia="仿宋_GB2312"/>
          <w:sz w:val="32"/>
          <w:szCs w:val="28"/>
        </w:rPr>
        <w:t>生态农业。中下游地区</w:t>
      </w:r>
      <w:r>
        <w:rPr>
          <w:rFonts w:eastAsia="仿宋_GB2312"/>
          <w:sz w:val="32"/>
          <w:szCs w:val="28"/>
        </w:rPr>
        <w:t>创新工业污染源智慧化监管模式</w:t>
      </w:r>
      <w:r>
        <w:rPr>
          <w:rFonts w:hint="eastAsia" w:eastAsia="仿宋_GB2312"/>
          <w:sz w:val="32"/>
          <w:szCs w:val="28"/>
        </w:rPr>
        <w:t>，加快推动“两清零一改造</w:t>
      </w:r>
      <w:r>
        <w:rPr>
          <w:rStyle w:val="22"/>
          <w:rFonts w:eastAsia="仿宋_GB2312"/>
          <w:sz w:val="32"/>
          <w:szCs w:val="28"/>
        </w:rPr>
        <w:footnoteReference w:id="1"/>
      </w:r>
      <w:r>
        <w:rPr>
          <w:rFonts w:hint="eastAsia" w:eastAsia="仿宋_GB2312"/>
          <w:sz w:val="32"/>
          <w:szCs w:val="28"/>
        </w:rPr>
        <w:t>”，打造全国入河排污口标准化整治青岛样板。全域推进海绵城市建设，完善初期雨水收集处理系统。</w:t>
      </w:r>
      <w:r>
        <w:rPr>
          <w:rFonts w:eastAsia="仿宋_GB2312"/>
          <w:sz w:val="32"/>
          <w:szCs w:val="28"/>
        </w:rPr>
        <w:t>到2030年，</w:t>
      </w:r>
      <w:r>
        <w:rPr>
          <w:rFonts w:hint="eastAsia" w:eastAsia="仿宋_GB2312"/>
          <w:sz w:val="32"/>
          <w:szCs w:val="28"/>
        </w:rPr>
        <w:t>全域黑臭水体基本消除，城市建成区80%以上的面积达到海绵城市标准。</w:t>
      </w:r>
      <w:r>
        <w:rPr>
          <w:rFonts w:eastAsia="仿宋_GB2312"/>
          <w:sz w:val="32"/>
          <w:szCs w:val="28"/>
        </w:rPr>
        <w:t>到2035年，水功能区</w:t>
      </w:r>
      <w:r>
        <w:rPr>
          <w:rFonts w:hint="eastAsia" w:eastAsia="仿宋_GB2312"/>
          <w:sz w:val="32"/>
          <w:szCs w:val="28"/>
        </w:rPr>
        <w:t>全面</w:t>
      </w:r>
      <w:r>
        <w:rPr>
          <w:rFonts w:eastAsia="仿宋_GB2312"/>
          <w:sz w:val="32"/>
          <w:szCs w:val="28"/>
        </w:rPr>
        <w:t>达标。</w:t>
      </w:r>
    </w:p>
    <w:p>
      <w:pPr>
        <w:adjustRightInd w:val="0"/>
        <w:snapToGrid w:val="0"/>
        <w:spacing w:line="560" w:lineRule="exact"/>
        <w:ind w:firstLine="643" w:firstLineChars="200"/>
        <w:rPr>
          <w:rFonts w:eastAsia="仿宋_GB2312"/>
          <w:sz w:val="32"/>
          <w:szCs w:val="28"/>
        </w:rPr>
      </w:pPr>
      <w:r>
        <w:rPr>
          <w:rFonts w:hint="eastAsia" w:eastAsia="仿宋_GB2312"/>
          <w:b/>
          <w:sz w:val="32"/>
          <w:szCs w:val="28"/>
        </w:rPr>
        <w:t>高水平保障河湖生态用水。</w:t>
      </w:r>
      <w:r>
        <w:rPr>
          <w:rFonts w:hint="eastAsia" w:eastAsia="仿宋_GB2312"/>
          <w:sz w:val="32"/>
          <w:szCs w:val="28"/>
        </w:rPr>
        <w:t>构建外调水、本地水、淡化水、再生水设施互联互通的现代水网，逐步形成“蓄引结合、主客联调、海淡互补”的水资源配置体系。探索建立以保护水生生物为目标、满足开发建设需求的水生态流量保障机制，建设黄河流域节水典范城市，争创国家海水淡化示范城市。构建重点河湖植被缓冲带，对建成区主要河流因地制宜实施生态补水。到2</w:t>
      </w:r>
      <w:r>
        <w:rPr>
          <w:rFonts w:eastAsia="仿宋_GB2312"/>
          <w:sz w:val="32"/>
          <w:szCs w:val="28"/>
        </w:rPr>
        <w:t>035</w:t>
      </w:r>
      <w:r>
        <w:rPr>
          <w:rFonts w:hint="eastAsia" w:eastAsia="仿宋_GB2312"/>
          <w:sz w:val="32"/>
          <w:szCs w:val="28"/>
        </w:rPr>
        <w:t>年，生态河道占比达到</w:t>
      </w:r>
      <w:r>
        <w:rPr>
          <w:rFonts w:eastAsia="仿宋_GB2312"/>
          <w:sz w:val="32"/>
          <w:szCs w:val="28"/>
        </w:rPr>
        <w:t>50%</w:t>
      </w:r>
      <w:r>
        <w:rPr>
          <w:rFonts w:hint="eastAsia" w:eastAsia="仿宋_GB2312"/>
          <w:sz w:val="32"/>
          <w:szCs w:val="28"/>
        </w:rPr>
        <w:t>以上，省级以上重点河湖生态流量保障率达到1</w:t>
      </w:r>
      <w:r>
        <w:rPr>
          <w:rFonts w:eastAsia="仿宋_GB2312"/>
          <w:sz w:val="32"/>
          <w:szCs w:val="28"/>
        </w:rPr>
        <w:t>00</w:t>
      </w:r>
      <w:r>
        <w:rPr>
          <w:rFonts w:hint="eastAsia" w:eastAsia="仿宋_GB2312"/>
          <w:sz w:val="32"/>
          <w:szCs w:val="28"/>
        </w:rPr>
        <w:t>%。</w:t>
      </w:r>
    </w:p>
    <w:p>
      <w:pPr>
        <w:adjustRightInd w:val="0"/>
        <w:snapToGrid w:val="0"/>
        <w:spacing w:line="560" w:lineRule="exact"/>
        <w:ind w:firstLine="643" w:firstLineChars="200"/>
        <w:rPr>
          <w:rFonts w:eastAsia="仿宋_GB2312"/>
          <w:sz w:val="32"/>
          <w:szCs w:val="28"/>
        </w:rPr>
      </w:pPr>
      <w:r>
        <w:rPr>
          <w:rFonts w:hint="eastAsia" w:eastAsia="仿宋_GB2312"/>
          <w:b/>
          <w:sz w:val="32"/>
          <w:szCs w:val="28"/>
        </w:rPr>
        <w:t>创建北方美丽河湖样板。</w:t>
      </w:r>
      <w:r>
        <w:rPr>
          <w:rFonts w:hint="eastAsia" w:eastAsia="仿宋_GB2312"/>
          <w:sz w:val="32"/>
          <w:szCs w:val="28"/>
        </w:rPr>
        <w:t>推广美丽示范河湖经验，完善美丽河湖长效管理机制。以重现土著鱼类和土著水生植物为目标，加强水生态环境调查评估，健全水生态健康监管评价机制。</w:t>
      </w:r>
      <w:r>
        <w:rPr>
          <w:rFonts w:eastAsia="仿宋_GB2312"/>
          <w:sz w:val="32"/>
          <w:szCs w:val="28"/>
        </w:rPr>
        <w:t>城市建成区聚焦景观生态型为主的“城水和谐”美丽河湖建设，</w:t>
      </w:r>
      <w:r>
        <w:rPr>
          <w:rFonts w:hint="eastAsia" w:eastAsia="仿宋_GB2312"/>
          <w:sz w:val="32"/>
          <w:szCs w:val="28"/>
        </w:rPr>
        <w:t>大沽河</w:t>
      </w:r>
      <w:r>
        <w:rPr>
          <w:rFonts w:eastAsia="仿宋_GB2312"/>
          <w:sz w:val="32"/>
          <w:szCs w:val="28"/>
        </w:rPr>
        <w:t>流域中上游聚焦生态型和水源型的“自然朴素”美丽河湖建设</w:t>
      </w:r>
      <w:r>
        <w:rPr>
          <w:rFonts w:hint="eastAsia" w:eastAsia="仿宋_GB2312"/>
          <w:sz w:val="32"/>
          <w:szCs w:val="28"/>
        </w:rPr>
        <w:t>，分批次打造美丽河湖典范。到2</w:t>
      </w:r>
      <w:r>
        <w:rPr>
          <w:rFonts w:eastAsia="仿宋_GB2312"/>
          <w:sz w:val="32"/>
          <w:szCs w:val="28"/>
        </w:rPr>
        <w:t>035年</w:t>
      </w:r>
      <w:r>
        <w:rPr>
          <w:rFonts w:hint="eastAsia" w:eastAsia="仿宋_GB2312"/>
          <w:sz w:val="32"/>
          <w:szCs w:val="28"/>
        </w:rPr>
        <w:t>，创建</w:t>
      </w:r>
      <w:r>
        <w:rPr>
          <w:rFonts w:eastAsia="仿宋_GB2312"/>
          <w:sz w:val="32"/>
          <w:szCs w:val="28"/>
        </w:rPr>
        <w:t>50</w:t>
      </w:r>
      <w:r>
        <w:rPr>
          <w:rFonts w:hint="eastAsia" w:eastAsia="仿宋_GB2312"/>
          <w:sz w:val="32"/>
          <w:szCs w:val="28"/>
        </w:rPr>
        <w:t>-</w:t>
      </w:r>
      <w:r>
        <w:rPr>
          <w:rFonts w:eastAsia="仿宋_GB2312"/>
          <w:sz w:val="32"/>
          <w:szCs w:val="28"/>
        </w:rPr>
        <w:t>100条省级美丽幸福示范河湖</w:t>
      </w:r>
      <w:r>
        <w:rPr>
          <w:rFonts w:eastAsia="仿宋_GB2312"/>
          <w:sz w:val="32"/>
          <w:szCs w:val="28"/>
          <w:vertAlign w:val="superscript"/>
        </w:rPr>
        <w:footnoteReference w:id="2"/>
      </w:r>
      <w:r>
        <w:rPr>
          <w:rFonts w:hint="eastAsia" w:eastAsia="仿宋_GB2312"/>
          <w:sz w:val="32"/>
          <w:szCs w:val="28"/>
        </w:rPr>
        <w:t>。</w:t>
      </w:r>
    </w:p>
    <w:p>
      <w:pPr>
        <w:keepNext/>
        <w:keepLines/>
        <w:adjustRightInd w:val="0"/>
        <w:snapToGrid w:val="0"/>
        <w:spacing w:line="560" w:lineRule="exact"/>
        <w:ind w:firstLine="643" w:firstLineChars="200"/>
        <w:outlineLvl w:val="1"/>
        <w:rPr>
          <w:rFonts w:eastAsia="楷体_GB2312"/>
          <w:b/>
          <w:bCs/>
          <w:sz w:val="32"/>
          <w:szCs w:val="32"/>
        </w:rPr>
      </w:pPr>
      <w:bookmarkStart w:id="37" w:name="_Toc133150289"/>
      <w:r>
        <w:rPr>
          <w:rFonts w:hint="eastAsia" w:eastAsia="楷体_GB2312"/>
          <w:b/>
          <w:bCs/>
          <w:sz w:val="32"/>
          <w:szCs w:val="32"/>
        </w:rPr>
        <w:t>（三）高标准推进全域美丽海湾建设</w:t>
      </w:r>
      <w:bookmarkEnd w:id="37"/>
    </w:p>
    <w:p>
      <w:pPr>
        <w:adjustRightInd w:val="0"/>
        <w:snapToGrid w:val="0"/>
        <w:spacing w:line="560" w:lineRule="exact"/>
        <w:ind w:firstLine="643" w:firstLineChars="200"/>
        <w:rPr>
          <w:rFonts w:eastAsia="仿宋_GB2312"/>
          <w:sz w:val="32"/>
          <w:szCs w:val="28"/>
        </w:rPr>
      </w:pPr>
      <w:r>
        <w:rPr>
          <w:rFonts w:hint="eastAsia" w:eastAsia="仿宋_GB2312"/>
          <w:b/>
          <w:bCs/>
          <w:sz w:val="32"/>
          <w:szCs w:val="28"/>
        </w:rPr>
        <w:t>深化陆海统筹</w:t>
      </w:r>
      <w:r>
        <w:rPr>
          <w:rFonts w:eastAsia="仿宋_GB2312"/>
          <w:b/>
          <w:bCs/>
          <w:sz w:val="32"/>
          <w:szCs w:val="28"/>
        </w:rPr>
        <w:t>总氮</w:t>
      </w:r>
      <w:r>
        <w:rPr>
          <w:rFonts w:hint="eastAsia" w:eastAsia="仿宋_GB2312"/>
          <w:b/>
          <w:bCs/>
          <w:sz w:val="32"/>
          <w:szCs w:val="28"/>
        </w:rPr>
        <w:t>管控</w:t>
      </w:r>
      <w:r>
        <w:rPr>
          <w:rFonts w:hint="eastAsia" w:eastAsia="仿宋_GB2312"/>
          <w:sz w:val="32"/>
          <w:szCs w:val="28"/>
        </w:rPr>
        <w:t>。</w:t>
      </w:r>
      <w:r>
        <w:rPr>
          <w:rFonts w:hint="eastAsia" w:ascii="仿宋_GB2312" w:eastAsia="仿宋_GB2312" w:cs="黑体"/>
          <w:sz w:val="32"/>
          <w:szCs w:val="32"/>
        </w:rPr>
        <w:t>持续推进全市入海排污口整治</w:t>
      </w:r>
      <w:r>
        <w:rPr>
          <w:rFonts w:hint="eastAsia" w:ascii="仿宋_GB2312" w:hAnsi="仿宋_GB2312" w:eastAsia="仿宋_GB2312" w:cs="仿宋_GB2312"/>
          <w:sz w:val="32"/>
          <w:szCs w:val="32"/>
        </w:rPr>
        <w:t>，逐步健全完善“权责清晰、监控到位、管理规范”的入海排污口管控体系。</w:t>
      </w:r>
      <w:r>
        <w:rPr>
          <w:rFonts w:hint="eastAsia" w:eastAsia="仿宋_GB2312"/>
          <w:sz w:val="32"/>
          <w:szCs w:val="28"/>
        </w:rPr>
        <w:t>深化开展典型入海河流总氮入海成因及精准溯源分析，加强入海河流总氮管控，推动入海河流全部稳定消劣。以丁字湾、胶州湾、崂山湾等海域为重点，推进陆海污染一体化治理，建立健全“受纳水体-入海排污口-排污通道-污染源”全过程监管体系。到2</w:t>
      </w:r>
      <w:r>
        <w:rPr>
          <w:rFonts w:eastAsia="仿宋_GB2312"/>
          <w:sz w:val="32"/>
          <w:szCs w:val="28"/>
        </w:rPr>
        <w:t>035年</w:t>
      </w:r>
      <w:r>
        <w:rPr>
          <w:rFonts w:hint="eastAsia" w:eastAsia="仿宋_GB2312"/>
          <w:sz w:val="32"/>
          <w:szCs w:val="28"/>
        </w:rPr>
        <w:t>，重点</w:t>
      </w:r>
      <w:r>
        <w:rPr>
          <w:rFonts w:eastAsia="仿宋_GB2312"/>
          <w:sz w:val="32"/>
          <w:szCs w:val="28"/>
        </w:rPr>
        <w:t>湾区</w:t>
      </w:r>
      <w:r>
        <w:rPr>
          <w:rFonts w:hint="eastAsia" w:eastAsia="仿宋_GB2312"/>
          <w:sz w:val="32"/>
          <w:szCs w:val="28"/>
        </w:rPr>
        <w:t>生态环境国际一流，</w:t>
      </w:r>
      <w:r>
        <w:rPr>
          <w:rFonts w:eastAsia="仿宋_GB2312"/>
          <w:sz w:val="32"/>
          <w:szCs w:val="28"/>
        </w:rPr>
        <w:t>海水浴场水质比肩</w:t>
      </w:r>
      <w:r>
        <w:rPr>
          <w:rFonts w:hint="eastAsia" w:eastAsia="仿宋_GB2312"/>
          <w:sz w:val="32"/>
          <w:szCs w:val="28"/>
        </w:rPr>
        <w:t>国际先进。</w:t>
      </w:r>
    </w:p>
    <w:p>
      <w:pPr>
        <w:adjustRightInd w:val="0"/>
        <w:snapToGrid w:val="0"/>
        <w:spacing w:line="560" w:lineRule="exact"/>
        <w:ind w:firstLine="643" w:firstLineChars="200"/>
        <w:rPr>
          <w:rFonts w:eastAsia="仿宋_GB2312"/>
          <w:sz w:val="32"/>
          <w:szCs w:val="28"/>
        </w:rPr>
      </w:pPr>
      <w:r>
        <w:rPr>
          <w:rFonts w:hint="eastAsia" w:eastAsia="仿宋_GB2312"/>
          <w:b/>
          <w:bCs/>
          <w:sz w:val="32"/>
          <w:szCs w:val="28"/>
        </w:rPr>
        <w:t>维护一流清洁海洋品质。</w:t>
      </w:r>
      <w:r>
        <w:rPr>
          <w:rFonts w:hint="eastAsia" w:eastAsia="仿宋_GB2312"/>
          <w:sz w:val="32"/>
          <w:szCs w:val="28"/>
        </w:rPr>
        <w:t>与江苏省共同加强浒苔绿潮的跨海域联防联治。高标准</w:t>
      </w:r>
      <w:r>
        <w:rPr>
          <w:rFonts w:eastAsia="仿宋_GB2312"/>
          <w:sz w:val="32"/>
          <w:szCs w:val="28"/>
        </w:rPr>
        <w:t>规范船舶污水收集处置、使用燃油标准、港口码头污染防治措施</w:t>
      </w:r>
      <w:r>
        <w:rPr>
          <w:rFonts w:hint="eastAsia" w:eastAsia="仿宋_GB2312"/>
          <w:sz w:val="32"/>
          <w:szCs w:val="28"/>
        </w:rPr>
        <w:t>，严格落实船舶排放控制区要求。实施“净滩净海”工程，推动海漂垃圾治理。推广深远海绿色养殖和生态健康养殖模式。加强海上倾倒区和海洋工程环境影响管控。探索开展对微塑料、新型污染物、缺氧和酸化等海洋环境问题的管控，加强相关科研储备。</w:t>
      </w:r>
    </w:p>
    <w:p>
      <w:pPr>
        <w:adjustRightInd w:val="0"/>
        <w:snapToGrid w:val="0"/>
        <w:spacing w:line="560" w:lineRule="exact"/>
        <w:ind w:firstLine="643" w:firstLineChars="200"/>
        <w:rPr>
          <w:rFonts w:eastAsia="仿宋_GB2312"/>
          <w:sz w:val="32"/>
          <w:szCs w:val="28"/>
        </w:rPr>
      </w:pPr>
      <w:r>
        <w:rPr>
          <w:rFonts w:hint="eastAsia" w:eastAsia="仿宋_GB2312"/>
          <w:b/>
          <w:sz w:val="32"/>
          <w:szCs w:val="28"/>
        </w:rPr>
        <w:t>推进全域美丽海湾建设。</w:t>
      </w:r>
      <w:r>
        <w:rPr>
          <w:rFonts w:hint="eastAsia" w:eastAsia="仿宋_GB2312"/>
          <w:sz w:val="32"/>
          <w:szCs w:val="28"/>
        </w:rPr>
        <w:t>建立健全“美丽海湾”规划、建设、监管、评估、考核、监管、宣传等管理制度，实施“一湾一策”污染治理策略。深化胶州湾、鳌山湾、丁字湾、崂山湾、董家口湾等重点湾区岸线的生态保护与修复，打造“最美滨海曲径”。以灵山湾为引领，工程化、项目化、清单化推进六大湾区4</w:t>
      </w:r>
      <w:r>
        <w:rPr>
          <w:rFonts w:eastAsia="仿宋_GB2312"/>
          <w:sz w:val="32"/>
          <w:szCs w:val="28"/>
        </w:rPr>
        <w:t>9个</w:t>
      </w:r>
      <w:r>
        <w:rPr>
          <w:rFonts w:hint="eastAsia" w:eastAsia="仿宋_GB2312"/>
          <w:sz w:val="32"/>
          <w:szCs w:val="28"/>
        </w:rPr>
        <w:t>“</w:t>
      </w:r>
      <w:r>
        <w:rPr>
          <w:rFonts w:hint="eastAsia" w:ascii="仿宋_GB2312" w:eastAsia="仿宋_GB2312" w:cs="黑体"/>
          <w:sz w:val="32"/>
          <w:szCs w:val="32"/>
        </w:rPr>
        <w:t>水清滩净、鱼鸥翔集、人海和谐</w:t>
      </w:r>
      <w:r>
        <w:rPr>
          <w:rFonts w:hint="eastAsia" w:eastAsia="仿宋_GB2312"/>
          <w:sz w:val="32"/>
          <w:szCs w:val="28"/>
        </w:rPr>
        <w:t>”美丽海湾建设。2030年前，东岸前海、胶州湾、古镇口-董家口湾区基本建成“美丽海湾”。2035年前，实现青岛市“美丽海湾”建设全覆盖，美丽海洋建设目标基本实现。</w:t>
      </w:r>
    </w:p>
    <w:p>
      <w:pPr>
        <w:keepNext/>
        <w:keepLines/>
        <w:adjustRightInd w:val="0"/>
        <w:snapToGrid w:val="0"/>
        <w:spacing w:line="560" w:lineRule="exact"/>
        <w:ind w:firstLine="643" w:firstLineChars="200"/>
        <w:outlineLvl w:val="1"/>
        <w:rPr>
          <w:rFonts w:eastAsia="楷体_GB2312"/>
          <w:b/>
          <w:bCs/>
          <w:sz w:val="32"/>
          <w:szCs w:val="32"/>
        </w:rPr>
      </w:pPr>
      <w:bookmarkStart w:id="38" w:name="_Toc133150290"/>
      <w:r>
        <w:rPr>
          <w:rFonts w:hint="eastAsia" w:eastAsia="楷体_GB2312"/>
          <w:b/>
          <w:bCs/>
          <w:sz w:val="32"/>
          <w:szCs w:val="32"/>
        </w:rPr>
        <w:t>（四）建设国家土壤污染防治先行区</w:t>
      </w:r>
      <w:bookmarkEnd w:id="38"/>
    </w:p>
    <w:p>
      <w:pPr>
        <w:adjustRightInd w:val="0"/>
        <w:snapToGrid w:val="0"/>
        <w:spacing w:line="560" w:lineRule="exact"/>
        <w:ind w:firstLine="643" w:firstLineChars="200"/>
        <w:rPr>
          <w:rFonts w:ascii="仿宋_GB2312" w:hAnsi="仿宋" w:eastAsia="仿宋_GB2312" w:cs="楷体"/>
          <w:bCs/>
          <w:kern w:val="0"/>
          <w:sz w:val="32"/>
          <w:szCs w:val="32"/>
        </w:rPr>
      </w:pPr>
      <w:r>
        <w:rPr>
          <w:rFonts w:hint="eastAsia" w:eastAsia="仿宋_GB2312"/>
          <w:b/>
          <w:bCs/>
          <w:sz w:val="32"/>
          <w:szCs w:val="28"/>
        </w:rPr>
        <w:t>健全土壤污染防治制度。</w:t>
      </w:r>
      <w:r>
        <w:rPr>
          <w:rFonts w:hint="eastAsia" w:eastAsia="仿宋_GB2312"/>
          <w:bCs/>
          <w:sz w:val="32"/>
          <w:szCs w:val="28"/>
        </w:rPr>
        <w:t>以系统打造国家土壤污染防治先行区为引领，统筹土壤和地下水污染防治，健全多部门联合监管机制，</w:t>
      </w:r>
      <w:r>
        <w:rPr>
          <w:rFonts w:hint="eastAsia" w:eastAsia="仿宋_GB2312"/>
          <w:sz w:val="32"/>
          <w:szCs w:val="28"/>
        </w:rPr>
        <w:t>推动建立全周期监管、全方位管控、全链条质控的土壤环境管理体系。推动重点行业企业用地实施分类监管，深化建设用地“准入-准出”全链条监管。严格建设工程规划许可，有效保障重点建设用地安全利用。</w:t>
      </w:r>
      <w:r>
        <w:rPr>
          <w:rFonts w:hint="eastAsia" w:ascii="仿宋_GB2312" w:hAnsi="仿宋" w:eastAsia="仿宋_GB2312" w:cs="楷体"/>
          <w:bCs/>
          <w:kern w:val="0"/>
          <w:sz w:val="32"/>
          <w:szCs w:val="32"/>
        </w:rPr>
        <w:t>以土壤污染重点监管单位为重点，强化监管执法，防止新增土壤污染。</w:t>
      </w:r>
      <w:r>
        <w:rPr>
          <w:rFonts w:hint="eastAsia" w:eastAsia="仿宋_GB2312"/>
          <w:sz w:val="32"/>
          <w:szCs w:val="28"/>
        </w:rPr>
        <w:t>强化镉等重金属污染源头管控，建立农用地安全利用可持续效果评价机制和农用地土壤污染及农产品质量联动监管机制。到2</w:t>
      </w:r>
      <w:r>
        <w:rPr>
          <w:rFonts w:eastAsia="仿宋_GB2312"/>
          <w:sz w:val="32"/>
          <w:szCs w:val="28"/>
        </w:rPr>
        <w:t>035</w:t>
      </w:r>
      <w:r>
        <w:rPr>
          <w:rFonts w:hint="eastAsia" w:eastAsia="仿宋_GB2312"/>
          <w:sz w:val="32"/>
          <w:szCs w:val="28"/>
        </w:rPr>
        <w:t>年，打造</w:t>
      </w:r>
      <w:r>
        <w:rPr>
          <w:rFonts w:eastAsia="仿宋_GB2312"/>
          <w:bCs/>
          <w:sz w:val="32"/>
          <w:szCs w:val="28"/>
        </w:rPr>
        <w:t>建立</w:t>
      </w:r>
      <w:r>
        <w:rPr>
          <w:rFonts w:hint="eastAsia" w:eastAsia="仿宋_GB2312"/>
          <w:bCs/>
          <w:sz w:val="32"/>
          <w:szCs w:val="28"/>
        </w:rPr>
        <w:t>“净土、洁食、居安、健康”</w:t>
      </w:r>
      <w:r>
        <w:rPr>
          <w:rFonts w:hint="eastAsia" w:eastAsia="仿宋_GB2312"/>
          <w:sz w:val="32"/>
          <w:szCs w:val="28"/>
        </w:rPr>
        <w:t>的</w:t>
      </w:r>
      <w:r>
        <w:rPr>
          <w:rFonts w:eastAsia="仿宋_GB2312"/>
          <w:sz w:val="32"/>
          <w:szCs w:val="28"/>
        </w:rPr>
        <w:t>“</w:t>
      </w:r>
      <w:r>
        <w:rPr>
          <w:rFonts w:hint="eastAsia" w:eastAsia="仿宋_GB2312"/>
          <w:sz w:val="32"/>
          <w:szCs w:val="28"/>
        </w:rPr>
        <w:t>青岛样板</w:t>
      </w:r>
      <w:r>
        <w:rPr>
          <w:rFonts w:eastAsia="仿宋_GB2312"/>
          <w:sz w:val="32"/>
          <w:szCs w:val="28"/>
        </w:rPr>
        <w:t>”</w:t>
      </w:r>
      <w:r>
        <w:rPr>
          <w:rFonts w:hint="eastAsia" w:eastAsia="仿宋_GB2312"/>
          <w:sz w:val="32"/>
          <w:szCs w:val="28"/>
        </w:rPr>
        <w:t>。</w:t>
      </w:r>
    </w:p>
    <w:p>
      <w:pPr>
        <w:adjustRightInd w:val="0"/>
        <w:snapToGrid w:val="0"/>
        <w:spacing w:line="560" w:lineRule="exact"/>
        <w:ind w:firstLine="643" w:firstLineChars="200"/>
        <w:rPr>
          <w:rFonts w:ascii="仿宋_GB2312" w:hAnsi="仿宋" w:eastAsia="仿宋_GB2312" w:cs="楷体"/>
          <w:bCs/>
          <w:kern w:val="0"/>
          <w:sz w:val="32"/>
          <w:szCs w:val="32"/>
        </w:rPr>
      </w:pPr>
      <w:r>
        <w:rPr>
          <w:rFonts w:hint="eastAsia" w:eastAsia="仿宋_GB2312"/>
          <w:b/>
          <w:bCs/>
          <w:sz w:val="32"/>
          <w:szCs w:val="28"/>
        </w:rPr>
        <w:t>精细化防控土壤污染。</w:t>
      </w:r>
      <w:r>
        <w:rPr>
          <w:rFonts w:hint="eastAsia" w:eastAsia="仿宋_GB2312"/>
          <w:sz w:val="32"/>
          <w:szCs w:val="28"/>
        </w:rPr>
        <w:t>开展土壤污染隐患排查评估，按年度分批选取重点监管单位开展周边土壤监测。</w:t>
      </w:r>
      <w:r>
        <w:rPr>
          <w:rFonts w:hint="eastAsia" w:eastAsia="仿宋_GB2312"/>
          <w:bCs/>
          <w:sz w:val="32"/>
          <w:szCs w:val="28"/>
        </w:rPr>
        <w:t>推动土壤污染风险分级分区防控，识别优先管控区域、行业和污染物，差异化制定管控措施。</w:t>
      </w:r>
      <w:r>
        <w:rPr>
          <w:rFonts w:hint="eastAsia" w:eastAsia="仿宋_GB2312"/>
          <w:sz w:val="32"/>
          <w:szCs w:val="28"/>
        </w:rPr>
        <w:t>实施污染地块分类管控修复，根据地块特征条件、修复目标和用地需求，分类开展风险管控和修复。提升重点监管单位、典型工业园区土壤和地下水污染风险预警能力。推进土壤污染绿色可持续治理和修复，探索土壤修复与城市生态品质联动提升的青岛模式。健全污染土壤转运联单制度，</w:t>
      </w:r>
      <w:r>
        <w:rPr>
          <w:rFonts w:hint="eastAsia" w:ascii="仿宋_GB2312" w:hAnsi="仿宋" w:eastAsia="仿宋_GB2312" w:cs="楷体"/>
          <w:bCs/>
          <w:kern w:val="0"/>
          <w:sz w:val="32"/>
          <w:szCs w:val="32"/>
        </w:rPr>
        <w:t>通过视频监控和云平台建设，试点开展污染地块风险管控、修复智慧监管。</w:t>
      </w:r>
    </w:p>
    <w:p>
      <w:pPr>
        <w:pStyle w:val="2"/>
        <w:ind w:firstLine="210"/>
      </w:pPr>
      <w:r>
        <w:br w:type="page"/>
      </w:r>
    </w:p>
    <w:p>
      <w:pPr>
        <w:keepNext/>
        <w:keepLines/>
        <w:adjustRightInd w:val="0"/>
        <w:snapToGrid w:val="0"/>
        <w:spacing w:line="560" w:lineRule="exact"/>
        <w:outlineLvl w:val="0"/>
        <w:rPr>
          <w:rFonts w:ascii="等线" w:hAnsi="等线" w:eastAsia="黑体"/>
          <w:bCs/>
          <w:kern w:val="44"/>
          <w:sz w:val="32"/>
          <w:szCs w:val="48"/>
        </w:rPr>
      </w:pPr>
      <w:bookmarkStart w:id="39" w:name="_Toc133150291"/>
      <w:r>
        <w:rPr>
          <w:rFonts w:hint="eastAsia" w:ascii="等线" w:hAnsi="等线" w:eastAsia="黑体"/>
          <w:bCs/>
          <w:kern w:val="44"/>
          <w:sz w:val="32"/>
          <w:szCs w:val="48"/>
        </w:rPr>
        <w:t>五、多维联动，打造环境健康安全韧性之城</w:t>
      </w:r>
      <w:bookmarkEnd w:id="39"/>
    </w:p>
    <w:p>
      <w:pPr>
        <w:adjustRightInd w:val="0"/>
        <w:snapToGrid w:val="0"/>
        <w:spacing w:line="560" w:lineRule="exact"/>
        <w:ind w:firstLine="640" w:firstLineChars="200"/>
        <w:rPr>
          <w:rFonts w:ascii="仿宋" w:hAnsi="仿宋" w:eastAsia="仿宋_GB2312"/>
          <w:sz w:val="32"/>
          <w:szCs w:val="24"/>
        </w:rPr>
      </w:pPr>
      <w:r>
        <w:rPr>
          <w:rFonts w:hint="eastAsia" w:ascii="仿宋" w:hAnsi="仿宋" w:eastAsia="仿宋_GB2312"/>
          <w:sz w:val="32"/>
          <w:szCs w:val="24"/>
        </w:rPr>
        <w:t>以保障人民群众健康和安全为根本出发点，统筹传统安全与非传统安全，提升城市全生命周期生态环境安全和多维韧性，构筑城市精细化、常态化的风险管控和应急保障体系，为美丽青岛建设提供安全健康韧性的环境。</w:t>
      </w:r>
    </w:p>
    <w:p>
      <w:pPr>
        <w:keepNext/>
        <w:keepLines/>
        <w:widowControl/>
        <w:adjustRightInd w:val="0"/>
        <w:snapToGrid w:val="0"/>
        <w:spacing w:line="560" w:lineRule="exact"/>
        <w:ind w:firstLine="643" w:firstLineChars="200"/>
        <w:outlineLvl w:val="1"/>
        <w:rPr>
          <w:rFonts w:eastAsia="楷体_GB2312"/>
          <w:b/>
          <w:bCs/>
          <w:sz w:val="32"/>
          <w:szCs w:val="32"/>
        </w:rPr>
      </w:pPr>
      <w:bookmarkStart w:id="40" w:name="_Toc133150292"/>
      <w:r>
        <w:rPr>
          <w:rFonts w:eastAsia="楷体_GB2312"/>
          <w:b/>
          <w:bCs/>
          <w:sz w:val="32"/>
          <w:szCs w:val="32"/>
        </w:rPr>
        <w:t>（一）</w:t>
      </w:r>
      <w:r>
        <w:rPr>
          <w:rFonts w:hint="eastAsia" w:eastAsia="楷体_GB2312"/>
          <w:b/>
          <w:bCs/>
          <w:sz w:val="32"/>
          <w:szCs w:val="32"/>
        </w:rPr>
        <w:t>守护生态环境安全底线</w:t>
      </w:r>
      <w:bookmarkEnd w:id="40"/>
    </w:p>
    <w:p>
      <w:pPr>
        <w:adjustRightInd w:val="0"/>
        <w:snapToGrid w:val="0"/>
        <w:spacing w:line="560" w:lineRule="exact"/>
        <w:ind w:firstLine="643" w:firstLineChars="200"/>
        <w:rPr>
          <w:rFonts w:ascii="仿宋" w:hAnsi="仿宋" w:eastAsia="仿宋_GB2312"/>
          <w:sz w:val="32"/>
          <w:szCs w:val="24"/>
        </w:rPr>
      </w:pPr>
      <w:r>
        <w:rPr>
          <w:rFonts w:hint="eastAsia" w:eastAsia="仿宋_GB2312"/>
          <w:b/>
          <w:sz w:val="32"/>
          <w:szCs w:val="28"/>
        </w:rPr>
        <w:t>全面推进“无废城市”建设</w:t>
      </w:r>
      <w:r>
        <w:rPr>
          <w:rFonts w:hint="eastAsia" w:ascii="仿宋" w:hAnsi="仿宋" w:eastAsia="楷体_GB2312"/>
          <w:sz w:val="32"/>
          <w:szCs w:val="32"/>
        </w:rPr>
        <w:t>。</w:t>
      </w:r>
      <w:r>
        <w:rPr>
          <w:rFonts w:hint="eastAsia" w:ascii="仿宋_GB2312" w:hAnsi="仿宋" w:eastAsia="仿宋_GB2312"/>
          <w:sz w:val="32"/>
          <w:szCs w:val="32"/>
        </w:rPr>
        <w:t>以</w:t>
      </w:r>
      <w:r>
        <w:rPr>
          <w:rFonts w:hint="eastAsia" w:ascii="仿宋" w:hAnsi="仿宋" w:eastAsia="仿宋_GB2312"/>
          <w:sz w:val="32"/>
          <w:szCs w:val="24"/>
        </w:rPr>
        <w:t>“提能力、补短板、强监管”为路径，守护青岛生态环境安全。完善危险废物收集体系，规范危险废物运输转移，提升危险废物利用处置水平。完善医疗废物收运体系，建立平战结合的医疗废物处置体系。以信息化为手段，建立危险废物重点监管单位清单制度。开展海洋垃圾综合治理，建立近岸海洋垃圾清捞作业体系，实施船舶污染物转移处置联单制度，推进“船—港—城”全过程协同管理。</w:t>
      </w:r>
    </w:p>
    <w:p>
      <w:pPr>
        <w:adjustRightInd w:val="0"/>
        <w:snapToGrid w:val="0"/>
        <w:spacing w:line="560" w:lineRule="exact"/>
        <w:ind w:firstLine="643" w:firstLineChars="200"/>
        <w:rPr>
          <w:rFonts w:ascii="仿宋" w:hAnsi="仿宋" w:eastAsia="仿宋_GB2312"/>
          <w:sz w:val="32"/>
          <w:szCs w:val="32"/>
        </w:rPr>
      </w:pPr>
      <w:r>
        <w:rPr>
          <w:rFonts w:hint="eastAsia" w:eastAsia="仿宋_GB2312"/>
          <w:b/>
          <w:sz w:val="32"/>
          <w:szCs w:val="28"/>
        </w:rPr>
        <w:t>有效防控涉重金属环境风险</w:t>
      </w:r>
      <w:r>
        <w:rPr>
          <w:rFonts w:hint="eastAsia" w:ascii="仿宋" w:hAnsi="仿宋" w:eastAsia="楷体_GB2312"/>
          <w:sz w:val="32"/>
          <w:szCs w:val="32"/>
        </w:rPr>
        <w:t>。</w:t>
      </w:r>
      <w:r>
        <w:rPr>
          <w:rFonts w:hint="eastAsia" w:ascii="仿宋" w:hAnsi="仿宋" w:eastAsia="仿宋_GB2312"/>
          <w:sz w:val="32"/>
          <w:szCs w:val="32"/>
        </w:rPr>
        <w:t>深化重点行业重金属污染治理，聚焦电镀、化学原料及化学制品制造业等行业，以铅、汞、镉、铬、砷等污染物为重点，严格重点行业环境准入管理，编制涉有毒有害污染物企业重点排污单位名录。开展重点行业重点重金属企业排查整治，动态更新全口径涉重点行业重点重金属企业清单。加强重点企业工艺清洁生产改造，推进涉重金属行业工艺提升和污染深度治理，深入推进重点河流湖库、水源地、农田等环境敏感区域周边涉重金属企业污染综合治理，持续减少重金属污染排放。</w:t>
      </w:r>
    </w:p>
    <w:p>
      <w:pPr>
        <w:adjustRightInd w:val="0"/>
        <w:snapToGrid w:val="0"/>
        <w:spacing w:line="560" w:lineRule="exact"/>
        <w:ind w:firstLine="643" w:firstLineChars="200"/>
        <w:rPr>
          <w:rFonts w:ascii="仿宋" w:hAnsi="仿宋" w:eastAsia="楷体_GB2312"/>
          <w:sz w:val="32"/>
          <w:szCs w:val="32"/>
        </w:rPr>
      </w:pPr>
      <w:r>
        <w:rPr>
          <w:rFonts w:hint="eastAsia" w:eastAsia="仿宋_GB2312"/>
          <w:b/>
          <w:sz w:val="32"/>
          <w:szCs w:val="28"/>
        </w:rPr>
        <w:t>加强化学品和新污染物管控</w:t>
      </w:r>
      <w:r>
        <w:rPr>
          <w:rFonts w:hint="eastAsia" w:ascii="仿宋" w:hAnsi="仿宋" w:eastAsia="楷体_GB2312"/>
          <w:sz w:val="32"/>
          <w:szCs w:val="32"/>
        </w:rPr>
        <w:t>。</w:t>
      </w:r>
      <w:r>
        <w:rPr>
          <w:rFonts w:hint="eastAsia" w:ascii="仿宋" w:hAnsi="仿宋" w:eastAsia="仿宋_GB2312"/>
          <w:sz w:val="32"/>
          <w:szCs w:val="32"/>
        </w:rPr>
        <w:t>编制青岛市新污染物治理实施方案，明确治理路线图和时间表。建立</w:t>
      </w:r>
      <w:r>
        <w:rPr>
          <w:rFonts w:ascii="仿宋" w:hAnsi="仿宋" w:eastAsia="仿宋_GB2312"/>
          <w:sz w:val="32"/>
          <w:szCs w:val="32"/>
        </w:rPr>
        <w:t>“筛</w:t>
      </w:r>
      <w:r>
        <w:rPr>
          <w:rFonts w:hint="eastAsia" w:ascii="仿宋" w:hAnsi="仿宋" w:eastAsia="仿宋_GB2312"/>
          <w:sz w:val="32"/>
          <w:szCs w:val="32"/>
        </w:rPr>
        <w:t>、</w:t>
      </w:r>
      <w:r>
        <w:rPr>
          <w:rFonts w:ascii="仿宋" w:hAnsi="仿宋" w:eastAsia="仿宋_GB2312"/>
          <w:sz w:val="32"/>
          <w:szCs w:val="32"/>
        </w:rPr>
        <w:t>评</w:t>
      </w:r>
      <w:r>
        <w:rPr>
          <w:rFonts w:hint="eastAsia" w:ascii="仿宋" w:hAnsi="仿宋" w:eastAsia="仿宋_GB2312"/>
          <w:sz w:val="32"/>
          <w:szCs w:val="32"/>
        </w:rPr>
        <w:t>、</w:t>
      </w:r>
      <w:r>
        <w:rPr>
          <w:rFonts w:ascii="仿宋" w:hAnsi="仿宋" w:eastAsia="仿宋_GB2312"/>
          <w:sz w:val="32"/>
          <w:szCs w:val="32"/>
        </w:rPr>
        <w:t>控”</w:t>
      </w:r>
      <w:r>
        <w:rPr>
          <w:rFonts w:hint="eastAsia" w:ascii="仿宋" w:hAnsi="仿宋" w:eastAsia="仿宋_GB2312"/>
          <w:sz w:val="32"/>
          <w:szCs w:val="32"/>
        </w:rPr>
        <w:t>的新化学物质全生命周期评估管控技术体系。开展化学物质环境信息调查和环境风险评估。健全有毒有害化学物质环境管理制度，加强新污染物调查评估技术集成、应用、环境管理登记监督检查。对重点管控新污染物实施分类环境风险管控措施，落实“一品一策”管控措施。强化新污染物多环境介质协同治理，开展新污染物治理试点工程。严格石化、涂料、纺织印染、橡胶、医药等行业新污染物排放及环境风险管控。到2035年，建成较为完善的新污染物治理体系。</w:t>
      </w:r>
    </w:p>
    <w:p>
      <w:pPr>
        <w:widowControl/>
        <w:adjustRightInd w:val="0"/>
        <w:snapToGrid w:val="0"/>
        <w:spacing w:line="560" w:lineRule="exact"/>
        <w:ind w:firstLine="643" w:firstLineChars="200"/>
        <w:rPr>
          <w:rFonts w:ascii="仿宋" w:hAnsi="仿宋" w:eastAsia="仿宋_GB2312"/>
          <w:sz w:val="32"/>
          <w:szCs w:val="24"/>
        </w:rPr>
      </w:pPr>
      <w:r>
        <w:rPr>
          <w:rFonts w:hint="eastAsia" w:eastAsia="仿宋_GB2312"/>
          <w:b/>
          <w:sz w:val="32"/>
          <w:szCs w:val="28"/>
        </w:rPr>
        <w:t>强化核与辐射安全监管</w:t>
      </w:r>
      <w:r>
        <w:rPr>
          <w:rFonts w:hint="eastAsia" w:ascii="仿宋" w:hAnsi="仿宋" w:eastAsia="仿宋_GB2312"/>
          <w:sz w:val="32"/>
          <w:szCs w:val="24"/>
        </w:rPr>
        <w:t>。</w:t>
      </w:r>
      <w:r>
        <w:rPr>
          <w:rFonts w:hint="eastAsia" w:ascii="仿宋" w:hAnsi="仿宋" w:eastAsia="仿宋_GB2312"/>
          <w:sz w:val="32"/>
          <w:szCs w:val="32"/>
        </w:rPr>
        <w:t>建立健全核与辐射安全监管、安全许可、环境监测、应急响应等制度体系，形成多部门协同联动的工作机制，保障核技术利用安全。推进核与辐射安全隐患排查专项整治行动，有序推动大数据在辐射安全监管、辐射应急等多场景应用。强化核与辐射监测网络建设，加强放射性物品、装置全周期、动态性、实时性监管，提升核与辐射安全监管水平。做好近海辐射环境专项监测，开展近海放射性全面调查。</w:t>
      </w:r>
      <w:r>
        <w:rPr>
          <w:rFonts w:hint="eastAsia" w:ascii="仿宋" w:hAnsi="仿宋" w:eastAsia="仿宋_GB2312"/>
          <w:sz w:val="32"/>
          <w:szCs w:val="24"/>
        </w:rPr>
        <w:t>完善核与辐射应急响应体系，加强辐射事故应急处置能力建设，做好应急队伍、现场检测设备、处置设施和防护装备保障。</w:t>
      </w:r>
    </w:p>
    <w:p>
      <w:pPr>
        <w:adjustRightInd w:val="0"/>
        <w:snapToGrid w:val="0"/>
        <w:spacing w:line="560" w:lineRule="exact"/>
        <w:ind w:firstLine="210" w:firstLineChars="100"/>
      </w:pPr>
    </w:p>
    <w:p>
      <w:pPr>
        <w:keepNext/>
        <w:keepLines/>
        <w:widowControl/>
        <w:adjustRightInd w:val="0"/>
        <w:snapToGrid w:val="0"/>
        <w:spacing w:line="560" w:lineRule="exact"/>
        <w:ind w:firstLine="643" w:firstLineChars="200"/>
        <w:outlineLvl w:val="1"/>
        <w:rPr>
          <w:rFonts w:eastAsia="楷体_GB2312"/>
          <w:b/>
          <w:bCs/>
          <w:sz w:val="32"/>
          <w:szCs w:val="32"/>
        </w:rPr>
      </w:pPr>
      <w:bookmarkStart w:id="41" w:name="_Toc133150293"/>
      <w:r>
        <w:rPr>
          <w:rFonts w:eastAsia="楷体_GB2312"/>
          <w:b/>
          <w:bCs/>
          <w:sz w:val="32"/>
          <w:szCs w:val="32"/>
        </w:rPr>
        <w:t>（</w:t>
      </w:r>
      <w:r>
        <w:rPr>
          <w:rFonts w:hint="eastAsia" w:eastAsia="楷体_GB2312"/>
          <w:b/>
          <w:bCs/>
          <w:sz w:val="32"/>
          <w:szCs w:val="32"/>
        </w:rPr>
        <w:t>二</w:t>
      </w:r>
      <w:r>
        <w:rPr>
          <w:rFonts w:eastAsia="楷体_GB2312"/>
          <w:b/>
          <w:bCs/>
          <w:sz w:val="32"/>
          <w:szCs w:val="32"/>
        </w:rPr>
        <w:t>）</w:t>
      </w:r>
      <w:r>
        <w:rPr>
          <w:rFonts w:hint="eastAsia" w:eastAsia="楷体_GB2312"/>
          <w:b/>
          <w:bCs/>
          <w:sz w:val="32"/>
          <w:szCs w:val="32"/>
        </w:rPr>
        <w:t>加强气候韧性能力</w:t>
      </w:r>
      <w:bookmarkEnd w:id="41"/>
      <w:r>
        <w:rPr>
          <w:rFonts w:hint="eastAsia" w:eastAsia="楷体_GB2312"/>
          <w:b/>
          <w:bCs/>
          <w:sz w:val="32"/>
          <w:szCs w:val="32"/>
        </w:rPr>
        <w:t>建设</w:t>
      </w:r>
    </w:p>
    <w:p>
      <w:pPr>
        <w:adjustRightInd w:val="0"/>
        <w:snapToGrid w:val="0"/>
        <w:spacing w:line="560" w:lineRule="exact"/>
        <w:ind w:firstLine="643" w:firstLineChars="200"/>
        <w:rPr>
          <w:rFonts w:eastAsia="仿宋_GB2312"/>
          <w:sz w:val="32"/>
          <w:szCs w:val="32"/>
        </w:rPr>
      </w:pPr>
      <w:r>
        <w:rPr>
          <w:rFonts w:hint="eastAsia" w:eastAsia="仿宋_GB2312"/>
          <w:b/>
          <w:sz w:val="32"/>
          <w:szCs w:val="28"/>
        </w:rPr>
        <w:t>强化韧性基础设施建设</w:t>
      </w:r>
      <w:r>
        <w:rPr>
          <w:rFonts w:hint="eastAsia" w:ascii="楷体_GB2312" w:eastAsia="楷体_GB2312"/>
          <w:sz w:val="32"/>
          <w:szCs w:val="32"/>
        </w:rPr>
        <w:t>。</w:t>
      </w:r>
      <w:r>
        <w:rPr>
          <w:rFonts w:hint="eastAsia" w:eastAsia="仿宋_GB2312"/>
          <w:sz w:val="32"/>
          <w:szCs w:val="32"/>
        </w:rPr>
        <w:t>合理调整城市关键基础设施建设标准，统筹提高建筑、电力、给排水、交通、供暖、通信等生命线系统、重大民生工程项目的韧性。持续实施海绵城市建设工程，建设灰绿结合、蓝绿交织、连续完整的城市生态基础设施，构建完整连贯、均衡共享的城市绿地系统。实施防汛抗旱水利提升工程，加快构建以河道、水库、湖泊和蓄滞洪区为架构的高标准防洪减灾体系。</w:t>
      </w:r>
      <w:r>
        <w:rPr>
          <w:rFonts w:eastAsia="仿宋_GB2312"/>
          <w:sz w:val="32"/>
          <w:szCs w:val="32"/>
        </w:rPr>
        <w:t>推动</w:t>
      </w:r>
      <w:r>
        <w:rPr>
          <w:rFonts w:hint="eastAsia" w:eastAsia="仿宋_GB2312"/>
          <w:sz w:val="32"/>
          <w:szCs w:val="32"/>
        </w:rPr>
        <w:t>基于自然的解决方案（</w:t>
      </w:r>
      <w:r>
        <w:rPr>
          <w:rFonts w:eastAsia="仿宋_GB2312"/>
          <w:sz w:val="32"/>
          <w:szCs w:val="32"/>
        </w:rPr>
        <w:t>NbS</w:t>
      </w:r>
      <w:r>
        <w:rPr>
          <w:rFonts w:hint="eastAsia" w:eastAsia="仿宋_GB2312"/>
          <w:sz w:val="32"/>
          <w:szCs w:val="32"/>
        </w:rPr>
        <w:t>）在生态保护修复、海湾治理、城市热岛缓解、生态多样性维护、矿山综合治理等领域的应用。实施自然灾害防治重点工程，构建统筹应对各灾种、有效覆盖各环节的灾害防治体系。到2035年，适应气候变化能力显著提升，气候适应型城市基本建成。</w:t>
      </w:r>
    </w:p>
    <w:p>
      <w:pPr>
        <w:adjustRightInd w:val="0"/>
        <w:snapToGrid w:val="0"/>
        <w:spacing w:line="560" w:lineRule="exact"/>
        <w:ind w:firstLine="643" w:firstLineChars="200"/>
        <w:rPr>
          <w:rFonts w:eastAsia="仿宋_GB2312"/>
          <w:sz w:val="32"/>
          <w:szCs w:val="32"/>
        </w:rPr>
      </w:pPr>
      <w:r>
        <w:rPr>
          <w:rFonts w:hint="eastAsia" w:eastAsia="仿宋_GB2312"/>
          <w:b/>
          <w:sz w:val="32"/>
          <w:szCs w:val="28"/>
        </w:rPr>
        <w:t>提升城市管理多维韧性</w:t>
      </w:r>
      <w:r>
        <w:rPr>
          <w:rFonts w:hint="eastAsia" w:eastAsia="仿宋_GB2312"/>
          <w:sz w:val="32"/>
          <w:szCs w:val="32"/>
        </w:rPr>
        <w:t>。建立青岛本地化韧性城市评价指标体系和标准体系。持续开展青岛市重点领域适应气候变化影响及风险评估，统筹开展全要素、全过程、全空间的风险评估。将韧性城市理念融入规划、建设和管理全过程，优化生产生态生活“三生”空间格局，开展绿色矿山建设和生态修复治理，提升城市生态韧性。与可持续发展、城市体检、基础设施建设等形成政策合力，提升制度韧性。加快经济的数字化、智能化转型，提升城市经济韧性。提高公众危机意识，提高社会适应变化的能力，提升城市社会韧性。</w:t>
      </w:r>
    </w:p>
    <w:p>
      <w:pPr>
        <w:keepNext/>
        <w:keepLines/>
        <w:widowControl/>
        <w:adjustRightInd w:val="0"/>
        <w:snapToGrid w:val="0"/>
        <w:spacing w:line="560" w:lineRule="exact"/>
        <w:ind w:firstLine="643" w:firstLineChars="200"/>
        <w:outlineLvl w:val="1"/>
        <w:rPr>
          <w:rFonts w:eastAsia="楷体_GB2312"/>
          <w:b/>
          <w:bCs/>
          <w:sz w:val="32"/>
          <w:szCs w:val="32"/>
        </w:rPr>
      </w:pPr>
      <w:bookmarkStart w:id="42" w:name="_Toc133150294"/>
      <w:r>
        <w:rPr>
          <w:rFonts w:eastAsia="楷体_GB2312"/>
          <w:b/>
          <w:bCs/>
          <w:sz w:val="32"/>
          <w:szCs w:val="32"/>
        </w:rPr>
        <w:t>（</w:t>
      </w:r>
      <w:r>
        <w:rPr>
          <w:rFonts w:hint="eastAsia" w:eastAsia="楷体_GB2312"/>
          <w:b/>
          <w:bCs/>
          <w:sz w:val="32"/>
          <w:szCs w:val="32"/>
        </w:rPr>
        <w:t>三</w:t>
      </w:r>
      <w:r>
        <w:rPr>
          <w:rFonts w:eastAsia="楷体_GB2312"/>
          <w:b/>
          <w:bCs/>
          <w:sz w:val="32"/>
          <w:szCs w:val="32"/>
        </w:rPr>
        <w:t>）</w:t>
      </w:r>
      <w:r>
        <w:rPr>
          <w:rFonts w:hint="eastAsia" w:eastAsia="楷体_GB2312"/>
          <w:b/>
          <w:bCs/>
          <w:sz w:val="32"/>
          <w:szCs w:val="32"/>
        </w:rPr>
        <w:t>健全环境健康保障体系</w:t>
      </w:r>
      <w:bookmarkEnd w:id="42"/>
    </w:p>
    <w:p>
      <w:pPr>
        <w:adjustRightInd w:val="0"/>
        <w:snapToGrid w:val="0"/>
        <w:spacing w:line="560" w:lineRule="exact"/>
        <w:ind w:firstLine="643" w:firstLineChars="200"/>
        <w:rPr>
          <w:rFonts w:eastAsia="仿宋_GB2312"/>
          <w:sz w:val="32"/>
          <w:szCs w:val="32"/>
        </w:rPr>
      </w:pPr>
      <w:r>
        <w:rPr>
          <w:rFonts w:hint="eastAsia" w:eastAsia="仿宋_GB2312"/>
          <w:b/>
          <w:sz w:val="32"/>
          <w:szCs w:val="28"/>
        </w:rPr>
        <w:t>健全城市应急管理体系</w:t>
      </w:r>
      <w:r>
        <w:rPr>
          <w:rFonts w:hint="eastAsia" w:ascii="仿宋" w:hAnsi="仿宋" w:eastAsia="仿宋_GB2312"/>
          <w:sz w:val="32"/>
          <w:szCs w:val="32"/>
        </w:rPr>
        <w:t>。依托全市综合指挥平台，建立监测预警、应急预案、应急组织、应急队伍、城市安全、恢复</w:t>
      </w:r>
      <w:r>
        <w:rPr>
          <w:rFonts w:hint="eastAsia" w:eastAsia="仿宋_GB2312"/>
          <w:sz w:val="32"/>
          <w:szCs w:val="32"/>
        </w:rPr>
        <w:t>重建</w:t>
      </w:r>
      <w:r>
        <w:rPr>
          <w:rFonts w:hint="eastAsia" w:ascii="仿宋" w:hAnsi="仿宋" w:eastAsia="仿宋_GB2312"/>
          <w:sz w:val="32"/>
          <w:szCs w:val="32"/>
        </w:rPr>
        <w:t>、综合保障和应急宣教等“八大体系”，综合提升航空、铁路、公路、水路和通信保障等全系统应急保障能力。构建区域风险防范与应急联防联控机制，提升各类突发应急处置效能。推进“互联网+”、大数据、人工智能、物</w:t>
      </w:r>
      <w:r>
        <w:rPr>
          <w:rFonts w:eastAsia="仿宋_GB2312"/>
          <w:sz w:val="32"/>
          <w:szCs w:val="32"/>
        </w:rPr>
        <w:t>联网等现代信息技术在风险监测、预警预报、应急指挥等领域的应用，持续提高城市敏捷感知、风险预判、信息共享、快速反应能力。</w:t>
      </w:r>
      <w:r>
        <w:rPr>
          <w:rFonts w:hint="eastAsia" w:ascii="仿宋" w:hAnsi="仿宋" w:eastAsia="仿宋_GB2312"/>
          <w:sz w:val="32"/>
          <w:szCs w:val="32"/>
        </w:rPr>
        <w:t>统筹环境污染、生态破坏、气候风险等类型，建立全周期、全过程、多层级的环境风险防范体系。</w:t>
      </w:r>
    </w:p>
    <w:p>
      <w:pPr>
        <w:adjustRightInd w:val="0"/>
        <w:snapToGrid w:val="0"/>
        <w:spacing w:line="560" w:lineRule="exact"/>
        <w:ind w:firstLine="643" w:firstLineChars="200"/>
        <w:rPr>
          <w:rFonts w:ascii="仿宋" w:hAnsi="仿宋" w:eastAsia="仿宋_GB2312"/>
          <w:sz w:val="32"/>
          <w:szCs w:val="32"/>
        </w:rPr>
      </w:pPr>
      <w:r>
        <w:rPr>
          <w:rFonts w:hint="eastAsia" w:eastAsia="仿宋_GB2312"/>
          <w:b/>
          <w:sz w:val="32"/>
          <w:szCs w:val="28"/>
        </w:rPr>
        <w:t>完善城市健康保障体系</w:t>
      </w:r>
      <w:r>
        <w:rPr>
          <w:rFonts w:eastAsia="楷体_GB2312"/>
          <w:sz w:val="32"/>
          <w:szCs w:val="24"/>
        </w:rPr>
        <w:t>。</w:t>
      </w:r>
      <w:r>
        <w:rPr>
          <w:rFonts w:eastAsia="仿宋_GB2312"/>
          <w:sz w:val="32"/>
          <w:szCs w:val="24"/>
        </w:rPr>
        <w:t>加强环境与健康管理长效化和制度化建设，</w:t>
      </w:r>
      <w:r>
        <w:rPr>
          <w:rFonts w:hint="eastAsia" w:eastAsia="仿宋_GB2312"/>
          <w:sz w:val="32"/>
          <w:szCs w:val="24"/>
        </w:rPr>
        <w:t>逐步将健康风险防控融入生态环境管理制度。</w:t>
      </w:r>
      <w:r>
        <w:rPr>
          <w:rFonts w:eastAsia="仿宋_GB2312"/>
          <w:sz w:val="32"/>
          <w:szCs w:val="24"/>
        </w:rPr>
        <w:t>开展环境与健康基础调查、监测风险评估，</w:t>
      </w:r>
      <w:r>
        <w:rPr>
          <w:rFonts w:hint="eastAsia" w:ascii="仿宋" w:hAnsi="仿宋" w:eastAsia="仿宋_GB2312"/>
          <w:sz w:val="32"/>
          <w:szCs w:val="32"/>
        </w:rPr>
        <w:t>加强</w:t>
      </w:r>
      <w:r>
        <w:rPr>
          <w:rFonts w:eastAsia="仿宋_GB2312"/>
          <w:sz w:val="32"/>
          <w:szCs w:val="24"/>
        </w:rPr>
        <w:t>饮用水、空气、土壤等环境健康影响监测评价工作，提高环境健康风险管理水平。强化城市空气质量稳定达标管理，</w:t>
      </w:r>
      <w:r>
        <w:rPr>
          <w:rFonts w:hint="eastAsia" w:eastAsia="仿宋_GB2312"/>
          <w:sz w:val="32"/>
          <w:szCs w:val="24"/>
        </w:rPr>
        <w:t>探索建立空气质量健康指数体系</w:t>
      </w:r>
      <w:r>
        <w:rPr>
          <w:rFonts w:eastAsia="仿宋_GB2312"/>
          <w:sz w:val="32"/>
          <w:szCs w:val="24"/>
        </w:rPr>
        <w:t>。</w:t>
      </w:r>
      <w:r>
        <w:rPr>
          <w:rFonts w:hint="eastAsia" w:ascii="仿宋" w:hAnsi="仿宋" w:eastAsia="仿宋_GB2312"/>
          <w:sz w:val="32"/>
          <w:szCs w:val="24"/>
        </w:rPr>
        <w:t>加大高品质饮用水工程设施投入、管理和维护，不断提升并维持饮用水水源地水质，建立从“源头到龙头”的全过程饮用水安全保障体系。</w:t>
      </w:r>
      <w:r>
        <w:rPr>
          <w:rFonts w:hint="eastAsia" w:ascii="仿宋" w:hAnsi="仿宋" w:eastAsia="仿宋_GB2312"/>
          <w:sz w:val="32"/>
          <w:szCs w:val="32"/>
        </w:rPr>
        <w:t>深化声环境管理，推进生产、生活噪声污染防治，落实噪声主体责任。加强食品全链追溯、全程监管，确保人民群众“舌尖上的安全”。</w:t>
      </w:r>
    </w:p>
    <w:p>
      <w:pPr>
        <w:rPr>
          <w:rFonts w:ascii="仿宋" w:hAnsi="仿宋" w:eastAsia="仿宋_GB2312"/>
          <w:sz w:val="32"/>
          <w:szCs w:val="32"/>
        </w:rPr>
      </w:pPr>
      <w:r>
        <w:rPr>
          <w:rFonts w:hint="eastAsia" w:ascii="仿宋" w:hAnsi="仿宋" w:eastAsia="仿宋_GB2312"/>
          <w:sz w:val="32"/>
          <w:szCs w:val="32"/>
        </w:rPr>
        <w:br w:type="page"/>
      </w:r>
    </w:p>
    <w:p>
      <w:pPr>
        <w:keepNext/>
        <w:keepLines/>
        <w:adjustRightInd w:val="0"/>
        <w:snapToGrid w:val="0"/>
        <w:spacing w:line="560" w:lineRule="exact"/>
        <w:outlineLvl w:val="0"/>
        <w:rPr>
          <w:rFonts w:ascii="等线" w:hAnsi="等线" w:eastAsia="黑体"/>
          <w:bCs/>
          <w:kern w:val="44"/>
          <w:sz w:val="32"/>
          <w:szCs w:val="48"/>
        </w:rPr>
      </w:pPr>
      <w:bookmarkStart w:id="43" w:name="_Toc133150295"/>
      <w:bookmarkStart w:id="44" w:name="_Toc30660"/>
      <w:r>
        <w:rPr>
          <w:rFonts w:hint="eastAsia" w:ascii="等线" w:hAnsi="等线" w:eastAsia="黑体"/>
          <w:bCs/>
          <w:kern w:val="44"/>
          <w:sz w:val="32"/>
          <w:szCs w:val="48"/>
        </w:rPr>
        <w:t>六、城乡统筹，打造同美普惠宜居典范之城</w:t>
      </w:r>
      <w:bookmarkEnd w:id="43"/>
      <w:r>
        <w:rPr>
          <w:rFonts w:ascii="等线" w:hAnsi="等线" w:eastAsia="黑体"/>
          <w:bCs/>
          <w:kern w:val="44"/>
          <w:sz w:val="32"/>
          <w:szCs w:val="48"/>
        </w:rPr>
        <w:t xml:space="preserve"> </w:t>
      </w:r>
    </w:p>
    <w:p>
      <w:pPr>
        <w:adjustRightInd w:val="0"/>
        <w:snapToGrid w:val="0"/>
        <w:spacing w:line="560" w:lineRule="exact"/>
        <w:ind w:firstLine="640" w:firstLineChars="200"/>
        <w:rPr>
          <w:rFonts w:eastAsia="仿宋_GB2312"/>
          <w:sz w:val="32"/>
        </w:rPr>
      </w:pPr>
      <w:r>
        <w:rPr>
          <w:rFonts w:hint="eastAsia" w:eastAsia="仿宋_GB2312"/>
          <w:sz w:val="32"/>
        </w:rPr>
        <w:t>立足城海相依、古今相映、城乡相融的地域特征，以普惠、宜居、魅力为目标，完善城乡服务功能，推动城乡建设融合发展，全面建设现代美丽宜居城市，塑造具有鲜明特色的靓丽城镇风貌，打造乡村振兴齐鲁样板先行区，为青岛市城乡人居环境“赋能、赋美、赋魂”，满足人民群众对美好城乡生活的期待。</w:t>
      </w:r>
    </w:p>
    <w:p>
      <w:pPr>
        <w:keepNext/>
        <w:keepLines/>
        <w:widowControl/>
        <w:adjustRightInd w:val="0"/>
        <w:snapToGrid w:val="0"/>
        <w:spacing w:line="560" w:lineRule="exact"/>
        <w:ind w:firstLine="640"/>
        <w:outlineLvl w:val="1"/>
        <w:rPr>
          <w:rFonts w:eastAsia="楷体_GB2312"/>
          <w:bCs/>
          <w:sz w:val="32"/>
          <w:szCs w:val="32"/>
        </w:rPr>
      </w:pPr>
      <w:bookmarkStart w:id="45" w:name="_Toc133150296"/>
      <w:r>
        <w:rPr>
          <w:rFonts w:hint="eastAsia" w:eastAsia="楷体_GB2312"/>
          <w:b/>
          <w:bCs/>
          <w:sz w:val="32"/>
          <w:szCs w:val="32"/>
        </w:rPr>
        <w:t>（一）推动城乡统筹协同发展</w:t>
      </w:r>
      <w:bookmarkEnd w:id="45"/>
    </w:p>
    <w:p>
      <w:pPr>
        <w:adjustRightInd w:val="0"/>
        <w:snapToGrid w:val="0"/>
        <w:spacing w:line="560" w:lineRule="exact"/>
        <w:ind w:firstLine="643" w:firstLineChars="200"/>
        <w:rPr>
          <w:rFonts w:eastAsia="仿宋_GB2312"/>
          <w:sz w:val="32"/>
          <w:szCs w:val="32"/>
        </w:rPr>
      </w:pPr>
      <w:r>
        <w:rPr>
          <w:rFonts w:hint="eastAsia" w:eastAsia="仿宋_GB2312"/>
          <w:b/>
          <w:sz w:val="32"/>
          <w:szCs w:val="28"/>
        </w:rPr>
        <w:t>推动城乡经济融合发展</w:t>
      </w:r>
      <w:r>
        <w:rPr>
          <w:rFonts w:hint="eastAsia" w:eastAsia="楷体_GB2312"/>
          <w:sz w:val="32"/>
          <w:szCs w:val="32"/>
        </w:rPr>
        <w:t>。</w:t>
      </w:r>
      <w:r>
        <w:rPr>
          <w:rFonts w:hint="eastAsia" w:eastAsia="仿宋_GB2312"/>
          <w:sz w:val="32"/>
          <w:szCs w:val="32"/>
        </w:rPr>
        <w:t>以即墨区、平度市、莱西市为重点，建设国家城乡融合发展试验区。统筹城乡产业协同发展布局，沿青潍、青烟交通走廊布局六个城乡产业协同发展先行区，依托李哥庄、泊里、蓝村、南村、新河、姜山、龙泉等一批经济强镇（街道），规划建设城乡产业协同发展先行区。推进农业与旅游、教育、文化、康养等产业功能互补和深度融合，发展体验农业、发展创意农业、功能农业等。有序推进一区两市位于城市建成区内的城中村改造，搭建集体经济平台，鼓励村集体以合资联营、投资入股和就业参与等方式，与各类新型经营主体合作。</w:t>
      </w:r>
    </w:p>
    <w:p>
      <w:pPr>
        <w:adjustRightInd w:val="0"/>
        <w:snapToGrid w:val="0"/>
        <w:spacing w:line="560" w:lineRule="exact"/>
        <w:ind w:firstLine="643" w:firstLineChars="200"/>
        <w:rPr>
          <w:rFonts w:eastAsia="仿宋_GB2312"/>
          <w:sz w:val="32"/>
          <w:szCs w:val="32"/>
        </w:rPr>
      </w:pPr>
      <w:r>
        <w:rPr>
          <w:rFonts w:hint="eastAsia" w:eastAsia="仿宋_GB2312"/>
          <w:b/>
          <w:sz w:val="32"/>
          <w:szCs w:val="28"/>
        </w:rPr>
        <w:t>构建全域特色景观风貌</w:t>
      </w:r>
      <w:r>
        <w:rPr>
          <w:rFonts w:hint="eastAsia" w:eastAsia="楷体_GB2312"/>
          <w:sz w:val="32"/>
          <w:szCs w:val="32"/>
        </w:rPr>
        <w:t>。</w:t>
      </w:r>
      <w:r>
        <w:rPr>
          <w:rFonts w:hint="eastAsia" w:eastAsia="仿宋_GB2312"/>
          <w:sz w:val="32"/>
          <w:szCs w:val="32"/>
        </w:rPr>
        <w:t>强化城市整体特色风貌控制，保护和培育具有文化和地域特色的城市标志景观和意境，挖掘青岛历史文化名城街区、老工业文化遗产价值，拓展文化生活空间，打造特色街区。强化城市建筑色彩和风格引导，延续美丽青岛“红瓦绿树、碧海蓝天”城市面貌。维护“村嵌山海间、乡融田园里”的青岛特色乡村风貌，加强滨海海草房、山地石头房、青瓦砖石房建筑风貌保护，延续村庄原有肌理，打造山东省海韵山光乡村风貌典范。</w:t>
      </w:r>
    </w:p>
    <w:p>
      <w:pPr>
        <w:adjustRightInd w:val="0"/>
        <w:snapToGrid w:val="0"/>
        <w:spacing w:line="560" w:lineRule="exact"/>
        <w:ind w:firstLine="643" w:firstLineChars="200"/>
        <w:rPr>
          <w:rFonts w:eastAsia="仿宋_GB2312"/>
          <w:sz w:val="32"/>
        </w:rPr>
      </w:pPr>
      <w:r>
        <w:rPr>
          <w:rFonts w:hint="eastAsia" w:eastAsia="仿宋_GB2312"/>
          <w:b/>
          <w:sz w:val="32"/>
          <w:szCs w:val="28"/>
        </w:rPr>
        <w:t>共建全域城乡绿道网络</w:t>
      </w:r>
      <w:r>
        <w:rPr>
          <w:rFonts w:hint="eastAsia" w:eastAsia="楷体_GB2312"/>
          <w:sz w:val="32"/>
        </w:rPr>
        <w:t>。</w:t>
      </w:r>
      <w:r>
        <w:rPr>
          <w:rFonts w:hint="eastAsia" w:eastAsia="仿宋_GB2312"/>
          <w:sz w:val="32"/>
          <w:szCs w:val="32"/>
        </w:rPr>
        <w:t>统筹生态廊道、景观廊道、通风廊道和城市绿道布局，积极构建市域全覆盖的绿道网络，加强城市通风廊道预留和管控，缓解城市大气污染和热岛效应。到</w:t>
      </w:r>
      <w:r>
        <w:rPr>
          <w:rFonts w:eastAsia="仿宋_GB2312"/>
          <w:sz w:val="32"/>
        </w:rPr>
        <w:t>2035</w:t>
      </w:r>
      <w:r>
        <w:rPr>
          <w:rFonts w:hint="eastAsia" w:eastAsia="仿宋_GB2312"/>
          <w:sz w:val="32"/>
        </w:rPr>
        <w:t>年，形成“连山通海、串景连园、连通住区和公共空间，服务绿色生活”的绿道体系，兼顾生态保育功能与市民休闲需求，建成</w:t>
      </w:r>
      <w:r>
        <w:rPr>
          <w:rFonts w:eastAsia="仿宋_GB2312"/>
          <w:sz w:val="32"/>
        </w:rPr>
        <w:t>768</w:t>
      </w:r>
      <w:r>
        <w:rPr>
          <w:rFonts w:hint="eastAsia" w:eastAsia="仿宋_GB2312"/>
          <w:sz w:val="32"/>
        </w:rPr>
        <w:t>公里以上的城市绿道，服务半径覆盖率不低于</w:t>
      </w:r>
      <w:r>
        <w:rPr>
          <w:rFonts w:eastAsia="仿宋_GB2312"/>
          <w:sz w:val="32"/>
        </w:rPr>
        <w:t>70</w:t>
      </w:r>
      <w:r>
        <w:rPr>
          <w:rFonts w:hint="eastAsia" w:eastAsia="仿宋_GB2312"/>
          <w:sz w:val="32"/>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exact"/>
        <w:ind w:firstLine="640"/>
      </w:pPr>
      <w:r>
        <w:rPr>
          <w:rFonts w:hint="eastAsia" w:eastAsia="仿宋_GB2312"/>
          <w:b/>
          <w:sz w:val="32"/>
          <w:szCs w:val="28"/>
        </w:rPr>
        <w:t>共筑全域城乡基础设施网络</w:t>
      </w:r>
      <w:r>
        <w:rPr>
          <w:rFonts w:hint="eastAsia" w:eastAsia="楷体_GB2312"/>
          <w:sz w:val="32"/>
        </w:rPr>
        <w:t>。</w:t>
      </w:r>
      <w:r>
        <w:rPr>
          <w:rFonts w:hint="eastAsia" w:eastAsia="仿宋_GB2312"/>
          <w:sz w:val="32"/>
        </w:rPr>
        <w:t>推动城乡环境基础设施统一规划、统一布局、统一推进、统一管理，逐步形成由城市向建制镇和乡村延伸覆盖的环境基础设施网络。推进城镇污水管网全覆盖，加强城中村、老旧城区、城乡结合部污水收集处理设施建设。推动农村生活污水治理全覆盖，加强农村生活污水处理设施运行管理维护，实现规</w:t>
      </w:r>
      <w:r>
        <w:rPr>
          <w:rFonts w:hint="eastAsia" w:eastAsia="仿宋_GB2312"/>
          <w:sz w:val="32"/>
          <w:szCs w:val="32"/>
        </w:rPr>
        <w:t>模化建设、专业化运营。加大对农业投入品废弃物回收处置、农作物秸秆综合利用、畜禽粪污资</w:t>
      </w:r>
      <w:r>
        <w:rPr>
          <w:rFonts w:hint="eastAsia" w:eastAsia="仿宋_GB2312" w:cs="宋体"/>
          <w:kern w:val="0"/>
          <w:sz w:val="32"/>
          <w:szCs w:val="32"/>
        </w:rPr>
        <w:t>源化利用和无害化处理的扶持力度，以乡镇或行政村为单位</w:t>
      </w:r>
      <w:r>
        <w:rPr>
          <w:rFonts w:hint="eastAsia" w:eastAsia="仿宋_GB2312"/>
          <w:sz w:val="32"/>
          <w:szCs w:val="32"/>
          <w:shd w:val="clear" w:color="auto" w:fill="FFFFFF"/>
        </w:rPr>
        <w:t>推动建设一批区域农村有机废弃物综合处置利用中心</w:t>
      </w:r>
      <w:r>
        <w:rPr>
          <w:rFonts w:hint="eastAsia" w:eastAsia="仿宋_GB2312" w:cs="宋体"/>
          <w:kern w:val="0"/>
          <w:sz w:val="32"/>
          <w:szCs w:val="32"/>
        </w:rPr>
        <w:t>。建立配套完善的生活垃圾分类投放、分类收集、分类运输、分类处理系统。</w:t>
      </w:r>
      <w:r>
        <w:rPr>
          <w:rFonts w:hint="eastAsia" w:eastAsia="仿宋_GB2312"/>
          <w:sz w:val="32"/>
        </w:rPr>
        <w:t>推进城乡生活垃圾分类处置，构建废旧物资循环利用体系。</w:t>
      </w:r>
    </w:p>
    <w:p>
      <w:pPr>
        <w:keepNext/>
        <w:keepLines/>
        <w:widowControl/>
        <w:adjustRightInd w:val="0"/>
        <w:snapToGrid w:val="0"/>
        <w:spacing w:line="560" w:lineRule="exact"/>
        <w:ind w:firstLine="643" w:firstLineChars="200"/>
        <w:outlineLvl w:val="1"/>
        <w:rPr>
          <w:rFonts w:eastAsia="楷体_GB2312"/>
          <w:b/>
          <w:bCs/>
          <w:sz w:val="32"/>
          <w:szCs w:val="32"/>
        </w:rPr>
      </w:pPr>
      <w:bookmarkStart w:id="46" w:name="_Toc133150297"/>
      <w:r>
        <w:rPr>
          <w:rFonts w:hint="eastAsia" w:eastAsia="楷体_GB2312"/>
          <w:b/>
          <w:bCs/>
          <w:sz w:val="32"/>
          <w:szCs w:val="32"/>
        </w:rPr>
        <w:t>（二）建设全域公园美丽城市</w:t>
      </w:r>
      <w:bookmarkEnd w:id="46"/>
    </w:p>
    <w:p>
      <w:pPr>
        <w:adjustRightInd w:val="0"/>
        <w:snapToGrid w:val="0"/>
        <w:spacing w:line="560" w:lineRule="exact"/>
        <w:ind w:firstLine="643" w:firstLineChars="200"/>
        <w:rPr>
          <w:rFonts w:eastAsia="仿宋_GB2312"/>
          <w:sz w:val="32"/>
          <w:lang w:bidi="ar"/>
        </w:rPr>
      </w:pPr>
      <w:r>
        <w:rPr>
          <w:rFonts w:hint="eastAsia" w:eastAsia="仿宋_GB2312"/>
          <w:b/>
          <w:sz w:val="32"/>
          <w:szCs w:val="28"/>
        </w:rPr>
        <w:t>推进全域公园体系建设</w:t>
      </w:r>
      <w:r>
        <w:rPr>
          <w:rFonts w:hint="eastAsia" w:eastAsia="楷体_GB2312"/>
          <w:sz w:val="32"/>
          <w:szCs w:val="32"/>
        </w:rPr>
        <w:t>。</w:t>
      </w:r>
      <w:r>
        <w:rPr>
          <w:rFonts w:hint="eastAsia" w:eastAsia="仿宋_GB2312"/>
          <w:sz w:val="32"/>
          <w:szCs w:val="32"/>
        </w:rPr>
        <w:t>优化城市公园布局和分级配置，严格管控城市山海景观视廊以及重要文化遗产保护区域，建立自然公园（含风景名胜区）、郊野公园、乡村公园、城市公园、其他游憩开放空间等多层级公园体系，</w:t>
      </w:r>
      <w:r>
        <w:rPr>
          <w:rFonts w:hint="eastAsia" w:eastAsia="仿宋_GB2312"/>
          <w:sz w:val="32"/>
          <w:lang w:bidi="ar"/>
        </w:rPr>
        <w:t>实现“</w:t>
      </w:r>
      <w:r>
        <w:rPr>
          <w:rFonts w:eastAsia="仿宋_GB2312"/>
          <w:sz w:val="32"/>
          <w:lang w:bidi="ar"/>
        </w:rPr>
        <w:t>300</w:t>
      </w:r>
      <w:r>
        <w:rPr>
          <w:rFonts w:hint="eastAsia" w:eastAsia="仿宋_GB2312"/>
          <w:sz w:val="32"/>
          <w:lang w:bidi="ar"/>
        </w:rPr>
        <w:t>米见绿、</w:t>
      </w:r>
      <w:r>
        <w:rPr>
          <w:rFonts w:eastAsia="仿宋_GB2312"/>
          <w:sz w:val="32"/>
          <w:lang w:bidi="ar"/>
        </w:rPr>
        <w:t>500</w:t>
      </w:r>
      <w:r>
        <w:rPr>
          <w:rFonts w:hint="eastAsia" w:eastAsia="仿宋_GB2312"/>
          <w:sz w:val="32"/>
          <w:lang w:bidi="ar"/>
        </w:rPr>
        <w:t>米见园”。完善公园设施配套，在各类公园中合理配置各类服务功能，设置相应活动场地和设施。规范公园管理，实施公园分级分类管理。建立公园智慧化管理系统，提升公园智慧化、信息化管理水平。</w:t>
      </w:r>
      <w:r>
        <w:rPr>
          <w:rFonts w:hint="eastAsia" w:eastAsia="仿宋_GB2312"/>
          <w:sz w:val="32"/>
          <w:szCs w:val="32"/>
        </w:rPr>
        <w:t>到</w:t>
      </w:r>
      <w:r>
        <w:rPr>
          <w:rFonts w:eastAsia="仿宋_GB2312"/>
          <w:sz w:val="32"/>
          <w:szCs w:val="32"/>
        </w:rPr>
        <w:t>2035</w:t>
      </w:r>
      <w:r>
        <w:rPr>
          <w:rFonts w:hint="eastAsia" w:eastAsia="仿宋_GB2312"/>
          <w:sz w:val="32"/>
          <w:szCs w:val="32"/>
        </w:rPr>
        <w:t>年，全市人均公园绿地面积</w:t>
      </w:r>
      <w:r>
        <w:rPr>
          <w:rFonts w:eastAsia="仿宋_GB2312"/>
          <w:sz w:val="32"/>
          <w:szCs w:val="32"/>
        </w:rPr>
        <w:t>15</w:t>
      </w:r>
      <w:r>
        <w:rPr>
          <w:rFonts w:hint="eastAsia" w:eastAsia="仿宋_GB2312"/>
          <w:sz w:val="32"/>
          <w:szCs w:val="32"/>
        </w:rPr>
        <w:t>平方米以上，公园绿化活动场地服务半径覆盖率达</w:t>
      </w:r>
      <w:r>
        <w:rPr>
          <w:rFonts w:eastAsia="仿宋_GB2312"/>
          <w:sz w:val="32"/>
          <w:szCs w:val="32"/>
        </w:rPr>
        <w:t>95%</w:t>
      </w:r>
      <w:r>
        <w:rPr>
          <w:rFonts w:hint="eastAsia" w:eastAsia="仿宋_GB2312"/>
          <w:sz w:val="32"/>
          <w:szCs w:val="32"/>
        </w:rPr>
        <w:t>以上。</w:t>
      </w:r>
    </w:p>
    <w:p>
      <w:pPr>
        <w:adjustRightInd w:val="0"/>
        <w:snapToGrid w:val="0"/>
        <w:spacing w:line="560" w:lineRule="exact"/>
        <w:ind w:firstLine="643" w:firstLineChars="200"/>
        <w:rPr>
          <w:rFonts w:eastAsia="仿宋_GB2312"/>
          <w:sz w:val="32"/>
          <w:szCs w:val="32"/>
        </w:rPr>
      </w:pPr>
      <w:r>
        <w:rPr>
          <w:rFonts w:hint="eastAsia" w:eastAsia="仿宋_GB2312"/>
          <w:b/>
          <w:sz w:val="32"/>
          <w:szCs w:val="28"/>
        </w:rPr>
        <w:t>营造绿色洁净城市空间</w:t>
      </w:r>
      <w:r>
        <w:rPr>
          <w:rFonts w:hint="eastAsia" w:eastAsia="楷体_GB2312"/>
          <w:sz w:val="32"/>
          <w:szCs w:val="32"/>
        </w:rPr>
        <w:t>。</w:t>
      </w:r>
      <w:r>
        <w:rPr>
          <w:rFonts w:hint="eastAsia" w:eastAsia="仿宋_GB2312"/>
          <w:sz w:val="32"/>
          <w:szCs w:val="32"/>
        </w:rPr>
        <w:t>遵循公园城市发展理念，推广留白增绿、拆墙透绿、变废改绿、立体绿化等多维增绿增园增景的绿色城市建设模式，建设连续、开放、共享的滨海城市开敞空间系统。高标准推进城市更新，协调新老城区形态格局，强化城市空间和建筑布局管控，限制河海、山体、公园等开敞空间周边建筑高度，以精细化“微改造”提升城市环境品质。持续开展洁净道路、洁净桶点、洁净清运、洁净公厕、洁净岸线、洁净厂站、洁净家园等“七个洁净”行动，着力打造“全国最洁净城市”。到2035年，立体绿化实施率大于15%，城市绿地与公共空间市民满意度大于95%。</w:t>
      </w:r>
    </w:p>
    <w:p>
      <w:pPr>
        <w:adjustRightInd w:val="0"/>
        <w:snapToGrid w:val="0"/>
        <w:spacing w:line="560" w:lineRule="exact"/>
        <w:ind w:firstLine="640"/>
      </w:pPr>
      <w:r>
        <w:rPr>
          <w:rFonts w:hint="eastAsia" w:eastAsia="仿宋_GB2312"/>
          <w:b/>
          <w:sz w:val="32"/>
          <w:szCs w:val="28"/>
        </w:rPr>
        <w:t>建设美丽宜居社区</w:t>
      </w:r>
      <w:r>
        <w:rPr>
          <w:rFonts w:hint="eastAsia" w:eastAsia="楷体_GB2312"/>
          <w:sz w:val="32"/>
          <w:szCs w:val="32"/>
        </w:rPr>
        <w:t>。</w:t>
      </w:r>
      <w:r>
        <w:rPr>
          <w:rFonts w:hint="eastAsia" w:eastAsia="仿宋_GB2312"/>
          <w:sz w:val="32"/>
          <w:szCs w:val="32"/>
        </w:rPr>
        <w:t>推动社会治理重心向基层下移，把更多资源、服务、管理放到社区，营造住有所居、全民宜居、全龄关怀、低碳韧性、智慧生活的宜居社区。完善居住社区基本公共服务设施，构建十五分钟生活圈，配套中小学、养老院、社区医院、运动场、商超等设施，完善停车及充电设施，健全居住社区垃圾分类收集储运网络，加强环境卫生管理，营造花园社区。因地制宜合理增补社区公园，营造“推窗见绿、出门见园”的生活场景。提升公共活动空间景观，推动完善社区出行绿色慢行系统，配建多用途体育健身设施和公共活动场地。建立全覆盖的物业管理和健全的社区管理机制，实施社区公共设施数字化、网络化、智能化改造和管理，建设未来社区。</w:t>
      </w:r>
    </w:p>
    <w:p>
      <w:pPr>
        <w:keepNext/>
        <w:keepLines/>
        <w:widowControl/>
        <w:adjustRightInd w:val="0"/>
        <w:snapToGrid w:val="0"/>
        <w:spacing w:line="560" w:lineRule="exact"/>
        <w:ind w:firstLine="640"/>
        <w:outlineLvl w:val="1"/>
        <w:rPr>
          <w:rFonts w:eastAsia="楷体_GB2312"/>
          <w:bCs/>
          <w:sz w:val="32"/>
          <w:szCs w:val="32"/>
        </w:rPr>
      </w:pPr>
      <w:bookmarkStart w:id="47" w:name="_Toc133150298"/>
      <w:r>
        <w:rPr>
          <w:rFonts w:hint="eastAsia" w:eastAsia="楷体_GB2312"/>
          <w:b/>
          <w:bCs/>
          <w:sz w:val="32"/>
          <w:szCs w:val="32"/>
        </w:rPr>
        <w:t>（三）打造美丽宜居特色城镇</w:t>
      </w:r>
      <w:bookmarkEnd w:id="47"/>
    </w:p>
    <w:p>
      <w:pPr>
        <w:autoSpaceDE w:val="0"/>
        <w:autoSpaceDN w:val="0"/>
        <w:adjustRightInd w:val="0"/>
        <w:snapToGrid w:val="0"/>
        <w:spacing w:line="560" w:lineRule="exact"/>
        <w:ind w:firstLine="643" w:firstLineChars="200"/>
        <w:rPr>
          <w:rFonts w:eastAsia="楷体_GB2312"/>
          <w:bCs/>
          <w:sz w:val="32"/>
          <w:szCs w:val="32"/>
        </w:rPr>
      </w:pPr>
      <w:r>
        <w:rPr>
          <w:rFonts w:hint="eastAsia" w:eastAsia="仿宋_GB2312"/>
          <w:b/>
          <w:sz w:val="32"/>
          <w:szCs w:val="28"/>
        </w:rPr>
        <w:t>推进新型城镇化建设</w:t>
      </w:r>
      <w:r>
        <w:rPr>
          <w:rFonts w:hint="eastAsia" w:eastAsia="楷体_GB2312"/>
          <w:bCs/>
          <w:sz w:val="32"/>
          <w:szCs w:val="32"/>
        </w:rPr>
        <w:t>。</w:t>
      </w:r>
      <w:r>
        <w:rPr>
          <w:rFonts w:hint="eastAsia" w:ascii="仿宋_GB2312" w:eastAsia="仿宋_GB2312" w:cs="仿宋_GB2312" w:hAnsiTheme="minorHAnsi"/>
          <w:kern w:val="0"/>
          <w:sz w:val="32"/>
          <w:szCs w:val="32"/>
        </w:rPr>
        <w:t>充分发挥平度、莱西两市城区在城乡融合发展的纽带作用，优化空间结构和功能布局，提高县城在县域城镇体系中的辐射带动能力。依托特色经济功能区，开展新一轮小城市培育试点。依托沿海发展轴、青潍海陆发展轴、青烟城镇发展轴、青东城镇发展轴、青诸城镇发展轴，高标准规划建设一批重点示范镇。合理确定新生小城市、重点示范镇建设用地规模，提高产业和人口承载能力，推进农业转移人口就地就近市民化。</w:t>
      </w:r>
    </w:p>
    <w:p>
      <w:pPr>
        <w:adjustRightInd w:val="0"/>
        <w:snapToGrid w:val="0"/>
        <w:spacing w:line="560" w:lineRule="exact"/>
        <w:ind w:firstLine="643" w:firstLineChars="200"/>
        <w:rPr>
          <w:rFonts w:eastAsia="楷体_GB2312"/>
          <w:bCs/>
          <w:sz w:val="32"/>
          <w:szCs w:val="32"/>
        </w:rPr>
      </w:pPr>
      <w:r>
        <w:rPr>
          <w:rFonts w:hint="eastAsia" w:eastAsia="仿宋_GB2312"/>
          <w:b/>
          <w:sz w:val="32"/>
          <w:szCs w:val="28"/>
        </w:rPr>
        <w:t>建设美丽特色小（城）镇</w:t>
      </w:r>
      <w:r>
        <w:rPr>
          <w:rFonts w:hint="eastAsia" w:eastAsia="楷体_GB2312"/>
          <w:bCs/>
          <w:sz w:val="32"/>
          <w:szCs w:val="32"/>
        </w:rPr>
        <w:t>。</w:t>
      </w:r>
      <w:r>
        <w:rPr>
          <w:rFonts w:hint="eastAsia" w:eastAsia="仿宋_GB2312"/>
          <w:sz w:val="32"/>
          <w:szCs w:val="32"/>
        </w:rPr>
        <w:t>积极创建文化旅游、广播影视、商贸物流、电子信息、先进制造、科技教育等特色小（城）镇，培育产业转型升级、辐射带动农村发展的优良载体。推动生态环保产业集聚发展，努力打造城阳动车、姜山新能源汽车、南村智能制造等绿色低碳产业小镇。依托沿沽河生态中轴、大泽山大青山生态屏障，推动即墨移风店、段泊岚、灵山街道等重点小镇乡村振兴，莱西店埠、院上镇和平度云山等高效农业全产业链发展，打造具有农场风情的生态共富小镇。推动大泽山、南墅、马连庄、文旅产业协同发展，打造具有生态文化特色小镇。</w:t>
      </w:r>
      <w:r>
        <w:rPr>
          <w:rFonts w:hint="eastAsia" w:eastAsia="仿宋_GB2312"/>
          <w:sz w:val="32"/>
          <w:lang w:bidi="ar"/>
        </w:rPr>
        <w:t>深入推进全国城镇老旧小区改造试点，推动小城镇公共服务设施提标扩面、市政公用设施提档升级、产业培育设施提质增效，提升城镇居住、就业和公共活动空间品质。</w:t>
      </w:r>
    </w:p>
    <w:p>
      <w:pPr>
        <w:keepNext/>
        <w:keepLines/>
        <w:widowControl/>
        <w:adjustRightInd w:val="0"/>
        <w:snapToGrid w:val="0"/>
        <w:spacing w:line="560" w:lineRule="exact"/>
        <w:ind w:firstLine="641"/>
        <w:outlineLvl w:val="1"/>
        <w:rPr>
          <w:rFonts w:eastAsia="楷体_GB2312"/>
          <w:b/>
          <w:bCs/>
          <w:sz w:val="32"/>
          <w:szCs w:val="32"/>
        </w:rPr>
      </w:pPr>
      <w:bookmarkStart w:id="48" w:name="_Toc133150299"/>
      <w:r>
        <w:rPr>
          <w:rFonts w:hint="eastAsia" w:eastAsia="楷体_GB2312"/>
          <w:b/>
          <w:bCs/>
          <w:sz w:val="32"/>
          <w:szCs w:val="32"/>
        </w:rPr>
        <w:t>（四）建设宜居宜业和美乡村</w:t>
      </w:r>
      <w:bookmarkEnd w:id="48"/>
    </w:p>
    <w:p>
      <w:pPr>
        <w:adjustRightInd w:val="0"/>
        <w:snapToGrid w:val="0"/>
        <w:spacing w:line="560" w:lineRule="exact"/>
        <w:ind w:firstLine="643" w:firstLineChars="200"/>
        <w:rPr>
          <w:rFonts w:eastAsia="仿宋_GB2312"/>
          <w:sz w:val="32"/>
          <w:szCs w:val="32"/>
          <w:shd w:val="clear" w:color="auto" w:fill="FFFFFF"/>
        </w:rPr>
      </w:pPr>
      <w:r>
        <w:rPr>
          <w:rFonts w:hint="eastAsia" w:eastAsia="仿宋_GB2312"/>
          <w:b/>
          <w:sz w:val="32"/>
          <w:szCs w:val="28"/>
        </w:rPr>
        <w:t>提高农村人居环境质量</w:t>
      </w:r>
      <w:r>
        <w:rPr>
          <w:rFonts w:hint="eastAsia" w:eastAsia="楷体_GB2312"/>
          <w:sz w:val="32"/>
          <w:szCs w:val="32"/>
        </w:rPr>
        <w:t>。</w:t>
      </w:r>
      <w:r>
        <w:rPr>
          <w:rFonts w:hint="eastAsia" w:eastAsia="仿宋_GB2312"/>
          <w:sz w:val="32"/>
          <w:szCs w:val="32"/>
          <w:shd w:val="clear" w:color="auto" w:fill="FFFFFF"/>
        </w:rPr>
        <w:t>持续深入开展农村人居环境整治行动，建立农村人居环境建设和管护长效机制。实施乡村绿化美化提升行动，因地制宜开展荒山荒地荒滩绿化、农田防护林建设。扎实推进农村黑臭水体治理，</w:t>
      </w:r>
      <w:r>
        <w:rPr>
          <w:rFonts w:hint="eastAsia" w:eastAsia="仿宋_GB2312"/>
          <w:sz w:val="32"/>
          <w:szCs w:val="32"/>
        </w:rPr>
        <w:t>推进农村厕所粪污无害化处理与资源化利用。鼓励引导养殖户向规模化、标准化、集约化养殖转变，提高散养户污染防治水平，推动畜禽养殖粪污资源化利用和无害化处理。到2035年，畜禽粪污综合利用率达到100%。</w:t>
      </w:r>
    </w:p>
    <w:p>
      <w:pPr>
        <w:adjustRightInd w:val="0"/>
        <w:snapToGrid w:val="0"/>
        <w:spacing w:line="560" w:lineRule="exact"/>
        <w:ind w:firstLine="643" w:firstLineChars="200"/>
        <w:rPr>
          <w:rFonts w:eastAsia="仿宋_GB2312"/>
          <w:sz w:val="32"/>
          <w:szCs w:val="32"/>
          <w:shd w:val="clear" w:color="auto" w:fill="FFFFFF"/>
        </w:rPr>
      </w:pPr>
      <w:r>
        <w:rPr>
          <w:rFonts w:hint="eastAsia" w:eastAsia="仿宋_GB2312"/>
          <w:b/>
          <w:sz w:val="32"/>
          <w:szCs w:val="28"/>
        </w:rPr>
        <w:t>打造清洁富裕美丽田园</w:t>
      </w:r>
      <w:r>
        <w:rPr>
          <w:rFonts w:hint="eastAsia" w:eastAsia="楷体_GB2312"/>
          <w:sz w:val="32"/>
          <w:szCs w:val="32"/>
        </w:rPr>
        <w:t>。</w:t>
      </w:r>
      <w:r>
        <w:rPr>
          <w:rFonts w:hint="eastAsia" w:eastAsia="仿宋_GB2312"/>
          <w:sz w:val="32"/>
          <w:szCs w:val="32"/>
          <w:shd w:val="clear" w:color="auto" w:fill="FFFFFF"/>
        </w:rPr>
        <w:t>持续开展农药化肥减量增效行动，实现农药化肥使用零增长。完善废旧农膜、农药肥料包装废弃物回收利用处理体系，加快推广农作物秸秆综合利用技术。构建现代农业产业体系，聚焦种植业、畜牧业、海洋渔业、微生物四大领域，培育一批高产、优质、专用品种，加快建设青岛“国际种都”。因地制宜发展北方茗茶、优质果品、森林康养、乡村民宿和观光旅游等产业，打造一批乡村产业发展示范点。建设百万亩特色农业优势区，实施蔬菜、果茶等特色农业提质增效转型升级行动，打造乡村振兴齐鲁样板先行区。</w:t>
      </w:r>
    </w:p>
    <w:p>
      <w:pPr>
        <w:adjustRightInd w:val="0"/>
        <w:snapToGrid w:val="0"/>
        <w:spacing w:line="560" w:lineRule="exact"/>
        <w:ind w:firstLine="643" w:firstLineChars="200"/>
        <w:rPr>
          <w:rFonts w:eastAsia="仿宋_GB2312"/>
          <w:sz w:val="32"/>
          <w:szCs w:val="32"/>
          <w:shd w:val="clear" w:color="auto" w:fill="FFFFFF"/>
        </w:rPr>
      </w:pPr>
      <w:r>
        <w:rPr>
          <w:rFonts w:hint="eastAsia" w:eastAsia="仿宋_GB2312"/>
          <w:b/>
          <w:sz w:val="32"/>
          <w:szCs w:val="28"/>
        </w:rPr>
        <w:t>建设“齐鲁田韵、青岛品质”美丽乡村</w:t>
      </w:r>
      <w:r>
        <w:rPr>
          <w:rFonts w:hint="eastAsia" w:eastAsia="楷体_GB2312"/>
          <w:sz w:val="32"/>
          <w:szCs w:val="32"/>
        </w:rPr>
        <w:t>。</w:t>
      </w:r>
      <w:r>
        <w:rPr>
          <w:rFonts w:hint="eastAsia" w:eastAsia="仿宋_GB2312"/>
          <w:sz w:val="32"/>
          <w:szCs w:val="32"/>
          <w:shd w:val="clear" w:color="auto" w:fill="FFFFFF"/>
        </w:rPr>
        <w:t>深化“美丽庭院·幸福家”创建，建设“居室美、庭院美、厨厕美、家风美”的美丽庭院。尊重乡村自然地理格局，打造“一乡一韵、一村一景”的胶东特色风貌的美丽村居。深入开展省、市、区（市）美丽乡村示范村建设，坚持片区化规划、标准化建设、产业化融合、景区化提升、品牌化运营，打造美丽乡村片区。推动美丽乡村、美丽村居建设与美丽经济发展互促互动，数字技术赋能乡村，鼓励建设数字村庄。</w:t>
      </w:r>
    </w:p>
    <w:p>
      <w:pPr>
        <w:pStyle w:val="2"/>
        <w:ind w:firstLine="210"/>
      </w:pPr>
    </w:p>
    <w:p/>
    <w:bookmarkEnd w:id="44"/>
    <w:p>
      <w:pPr>
        <w:keepNext/>
        <w:keepLines/>
        <w:adjustRightInd w:val="0"/>
        <w:snapToGrid w:val="0"/>
        <w:spacing w:line="560" w:lineRule="exact"/>
        <w:outlineLvl w:val="0"/>
        <w:rPr>
          <w:rFonts w:eastAsia="黑体"/>
          <w:bCs/>
          <w:kern w:val="44"/>
          <w:sz w:val="32"/>
          <w:szCs w:val="48"/>
        </w:rPr>
      </w:pPr>
      <w:bookmarkStart w:id="49" w:name="_Toc4063"/>
      <w:r>
        <w:rPr>
          <w:rFonts w:eastAsia="黑体"/>
          <w:bCs/>
          <w:kern w:val="44"/>
          <w:sz w:val="32"/>
          <w:szCs w:val="48"/>
        </w:rPr>
        <w:br w:type="page"/>
      </w:r>
      <w:bookmarkStart w:id="50" w:name="_Toc133150300"/>
      <w:r>
        <w:rPr>
          <w:rFonts w:hint="eastAsia" w:ascii="等线" w:hAnsi="等线" w:eastAsia="黑体"/>
          <w:bCs/>
          <w:kern w:val="44"/>
          <w:sz w:val="32"/>
          <w:szCs w:val="48"/>
        </w:rPr>
        <w:t>七、产城共兴，打造绿色低碳发展先行之城</w:t>
      </w:r>
      <w:bookmarkEnd w:id="50"/>
    </w:p>
    <w:p>
      <w:pPr>
        <w:adjustRightInd w:val="0"/>
        <w:snapToGrid w:val="0"/>
        <w:spacing w:line="560" w:lineRule="exact"/>
        <w:ind w:firstLine="640" w:firstLineChars="200"/>
        <w:rPr>
          <w:rFonts w:eastAsia="仿宋_GB2312"/>
          <w:sz w:val="32"/>
          <w:szCs w:val="32"/>
        </w:rPr>
      </w:pPr>
      <w:r>
        <w:rPr>
          <w:rFonts w:hint="eastAsia" w:eastAsia="仿宋_GB2312"/>
          <w:sz w:val="32"/>
          <w:szCs w:val="32"/>
        </w:rPr>
        <w:t>以碳达峰碳中和为目标愿景，深化新旧动能转换，推动产业基础高级化、产业链条现代化，引领产业迈向全球价值链中高端，着力打造绿色低碳发展先锋，努力在先行区建设中体现龙头担当。</w:t>
      </w:r>
    </w:p>
    <w:p>
      <w:pPr>
        <w:keepNext/>
        <w:keepLines/>
        <w:adjustRightInd w:val="0"/>
        <w:snapToGrid w:val="0"/>
        <w:spacing w:line="560" w:lineRule="exact"/>
        <w:ind w:firstLine="643" w:firstLineChars="200"/>
        <w:outlineLvl w:val="1"/>
        <w:rPr>
          <w:rFonts w:eastAsia="楷体_GB2312"/>
          <w:b/>
          <w:bCs/>
          <w:sz w:val="32"/>
          <w:szCs w:val="32"/>
        </w:rPr>
      </w:pPr>
      <w:bookmarkStart w:id="51" w:name="_Toc133150301"/>
      <w:r>
        <w:rPr>
          <w:rFonts w:hint="eastAsia" w:eastAsia="楷体_GB2312"/>
          <w:b/>
          <w:bCs/>
          <w:sz w:val="32"/>
          <w:szCs w:val="32"/>
        </w:rPr>
        <w:t>（一）先行示范碳达峰碳中和</w:t>
      </w:r>
      <w:bookmarkEnd w:id="51"/>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争创国家碳达峰、碳中和示范城市</w:t>
      </w:r>
      <w:r>
        <w:rPr>
          <w:rFonts w:hint="eastAsia" w:eastAsia="仿宋_GB2312"/>
          <w:sz w:val="32"/>
          <w:szCs w:val="32"/>
        </w:rPr>
        <w:t>。深入推动青岛国家低碳城市试点，谋划碳中和战略研究，构建青岛“双碳”政策、标准体系和实施体系，形成差异化低碳发展路径。以园区为载体推动碳达峰行动，实施经济技术开发区、上合示范区、高新区等国家级园区碳达峰行动，推动环海、城阳工业园区、即墨、平度、莱西等经济开发区和蓝谷高新技术产业开发区省级园区碳达峰行动。差异化设定区（市）碳排放强度目标，实施重点区域碳排放总量控制。控制工业过程、农田、废弃物处理产生的非二氧化碳温室气体排放，推进甲烷排放控制和基础研究，做好氢氟碳化物管控。推进近零碳排放示范区建设，建设碳中和先锋城市。到2035年，单位地区生产总值二氧化碳排放比2005年下降70%以上。</w:t>
      </w:r>
    </w:p>
    <w:p>
      <w:pPr>
        <w:adjustRightInd w:val="0"/>
        <w:snapToGrid w:val="0"/>
        <w:spacing w:line="560" w:lineRule="exact"/>
        <w:ind w:firstLine="643" w:firstLineChars="200"/>
        <w:rPr>
          <w:rFonts w:eastAsia="仿宋_GB2312"/>
          <w:sz w:val="32"/>
          <w:szCs w:val="32"/>
        </w:rPr>
      </w:pPr>
      <w:r>
        <w:rPr>
          <w:rFonts w:hint="eastAsia" w:eastAsia="仿宋_GB2312"/>
          <w:b/>
          <w:sz w:val="32"/>
          <w:szCs w:val="32"/>
        </w:rPr>
        <w:t>打</w:t>
      </w:r>
      <w:r>
        <w:rPr>
          <w:rFonts w:hint="eastAsia" w:eastAsia="仿宋_GB2312"/>
          <w:b/>
          <w:bCs/>
          <w:sz w:val="32"/>
          <w:szCs w:val="32"/>
        </w:rPr>
        <w:t>造减污降碳协同控制典范城市。</w:t>
      </w:r>
      <w:r>
        <w:rPr>
          <w:rFonts w:hint="eastAsia" w:eastAsia="仿宋_GB2312"/>
          <w:sz w:val="32"/>
          <w:szCs w:val="32"/>
        </w:rPr>
        <w:t>积极推动青岛市“三线一单”减污降碳协同管控试点，钢铁、化工和轮胎制造等行业碳排放环境影响评价试点。系统谋划多污染物与碳减排协同控制路径和方案，探索构建两者相互适应的数据标准、政策机制、管理模式和目标考核等协同体系。开展煤电、水泥、橡胶等重点行业、能源、交通运输、建筑固体废物处理、农业等领域开展重点突出、模式多样、分区分类的减污降碳试点示范。充分发挥泛能源大数据科学装置在碳、能源、环境等多维数据的融合分析作用，提升减污降碳科技支撑能力。到203</w:t>
      </w:r>
      <w:r>
        <w:rPr>
          <w:rFonts w:eastAsia="仿宋_GB2312"/>
          <w:sz w:val="32"/>
          <w:szCs w:val="32"/>
        </w:rPr>
        <w:t>5</w:t>
      </w:r>
      <w:r>
        <w:rPr>
          <w:rFonts w:hint="eastAsia" w:eastAsia="仿宋_GB2312"/>
          <w:sz w:val="32"/>
          <w:szCs w:val="32"/>
        </w:rPr>
        <w:t>年，减污降碳协同能力显著提升。</w:t>
      </w:r>
    </w:p>
    <w:p>
      <w:pPr>
        <w:adjustRightInd w:val="0"/>
        <w:snapToGrid w:val="0"/>
        <w:spacing w:line="560" w:lineRule="exact"/>
        <w:ind w:firstLine="643" w:firstLineChars="200"/>
        <w:rPr>
          <w:rFonts w:eastAsia="仿宋_GB2312"/>
          <w:sz w:val="32"/>
          <w:szCs w:val="32"/>
        </w:rPr>
      </w:pPr>
      <w:r>
        <w:rPr>
          <w:rFonts w:hint="eastAsia" w:eastAsia="仿宋_GB2312"/>
          <w:b/>
          <w:sz w:val="32"/>
          <w:szCs w:val="32"/>
        </w:rPr>
        <w:t>打造具有国际影响力的气候投融资合作平台。</w:t>
      </w:r>
      <w:r>
        <w:rPr>
          <w:rFonts w:hint="eastAsia" w:eastAsia="仿宋_GB2312"/>
          <w:sz w:val="32"/>
          <w:szCs w:val="32"/>
        </w:rPr>
        <w:t>推进西海岸新区气候投融资试点和自然碳汇交易中心（山东）建设，争创海洋碳汇国家重点实验室，打造海洋碳汇特色示范区。加强森林、湿地、海洋、土壤、农业等碳汇本底调查、监测评估、潜力分析、技术标准和核算交易体系。探索建立森林碳库和海洋“蓝碳”数据库，依托CCER、碳排放权交易等多样化机制，探索推碳汇生态产品价值实现路径。</w:t>
      </w:r>
    </w:p>
    <w:p>
      <w:pPr>
        <w:keepNext/>
        <w:keepLines/>
        <w:adjustRightInd w:val="0"/>
        <w:snapToGrid w:val="0"/>
        <w:spacing w:line="560" w:lineRule="exact"/>
        <w:ind w:firstLine="643" w:firstLineChars="200"/>
        <w:outlineLvl w:val="1"/>
        <w:rPr>
          <w:rFonts w:eastAsia="楷体_GB2312"/>
          <w:b/>
          <w:bCs/>
          <w:sz w:val="32"/>
          <w:szCs w:val="32"/>
        </w:rPr>
      </w:pPr>
      <w:bookmarkStart w:id="52" w:name="_Toc133150302"/>
      <w:r>
        <w:rPr>
          <w:rFonts w:hint="eastAsia" w:eastAsia="楷体_GB2312"/>
          <w:b/>
          <w:bCs/>
          <w:sz w:val="32"/>
          <w:szCs w:val="32"/>
        </w:rPr>
        <w:t>（二）引领绿色低碳产业发展</w:t>
      </w:r>
      <w:bookmarkEnd w:id="52"/>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龙头引领区域绿色产业协同发展。</w:t>
      </w:r>
      <w:r>
        <w:rPr>
          <w:rFonts w:hint="eastAsia" w:eastAsia="仿宋_GB2312"/>
          <w:sz w:val="32"/>
          <w:szCs w:val="32"/>
        </w:rPr>
        <w:t>充分发挥青岛中心城市引领作用，促进青烟海洋经济、青潍临空临港经济、青日循环经济产业协作带和交界地带绿色融合发展，</w:t>
      </w:r>
      <w:r>
        <w:rPr>
          <w:rFonts w:hint="eastAsia" w:ascii="等线" w:hAnsi="等线" w:eastAsia="仿宋_GB2312"/>
          <w:sz w:val="32"/>
        </w:rPr>
        <w:t>引导胶州经济圈错位协同和高质量发展，打造泛胶州湾黄海经济带。</w:t>
      </w:r>
      <w:r>
        <w:rPr>
          <w:rFonts w:hint="eastAsia" w:eastAsia="仿宋_GB2312"/>
          <w:sz w:val="32"/>
          <w:szCs w:val="32"/>
        </w:rPr>
        <w:t>推动环都市湾高端服务业和工业绿色升级，打造绿色高质量发展创新策源地和制造业绿色发展开放引领区。依托青潍陆海发展主轴和青烟城镇发展轴，构建绿色产业链供应链，打造北部先进制造业绿色发展带。加强西海岸新区与胶南、董家口、蓝谷协同互动，打造滨海创新服务绿色发展带。推进重点工业产业集聚区、特色产业园区梯次有序、高效集聚发展，打造一批制造业高质量发展平台。</w:t>
      </w:r>
      <w:r>
        <w:rPr>
          <w:rFonts w:eastAsia="仿宋_GB2312"/>
          <w:sz w:val="32"/>
          <w:szCs w:val="32"/>
        </w:rPr>
        <w:t xml:space="preserve"> </w:t>
      </w:r>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推进传统产业绿色化高端化发展。</w:t>
      </w:r>
      <w:r>
        <w:rPr>
          <w:rFonts w:hint="eastAsia" w:eastAsia="仿宋_GB2312"/>
          <w:sz w:val="32"/>
          <w:szCs w:val="32"/>
        </w:rPr>
        <w:t>坚决遏制“两高一低”</w:t>
      </w:r>
      <w:r>
        <w:rPr>
          <w:rFonts w:eastAsia="仿宋_GB2312"/>
          <w:sz w:val="32"/>
          <w:szCs w:val="32"/>
          <w:vertAlign w:val="superscript"/>
        </w:rPr>
        <w:footnoteReference w:id="3"/>
      </w:r>
      <w:r>
        <w:rPr>
          <w:rFonts w:hint="eastAsia" w:eastAsia="仿宋_GB2312"/>
          <w:sz w:val="32"/>
          <w:szCs w:val="32"/>
        </w:rPr>
        <w:t>项目盲目发展，新建高耗能高排放项目严格落实“五个减量替代”</w:t>
      </w:r>
      <w:r>
        <w:rPr>
          <w:rFonts w:eastAsia="仿宋_GB2312"/>
          <w:sz w:val="32"/>
          <w:szCs w:val="32"/>
          <w:vertAlign w:val="superscript"/>
        </w:rPr>
        <w:footnoteReference w:id="4"/>
      </w:r>
      <w:r>
        <w:rPr>
          <w:rFonts w:hint="eastAsia" w:eastAsia="仿宋_GB2312"/>
          <w:sz w:val="32"/>
          <w:szCs w:val="32"/>
        </w:rPr>
        <w:t>。深入推进新一轮“四减四增”行动，以钢铁、建材、石化、化工、橡胶、有色金属、平板玻璃、纺织等行业为重点，开展全流程清洁化、循环化、低碳化改造。加快构建绿色产业链供应链，做优做强智能家电、轨道交通等七大优势产业，推动传统产业智能化、绿色化、高端化发展，重塑“青岛制造”优势。</w:t>
      </w:r>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壮大绿色低碳新兴产业集群</w:t>
      </w:r>
      <w:r>
        <w:rPr>
          <w:rFonts w:hint="eastAsia" w:eastAsia="仿宋_GB2312"/>
          <w:sz w:val="32"/>
          <w:szCs w:val="32"/>
        </w:rPr>
        <w:t>。壮大集成电路、新型显示、虚拟现实等十大新兴产业，超前布局基因技术、未来网络、类脑智能等未来产业。实施“工赋青岛”行动，建设具有国际影响力的工业互联网平台，协同推进数字经济发展，探索培育“生态+数字”新模式和新业态。实施重点企业倍增工程、中小企业育苗工程、新一代“青岛金花”培育行动，全力打造代表国家参与全球竞争的标志性产业链和产业集群。</w:t>
      </w:r>
    </w:p>
    <w:p>
      <w:pPr>
        <w:adjustRightInd w:val="0"/>
        <w:snapToGrid w:val="0"/>
        <w:spacing w:line="560" w:lineRule="exact"/>
        <w:ind w:firstLine="643" w:firstLineChars="200"/>
        <w:rPr>
          <w:rFonts w:eastAsia="仿宋_GB2312"/>
          <w:sz w:val="32"/>
          <w:szCs w:val="32"/>
        </w:rPr>
      </w:pPr>
      <w:r>
        <w:rPr>
          <w:rFonts w:hint="eastAsia" w:eastAsia="仿宋_GB2312"/>
          <w:b/>
          <w:sz w:val="32"/>
          <w:szCs w:val="32"/>
        </w:rPr>
        <w:t>做强节能环保产业集群。</w:t>
      </w:r>
      <w:r>
        <w:rPr>
          <w:rFonts w:hint="eastAsia" w:eastAsia="仿宋_GB2312"/>
          <w:sz w:val="32"/>
          <w:szCs w:val="32"/>
        </w:rPr>
        <w:t>以“低碳、循环、高端”为方向，以重大工程和产业园区建设为依托，围绕高效节能、先进环保、资源循环利用、绿色交通车船和设备四大领域，聚焦装备和服务两个维度，形成“5+N”</w:t>
      </w:r>
      <w:r>
        <w:rPr>
          <w:rFonts w:eastAsia="仿宋_GB2312"/>
          <w:sz w:val="32"/>
          <w:szCs w:val="32"/>
          <w:vertAlign w:val="superscript"/>
        </w:rPr>
        <w:footnoteReference w:id="5"/>
      </w:r>
      <w:r>
        <w:rPr>
          <w:rFonts w:hint="eastAsia" w:eastAsia="仿宋_GB2312"/>
          <w:sz w:val="32"/>
          <w:szCs w:val="32"/>
        </w:rPr>
        <w:t>产业发展格局。实施“氢进万家”科技示范工程，打造“东方氢岛”。大力发展清洁能源、污染治理、固体废物资源化利用、环境监测等节能环保装备产业，培育绿色认证、碳资产管理等服务业态。推动“政产学研金服用”融合发展，强健产业链、优化价值链、提升创新链，</w:t>
      </w:r>
      <w:r>
        <w:rPr>
          <w:rFonts w:hint="eastAsia" w:ascii="仿宋_GB2312" w:hAnsi="Calibri" w:eastAsia="仿宋_GB2312" w:cs="仿宋_GB2312"/>
          <w:kern w:val="0"/>
          <w:sz w:val="32"/>
          <w:szCs w:val="32"/>
        </w:rPr>
        <w:t>推动</w:t>
      </w:r>
      <w:r>
        <w:rPr>
          <w:rFonts w:hint="eastAsia" w:eastAsia="仿宋_GB2312"/>
          <w:sz w:val="32"/>
          <w:szCs w:val="32"/>
        </w:rPr>
        <w:t>环保产业的发展规模、发展水平和创新能力跃居全国前列。</w:t>
      </w:r>
    </w:p>
    <w:p>
      <w:pPr>
        <w:keepNext/>
        <w:keepLines/>
        <w:adjustRightInd w:val="0"/>
        <w:snapToGrid w:val="0"/>
        <w:spacing w:line="560" w:lineRule="exact"/>
        <w:ind w:firstLine="643" w:firstLineChars="200"/>
        <w:outlineLvl w:val="1"/>
        <w:rPr>
          <w:rFonts w:eastAsia="楷体_GB2312"/>
          <w:b/>
          <w:bCs/>
          <w:sz w:val="32"/>
          <w:szCs w:val="32"/>
        </w:rPr>
      </w:pPr>
      <w:bookmarkStart w:id="53" w:name="_Toc133150303"/>
      <w:r>
        <w:rPr>
          <w:rFonts w:hint="eastAsia" w:eastAsia="楷体_GB2312"/>
          <w:b/>
          <w:bCs/>
          <w:sz w:val="32"/>
          <w:szCs w:val="32"/>
        </w:rPr>
        <w:t>（三）持续激发海洋蓝色动能</w:t>
      </w:r>
      <w:bookmarkEnd w:id="53"/>
    </w:p>
    <w:p>
      <w:pPr>
        <w:adjustRightInd w:val="0"/>
        <w:snapToGrid w:val="0"/>
        <w:spacing w:line="560" w:lineRule="exact"/>
        <w:ind w:firstLine="643" w:firstLineChars="200"/>
        <w:rPr>
          <w:rFonts w:eastAsia="仿宋_GB2312"/>
          <w:b/>
          <w:sz w:val="32"/>
          <w:szCs w:val="32"/>
        </w:rPr>
      </w:pPr>
      <w:r>
        <w:rPr>
          <w:rFonts w:hint="eastAsia" w:eastAsia="仿宋_GB2312"/>
          <w:b/>
          <w:sz w:val="32"/>
          <w:szCs w:val="32"/>
        </w:rPr>
        <w:t>建设海洋经济发展示范区。</w:t>
      </w:r>
      <w:r>
        <w:rPr>
          <w:rFonts w:eastAsia="仿宋_GB2312"/>
          <w:sz w:val="32"/>
          <w:szCs w:val="32"/>
        </w:rPr>
        <w:t>强化西海岸新区、蓝谷“双核”引领作用，</w:t>
      </w:r>
      <w:r>
        <w:rPr>
          <w:rFonts w:hint="eastAsia" w:eastAsia="仿宋_GB2312"/>
          <w:sz w:val="32"/>
          <w:szCs w:val="32"/>
        </w:rPr>
        <w:t>以高端化、规模化、集群化、智慧化方向，重点发展海工装备制造、海洋药物和生物制品、海水淡化等海洋战略性新兴产业及其它潜力产业，打造一批</w:t>
      </w:r>
      <w:r>
        <w:rPr>
          <w:rFonts w:eastAsia="仿宋_GB2312"/>
          <w:sz w:val="32"/>
          <w:szCs w:val="32"/>
        </w:rPr>
        <w:t>现代海洋产业集群</w:t>
      </w:r>
      <w:r>
        <w:rPr>
          <w:rFonts w:hint="eastAsia" w:eastAsia="仿宋_GB2312"/>
          <w:sz w:val="32"/>
          <w:szCs w:val="32"/>
        </w:rPr>
        <w:t>，培育一批海洋产业领军企业，建设全球现代海洋产业中心。创新海洋金融服务模式，</w:t>
      </w:r>
      <w:r>
        <w:rPr>
          <w:rFonts w:eastAsia="仿宋_GB2312"/>
          <w:sz w:val="32"/>
          <w:szCs w:val="32"/>
        </w:rPr>
        <w:t>打造高端航运服务业产业集聚区</w:t>
      </w:r>
      <w:r>
        <w:rPr>
          <w:rFonts w:hint="eastAsia" w:eastAsia="仿宋_GB2312"/>
          <w:sz w:val="32"/>
          <w:szCs w:val="32"/>
        </w:rPr>
        <w:t>，提供海洋经济可持续发展的青岛范本。</w:t>
      </w:r>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打造国家绿色低碳发展深海试验区</w:t>
      </w:r>
      <w:r>
        <w:rPr>
          <w:rFonts w:eastAsia="仿宋_GB2312"/>
          <w:sz w:val="32"/>
          <w:szCs w:val="32"/>
        </w:rPr>
        <w:t>。大力发展生态健康养殖，探索以近海海洋牧场和深远海养殖为重点的现代化海洋渔业发展新模式。</w:t>
      </w:r>
      <w:r>
        <w:rPr>
          <w:rFonts w:hint="eastAsia" w:eastAsia="仿宋_GB2312"/>
          <w:sz w:val="32"/>
          <w:szCs w:val="32"/>
        </w:rPr>
        <w:t>开展海洋牧场改造升级，探索建立多营养层级立体生态系统，发展环境友好型海洋牧场及休闲旅游项目，建设现代化海洋牧场综合体，创建国家级海洋牧场示范区。推动青岛国家深远海绿色养殖试验区建设，发展深水大网箱和深远海养殖工船，打造深远海养殖标杆。</w:t>
      </w:r>
    </w:p>
    <w:p>
      <w:pPr>
        <w:keepNext/>
        <w:keepLines/>
        <w:adjustRightInd w:val="0"/>
        <w:snapToGrid w:val="0"/>
        <w:spacing w:line="560" w:lineRule="exact"/>
        <w:ind w:firstLine="643" w:firstLineChars="200"/>
        <w:outlineLvl w:val="1"/>
        <w:rPr>
          <w:rFonts w:eastAsia="楷体_GB2312"/>
          <w:b/>
          <w:bCs/>
          <w:sz w:val="32"/>
          <w:szCs w:val="32"/>
        </w:rPr>
      </w:pPr>
      <w:bookmarkStart w:id="54" w:name="_Toc133150304"/>
      <w:r>
        <w:rPr>
          <w:rFonts w:hint="eastAsia" w:eastAsia="楷体_GB2312"/>
          <w:b/>
          <w:bCs/>
          <w:sz w:val="32"/>
          <w:szCs w:val="32"/>
        </w:rPr>
        <w:t>（四）健全绿色发展支撑体系</w:t>
      </w:r>
      <w:bookmarkEnd w:id="54"/>
    </w:p>
    <w:p>
      <w:pPr>
        <w:adjustRightInd w:val="0"/>
        <w:snapToGrid w:val="0"/>
        <w:spacing w:line="560" w:lineRule="exact"/>
        <w:ind w:firstLine="643" w:firstLineChars="200"/>
        <w:rPr>
          <w:rFonts w:ascii="等线" w:hAnsi="等线" w:eastAsia="仿宋_GB2312"/>
          <w:sz w:val="32"/>
        </w:rPr>
      </w:pPr>
      <w:r>
        <w:rPr>
          <w:rFonts w:hint="eastAsia" w:ascii="等线" w:hAnsi="等线" w:eastAsia="仿宋_GB2312"/>
          <w:b/>
          <w:bCs/>
          <w:sz w:val="32"/>
        </w:rPr>
        <w:t>建立绿色多元的能源体系。</w:t>
      </w:r>
      <w:r>
        <w:rPr>
          <w:rFonts w:hint="eastAsia" w:ascii="等线" w:hAnsi="等线" w:eastAsia="仿宋_GB2312"/>
          <w:sz w:val="32"/>
        </w:rPr>
        <w:t>实施能源领域“三大计划”，</w:t>
      </w:r>
      <w:r>
        <w:rPr>
          <w:rFonts w:ascii="等线" w:hAnsi="等线" w:eastAsia="仿宋_GB2312"/>
          <w:sz w:val="32"/>
          <w:vertAlign w:val="superscript"/>
        </w:rPr>
        <w:footnoteReference w:id="6"/>
      </w:r>
      <w:r>
        <w:rPr>
          <w:rFonts w:hint="eastAsia" w:ascii="等线" w:hAnsi="等线" w:eastAsia="仿宋_GB2312"/>
          <w:sz w:val="32"/>
        </w:rPr>
        <w:t>加快推动能耗“双控”向碳排放总量和强度“双控”转变。实施“外电入青”提质增效行动，推进油气管网输配系统建设，加</w:t>
      </w:r>
      <w:r>
        <w:rPr>
          <w:rFonts w:hint="eastAsia" w:eastAsia="仿宋_GB2312"/>
          <w:sz w:val="32"/>
        </w:rPr>
        <w:t>快董家口</w:t>
      </w:r>
      <w:r>
        <w:rPr>
          <w:rFonts w:eastAsia="仿宋_GB2312"/>
          <w:sz w:val="32"/>
        </w:rPr>
        <w:t>LNG</w:t>
      </w:r>
      <w:r>
        <w:rPr>
          <w:rFonts w:hint="eastAsia" w:eastAsia="仿宋_GB2312"/>
          <w:sz w:val="32"/>
        </w:rPr>
        <w:t>扩建，</w:t>
      </w:r>
      <w:r>
        <w:rPr>
          <w:rFonts w:hint="eastAsia" w:ascii="等线" w:hAnsi="等线" w:eastAsia="仿宋_GB2312"/>
          <w:sz w:val="32"/>
        </w:rPr>
        <w:t>提高天然气供应能力，保障煤炭、电力、油气等稳定供应。以风电、光伏为重点，因地制宜推动可再生能源多元化、协同化发展，开展整县分布式光伏规模化开发试点，积极开展海洋能利用研究和示范。实施“氢进万家”示范工程，建设好国家级氢能示范城市，加快建成“东方氢岛”。探索研究莱阳莱西联合实施核能供热、海阳核能供暖模式引入青岛的可行性，逐步推动核电远距离跨区域供热工程。</w:t>
      </w:r>
    </w:p>
    <w:p>
      <w:pPr>
        <w:adjustRightInd w:val="0"/>
        <w:snapToGrid w:val="0"/>
        <w:spacing w:line="560" w:lineRule="exact"/>
        <w:ind w:firstLine="643" w:firstLineChars="200"/>
        <w:rPr>
          <w:rFonts w:ascii="等线" w:hAnsi="等线" w:eastAsia="仿宋_GB2312"/>
          <w:bCs/>
          <w:sz w:val="32"/>
          <w:szCs w:val="32"/>
        </w:rPr>
      </w:pPr>
      <w:r>
        <w:rPr>
          <w:rFonts w:hint="eastAsia" w:ascii="等线" w:hAnsi="等线" w:eastAsia="仿宋_GB2312"/>
          <w:b/>
          <w:bCs/>
          <w:sz w:val="32"/>
          <w:szCs w:val="32"/>
        </w:rPr>
        <w:t>构建绿色低碳的交通体系。</w:t>
      </w:r>
      <w:r>
        <w:rPr>
          <w:rFonts w:hint="eastAsia" w:ascii="等线" w:hAnsi="等线" w:eastAsia="仿宋_GB2312"/>
          <w:bCs/>
          <w:sz w:val="32"/>
          <w:szCs w:val="32"/>
        </w:rPr>
        <w:t>加快国家物流枢纽绿色化建设，深入实施多式联运工程，提升海铁联运比例，基本形成大宗货物和集装箱中长距离运输以铁路和水路运输为主的格局，推动大宗货物集疏港运输向铁路和水路转移。严格执行国家新生产机动车和非道路移动机械排放标准。加快淘汰高排放老旧车船。推进老旧车辆和非道路移动机械清洁能源替代，加快加氢、充电等新能源基础设施建设。实施绿色港口行动计划，加快推进青岛港建设“中国氢港”。</w:t>
      </w:r>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助推绿色城市建设发展。</w:t>
      </w:r>
      <w:r>
        <w:rPr>
          <w:rFonts w:hint="eastAsia" w:eastAsia="仿宋_GB2312"/>
          <w:sz w:val="32"/>
          <w:szCs w:val="32"/>
        </w:rPr>
        <w:t>高水平推进绿色城市建设发展试点，推广上合示范区、绿色城市建设发展试验区、中德生态园零碳园区等形成的绿色供能、超低能耗建筑、既有建筑绿色改造等建筑节能模式，健全绿色金融助推星级绿色建筑发展机制，逐步推广形成规模效应。结合城市更新行动，推动一批老旧小区、老工业厂房、传统商务楼宇等既有建筑的绿色节能改造，全面提升民用建筑能效水平。推广高品质绿色建筑建设、绿色建材推广应用、区域建筑能源协同，强化商业及公共建筑能源消费的智能监测及精细管理。</w:t>
      </w:r>
    </w:p>
    <w:p>
      <w:pPr>
        <w:adjustRightInd w:val="0"/>
        <w:snapToGrid w:val="0"/>
        <w:spacing w:line="560" w:lineRule="exact"/>
        <w:ind w:firstLine="643" w:firstLineChars="200"/>
        <w:rPr>
          <w:rFonts w:eastAsia="仿宋_GB2312"/>
          <w:sz w:val="32"/>
          <w:szCs w:val="32"/>
        </w:rPr>
      </w:pPr>
      <w:r>
        <w:rPr>
          <w:rFonts w:hint="eastAsia" w:eastAsia="仿宋_GB2312"/>
          <w:b/>
          <w:bCs/>
          <w:sz w:val="32"/>
          <w:szCs w:val="32"/>
        </w:rPr>
        <w:t>构建半岛资源循环高效新格局。</w:t>
      </w:r>
      <w:r>
        <w:rPr>
          <w:rFonts w:hint="eastAsia" w:eastAsia="仿宋_GB2312"/>
          <w:bCs/>
          <w:sz w:val="32"/>
          <w:szCs w:val="32"/>
        </w:rPr>
        <w:t>严格落实水资源、能源消费总量和强度“双控”制度。以工业、建筑、交通等领域为重点，有序推行国际先进的水效、能效标准，实施企业能效、水效“领跑者”制度，创建全国节水典范城市。</w:t>
      </w:r>
      <w:r>
        <w:rPr>
          <w:rFonts w:hint="eastAsia" w:eastAsia="仿宋_GB2312"/>
          <w:sz w:val="32"/>
          <w:szCs w:val="32"/>
        </w:rPr>
        <w:t>坚持最严格的耕地保护和节约用地制度。推动西海岸新区实施资源要素差别化价格改革，深入推进工业园区循环化改造，探索以“亩产效益”评价为导向的差异化工业用地资源配置机制。建设国家级和省级绿色工厂、绿色园区、农业循环经济园区，打造</w:t>
      </w:r>
      <w:r>
        <w:rPr>
          <w:rFonts w:eastAsia="仿宋_GB2312"/>
          <w:sz w:val="32"/>
          <w:szCs w:val="32"/>
        </w:rPr>
        <w:t>2</w:t>
      </w:r>
      <w:r>
        <w:rPr>
          <w:rFonts w:hint="eastAsia" w:eastAsia="仿宋_GB2312"/>
          <w:sz w:val="32"/>
          <w:szCs w:val="32"/>
        </w:rPr>
        <w:t>-</w:t>
      </w:r>
      <w:r>
        <w:rPr>
          <w:rFonts w:eastAsia="仿宋_GB2312"/>
          <w:sz w:val="32"/>
          <w:szCs w:val="32"/>
        </w:rPr>
        <w:t>5个</w:t>
      </w:r>
      <w:r>
        <w:rPr>
          <w:rFonts w:hint="eastAsia" w:eastAsia="仿宋_GB2312"/>
          <w:sz w:val="32"/>
          <w:szCs w:val="32"/>
        </w:rPr>
        <w:t>“美丽园区”样板，提升产业含“绿”并降低含“碳”值。</w:t>
      </w:r>
    </w:p>
    <w:p>
      <w:pPr>
        <w:rPr>
          <w:rFonts w:eastAsia="仿宋_GB2312"/>
          <w:sz w:val="32"/>
          <w:szCs w:val="32"/>
        </w:rPr>
      </w:pPr>
      <w:r>
        <w:rPr>
          <w:rFonts w:hint="eastAsia" w:eastAsia="仿宋_GB2312"/>
          <w:sz w:val="32"/>
          <w:szCs w:val="32"/>
        </w:rPr>
        <w:br w:type="page"/>
      </w:r>
    </w:p>
    <w:bookmarkEnd w:id="49"/>
    <w:p>
      <w:pPr>
        <w:keepNext/>
        <w:keepLines/>
        <w:adjustRightInd w:val="0"/>
        <w:snapToGrid w:val="0"/>
        <w:spacing w:line="560" w:lineRule="exact"/>
        <w:outlineLvl w:val="0"/>
        <w:rPr>
          <w:rFonts w:ascii="等线" w:hAnsi="等线" w:eastAsia="黑体"/>
          <w:bCs/>
          <w:kern w:val="44"/>
          <w:sz w:val="32"/>
          <w:szCs w:val="48"/>
        </w:rPr>
      </w:pPr>
      <w:bookmarkStart w:id="55" w:name="_Toc133150305"/>
      <w:r>
        <w:rPr>
          <w:rFonts w:hint="eastAsia" w:ascii="等线" w:hAnsi="等线" w:eastAsia="黑体"/>
          <w:bCs/>
          <w:kern w:val="44"/>
          <w:sz w:val="32"/>
          <w:szCs w:val="48"/>
        </w:rPr>
        <w:t>八、多元包容，打造生态文化魅力出彩之城</w:t>
      </w:r>
      <w:bookmarkEnd w:id="55"/>
    </w:p>
    <w:p>
      <w:pPr>
        <w:adjustRightInd w:val="0"/>
        <w:snapToGrid w:val="0"/>
        <w:spacing w:line="560" w:lineRule="exact"/>
        <w:ind w:firstLine="640" w:firstLineChars="200"/>
        <w:rPr>
          <w:rFonts w:eastAsia="仿宋_GB2312"/>
          <w:sz w:val="32"/>
          <w:szCs w:val="32"/>
        </w:rPr>
      </w:pPr>
      <w:r>
        <w:rPr>
          <w:rFonts w:hint="eastAsia" w:eastAsia="仿宋_GB2312"/>
          <w:sz w:val="32"/>
          <w:szCs w:val="32"/>
        </w:rPr>
        <w:t>以“人与自然和谐共生”为指引，将齐鲁传统文化底蕴、胶东海洋文化特质、近现代欧陆风情特色有机融合，厚植自然和谐文化底蕴，强化生态文化服务供给，彰显城市绿色人文品格，创建文明典范城市，以美丽文化赋能城市软实力。</w:t>
      </w:r>
    </w:p>
    <w:p>
      <w:pPr>
        <w:keepNext/>
        <w:keepLines/>
        <w:adjustRightInd w:val="0"/>
        <w:snapToGrid w:val="0"/>
        <w:spacing w:line="560" w:lineRule="exact"/>
        <w:ind w:firstLine="643" w:firstLineChars="200"/>
        <w:outlineLvl w:val="1"/>
        <w:rPr>
          <w:rFonts w:eastAsia="楷体_GB2312"/>
          <w:b/>
          <w:bCs/>
          <w:sz w:val="32"/>
          <w:szCs w:val="32"/>
        </w:rPr>
      </w:pPr>
      <w:bookmarkStart w:id="56" w:name="_Toc133150306"/>
      <w:r>
        <w:rPr>
          <w:rFonts w:hint="eastAsia" w:eastAsia="楷体_GB2312"/>
          <w:b/>
          <w:bCs/>
          <w:sz w:val="32"/>
          <w:szCs w:val="32"/>
        </w:rPr>
        <w:t>（一）厚植自然和谐文化底蕴</w:t>
      </w:r>
      <w:bookmarkEnd w:id="56"/>
    </w:p>
    <w:p>
      <w:pPr>
        <w:adjustRightInd w:val="0"/>
        <w:snapToGrid w:val="0"/>
        <w:spacing w:line="560" w:lineRule="exact"/>
        <w:ind w:firstLine="643" w:firstLineChars="200"/>
        <w:rPr>
          <w:rFonts w:eastAsia="仿宋_GB2312"/>
          <w:sz w:val="32"/>
          <w:szCs w:val="32"/>
        </w:rPr>
      </w:pPr>
      <w:r>
        <w:rPr>
          <w:rFonts w:hint="eastAsia" w:eastAsia="仿宋_GB2312"/>
          <w:b/>
          <w:sz w:val="32"/>
          <w:szCs w:val="32"/>
        </w:rPr>
        <w:t>保护传承城市历史文脉。</w:t>
      </w:r>
      <w:r>
        <w:rPr>
          <w:rFonts w:hint="eastAsia" w:eastAsia="仿宋_GB2312"/>
          <w:sz w:val="32"/>
          <w:szCs w:val="32"/>
        </w:rPr>
        <w:t>深入挖掘青岛历史文化中生态文化内涵，突出历史风韵在现代城市的创造性呈现。开展世界文化遗产—齐长城保护与利用，推进青岛老城区申遗。</w:t>
      </w:r>
      <w:r>
        <w:rPr>
          <w:rFonts w:hint="eastAsia" w:ascii="仿宋_GB2312" w:hAnsi="等线" w:eastAsia="仿宋_GB2312" w:cs="仿宋_GB2312"/>
          <w:kern w:val="0"/>
          <w:sz w:val="32"/>
          <w:szCs w:val="32"/>
        </w:rPr>
        <w:t>构筑胶州湾东岸百年工业文化长廊，为工业遗产“赋能、赋美、赋魂”，延续城市历史工业记忆。</w:t>
      </w:r>
      <w:r>
        <w:rPr>
          <w:rFonts w:hint="eastAsia" w:eastAsia="仿宋_GB2312"/>
          <w:sz w:val="32"/>
        </w:rPr>
        <w:t>实施百年青岛党史文物保护展示工程，</w:t>
      </w:r>
      <w:r>
        <w:rPr>
          <w:rFonts w:hint="eastAsia" w:ascii="仿宋_GB2312" w:hAnsi="等线" w:eastAsia="仿宋_GB2312" w:cs="仿宋_GB2312"/>
          <w:kern w:val="0"/>
          <w:sz w:val="32"/>
          <w:szCs w:val="32"/>
        </w:rPr>
        <w:t>让五四精神融入青岛城市血脉。</w:t>
      </w:r>
      <w:r>
        <w:rPr>
          <w:rFonts w:hint="eastAsia" w:eastAsia="仿宋_GB2312"/>
          <w:sz w:val="32"/>
          <w:szCs w:val="32"/>
        </w:rPr>
        <w:t>加强“乡村记忆”工程建设，加强雄崖所历史文化名村及青山渔村等传统村落保护。实施国家级、省级非遗传承人抢救性计划，传承发展胶东大鼓、崂山道教音乐、鲁绣·即墨花边等非物质文化遗产，做好传统文化和非物质遗产中生态价值观的传承、弘扬、发展和保护。</w:t>
      </w:r>
    </w:p>
    <w:p>
      <w:pPr>
        <w:adjustRightInd w:val="0"/>
        <w:snapToGrid w:val="0"/>
        <w:spacing w:line="560" w:lineRule="exact"/>
        <w:ind w:firstLine="643" w:firstLineChars="200"/>
        <w:rPr>
          <w:rFonts w:eastAsia="仿宋_GB2312"/>
          <w:sz w:val="32"/>
          <w:szCs w:val="32"/>
        </w:rPr>
      </w:pPr>
      <w:r>
        <w:rPr>
          <w:rFonts w:hint="eastAsia" w:eastAsia="仿宋_GB2312"/>
          <w:b/>
          <w:sz w:val="32"/>
          <w:szCs w:val="32"/>
        </w:rPr>
        <w:t>建设国际海洋文化名城。</w:t>
      </w:r>
      <w:r>
        <w:rPr>
          <w:rFonts w:hint="eastAsia" w:eastAsia="仿宋_GB2312"/>
          <w:sz w:val="32"/>
          <w:szCs w:val="32"/>
        </w:rPr>
        <w:t>实施海洋文化形象提升工程，建设崂山名山文化展示区、滨海历史文化带和齐长城琅琊台文化带，构筑城市海洋文化走廊。参与海上丝绸之路联合申遗，挖掘琅琊台、金口港、板桥镇重要遗址的海洋文化价值，建立一批海岸科普与教育示范基地，支持开展妈祖文化等海洋文化交流，促进海洋文化传播。发展邮轮游艇、海上运动、海底潜游等海洋旅游业态，打造国际邮轮母港。代表国家参与世界海洋文明对话，深入打造国际海洋文化名城。</w:t>
      </w:r>
    </w:p>
    <w:p>
      <w:pPr>
        <w:adjustRightInd w:val="0"/>
        <w:snapToGrid w:val="0"/>
        <w:spacing w:line="560" w:lineRule="exact"/>
        <w:ind w:firstLine="643" w:firstLineChars="200"/>
        <w:rPr>
          <w:rFonts w:ascii="仿宋_GB2312" w:hAnsi="仿宋" w:eastAsia="仿宋_GB2312"/>
          <w:sz w:val="32"/>
          <w:szCs w:val="24"/>
        </w:rPr>
      </w:pPr>
      <w:r>
        <w:rPr>
          <w:rFonts w:hint="eastAsia" w:eastAsia="仿宋_GB2312"/>
          <w:b/>
          <w:sz w:val="32"/>
          <w:szCs w:val="32"/>
        </w:rPr>
        <w:t>塑造城市文化魅力品牌。</w:t>
      </w:r>
      <w:r>
        <w:rPr>
          <w:rFonts w:ascii="仿宋_GB2312" w:hAnsi="仿宋" w:eastAsia="仿宋_GB2312"/>
          <w:sz w:val="32"/>
          <w:szCs w:val="24"/>
        </w:rPr>
        <w:t>依托“</w:t>
      </w:r>
      <w:r>
        <w:rPr>
          <w:rFonts w:hint="eastAsia" w:ascii="仿宋_GB2312" w:hAnsi="仿宋" w:eastAsia="仿宋_GB2312"/>
          <w:sz w:val="32"/>
          <w:szCs w:val="24"/>
        </w:rPr>
        <w:t>一带三湾一核三翼</w:t>
      </w:r>
      <w:r>
        <w:rPr>
          <w:rFonts w:ascii="仿宋_GB2312" w:hAnsi="仿宋" w:eastAsia="仿宋_GB2312"/>
          <w:sz w:val="32"/>
          <w:szCs w:val="24"/>
        </w:rPr>
        <w:t>”</w:t>
      </w:r>
      <w:r>
        <w:rPr>
          <w:rFonts w:ascii="仿宋_GB2312" w:hAnsi="仿宋" w:eastAsia="仿宋_GB2312"/>
          <w:sz w:val="32"/>
          <w:szCs w:val="24"/>
          <w:vertAlign w:val="superscript"/>
        </w:rPr>
        <w:footnoteReference w:id="7"/>
      </w:r>
      <w:r>
        <w:rPr>
          <w:rFonts w:hint="eastAsia" w:ascii="仿宋_GB2312" w:hAnsi="仿宋" w:eastAsia="仿宋_GB2312"/>
          <w:sz w:val="32"/>
          <w:szCs w:val="24"/>
        </w:rPr>
        <w:t>魅力空间格局</w:t>
      </w:r>
      <w:r>
        <w:rPr>
          <w:rFonts w:ascii="仿宋_GB2312" w:hAnsi="仿宋" w:eastAsia="仿宋_GB2312"/>
          <w:sz w:val="32"/>
          <w:szCs w:val="24"/>
        </w:rPr>
        <w:t>,</w:t>
      </w:r>
      <w:r>
        <w:rPr>
          <w:rFonts w:hint="eastAsia" w:ascii="仿宋_GB2312" w:hAnsi="仿宋" w:eastAsia="仿宋_GB2312"/>
          <w:sz w:val="32"/>
          <w:szCs w:val="24"/>
        </w:rPr>
        <w:t>打造“最青岛”的城市场所，营建</w:t>
      </w:r>
      <w:r>
        <w:rPr>
          <w:rFonts w:ascii="仿宋_GB2312" w:hAnsi="仿宋" w:eastAsia="仿宋_GB2312"/>
          <w:sz w:val="32"/>
          <w:szCs w:val="24"/>
        </w:rPr>
        <w:t>高品质生态旅游线路,催化“生态+旅游”叠加效应,健全康疗养生旅游产品体系,</w:t>
      </w:r>
      <w:r>
        <w:rPr>
          <w:rFonts w:hint="eastAsia" w:ascii="仿宋_GB2312" w:hAnsi="仿宋" w:eastAsia="仿宋_GB2312"/>
          <w:sz w:val="32"/>
          <w:szCs w:val="24"/>
        </w:rPr>
        <w:t>塑造一批生态文化旅游品牌</w:t>
      </w:r>
      <w:r>
        <w:rPr>
          <w:rFonts w:ascii="仿宋_GB2312" w:hAnsi="仿宋" w:eastAsia="仿宋_GB2312"/>
          <w:sz w:val="32"/>
          <w:szCs w:val="24"/>
        </w:rPr>
        <w:t>。</w:t>
      </w:r>
      <w:r>
        <w:rPr>
          <w:rFonts w:hint="eastAsia" w:ascii="仿宋_GB2312" w:hAnsi="仿宋_GB2312" w:eastAsia="仿宋_GB2312" w:cs="仿宋_GB2312"/>
          <w:kern w:val="0"/>
          <w:sz w:val="32"/>
          <w:szCs w:val="32"/>
        </w:rPr>
        <w:t>擦亮“电影之都”“音乐之岛”“帆船之都”“足球之城”等城市品牌，</w:t>
      </w:r>
      <w:r>
        <w:rPr>
          <w:rFonts w:hint="eastAsia" w:ascii="仿宋_GB2312" w:eastAsia="仿宋_GB2312"/>
          <w:kern w:val="0"/>
          <w:sz w:val="32"/>
          <w:szCs w:val="32"/>
        </w:rPr>
        <w:t>持续提升</w:t>
      </w:r>
      <w:r>
        <w:rPr>
          <w:rFonts w:hint="eastAsia" w:eastAsia="仿宋_GB2312"/>
          <w:kern w:val="0"/>
          <w:sz w:val="32"/>
          <w:szCs w:val="32"/>
        </w:rPr>
        <w:t>“丈量青岛”等特色宣传营销品牌的影响力，引进国际顶级</w:t>
      </w:r>
      <w:r>
        <w:rPr>
          <w:rFonts w:eastAsia="仿宋_GB2312"/>
          <w:kern w:val="0"/>
          <w:sz w:val="32"/>
          <w:szCs w:val="32"/>
        </w:rPr>
        <w:t>IP</w:t>
      </w:r>
      <w:r>
        <w:rPr>
          <w:rFonts w:hint="eastAsia" w:eastAsia="仿宋_GB2312"/>
          <w:kern w:val="0"/>
          <w:sz w:val="32"/>
          <w:szCs w:val="32"/>
        </w:rPr>
        <w:t>与“讲好青岛故事”相结合，扩大“东亚</w:t>
      </w:r>
      <w:r>
        <w:rPr>
          <w:rFonts w:hint="eastAsia" w:ascii="仿宋_GB2312" w:hAnsi="仿宋_GB2312" w:eastAsia="仿宋_GB2312" w:cs="仿宋_GB2312"/>
          <w:kern w:val="0"/>
          <w:sz w:val="32"/>
          <w:szCs w:val="32"/>
        </w:rPr>
        <w:t>文化之都”品牌效应，不断提升“活力之城·时尚青岛”城市品牌形象。</w:t>
      </w:r>
    </w:p>
    <w:p>
      <w:pPr>
        <w:keepNext/>
        <w:keepLines/>
        <w:adjustRightInd w:val="0"/>
        <w:snapToGrid w:val="0"/>
        <w:spacing w:line="560" w:lineRule="exact"/>
        <w:ind w:firstLine="643" w:firstLineChars="200"/>
        <w:outlineLvl w:val="1"/>
        <w:rPr>
          <w:rFonts w:eastAsia="楷体_GB2312"/>
          <w:b/>
          <w:bCs/>
          <w:sz w:val="32"/>
          <w:szCs w:val="32"/>
        </w:rPr>
      </w:pPr>
      <w:bookmarkStart w:id="57" w:name="_Toc133150307"/>
      <w:r>
        <w:rPr>
          <w:rFonts w:hint="eastAsia" w:eastAsia="楷体_GB2312"/>
          <w:b/>
          <w:bCs/>
          <w:sz w:val="32"/>
          <w:szCs w:val="32"/>
        </w:rPr>
        <w:t>（二）强化生态文化服务供给</w:t>
      </w:r>
      <w:bookmarkEnd w:id="57"/>
    </w:p>
    <w:p>
      <w:pPr>
        <w:adjustRightInd w:val="0"/>
        <w:snapToGrid w:val="0"/>
        <w:spacing w:line="560" w:lineRule="exact"/>
        <w:ind w:firstLine="643" w:firstLineChars="200"/>
        <w:rPr>
          <w:rFonts w:ascii="仿宋_GB2312" w:hAnsi="等线" w:eastAsia="仿宋_GB2312" w:cs="仿宋_GB2312"/>
          <w:kern w:val="0"/>
          <w:sz w:val="32"/>
          <w:szCs w:val="32"/>
        </w:rPr>
      </w:pPr>
      <w:r>
        <w:rPr>
          <w:rFonts w:hint="eastAsia" w:eastAsia="仿宋_GB2312"/>
          <w:b/>
          <w:sz w:val="32"/>
          <w:szCs w:val="32"/>
        </w:rPr>
        <w:t>完善生态文化公共服务设施。</w:t>
      </w:r>
      <w:r>
        <w:rPr>
          <w:rFonts w:hint="eastAsia" w:ascii="仿宋_GB2312" w:hAnsi="等线" w:eastAsia="仿宋_GB2312" w:cs="仿宋_GB2312"/>
          <w:kern w:val="0"/>
          <w:sz w:val="32"/>
          <w:szCs w:val="32"/>
        </w:rPr>
        <w:t>推动建设生态道德教育基地、“绿水青山就是金山银山”教育基地。利用各类自然生态博物馆、科技馆、展示厅等场所建立一批自然教育中心和科普基地。探索建立以生态文化为主题的场馆，</w:t>
      </w:r>
      <w:r>
        <w:rPr>
          <w:rFonts w:hint="eastAsia" w:eastAsia="仿宋_GB2312"/>
          <w:sz w:val="32"/>
          <w:szCs w:val="32"/>
        </w:rPr>
        <w:t>推动新（改）建一批博物馆重点项目。加强基层综合文化服务中心建设，完善镇（街道）、村（社区）生态文化展示体系。探索实施“互联网</w:t>
      </w:r>
      <w:r>
        <w:rPr>
          <w:rFonts w:eastAsia="仿宋_GB2312"/>
          <w:sz w:val="32"/>
          <w:szCs w:val="32"/>
        </w:rPr>
        <w:t>+”</w:t>
      </w:r>
      <w:r>
        <w:rPr>
          <w:rFonts w:hint="eastAsia" w:eastAsia="仿宋_GB2312"/>
          <w:sz w:val="32"/>
          <w:szCs w:val="32"/>
        </w:rPr>
        <w:t>生态文化服务，推进数字图书馆、档案馆、博物馆、文化馆建设。</w:t>
      </w:r>
    </w:p>
    <w:p>
      <w:pPr>
        <w:adjustRightInd w:val="0"/>
        <w:snapToGrid w:val="0"/>
        <w:spacing w:line="560" w:lineRule="exact"/>
        <w:ind w:firstLine="643" w:firstLineChars="200"/>
        <w:rPr>
          <w:rFonts w:eastAsia="仿宋_GB2312"/>
          <w:sz w:val="32"/>
          <w:szCs w:val="32"/>
        </w:rPr>
      </w:pPr>
      <w:r>
        <w:rPr>
          <w:rFonts w:hint="eastAsia" w:eastAsia="仿宋_GB2312"/>
          <w:b/>
          <w:sz w:val="32"/>
          <w:szCs w:val="32"/>
        </w:rPr>
        <w:t>丰富优质生态文化产品供给。</w:t>
      </w:r>
      <w:r>
        <w:rPr>
          <w:rFonts w:hint="eastAsia" w:eastAsia="仿宋_GB2312"/>
          <w:sz w:val="32"/>
          <w:szCs w:val="32"/>
        </w:rPr>
        <w:t>加大对以历史文化、自然生态、海洋文明为灵感的生态文明建设题材文学、影视和词曲创作支持力度。依托崂山风景区、海滨风景区和齐长城遗址等风景名胜文旅资源，提炼生态文明建设中的文化基因，健全生态文化创作机制，加强生态文化产品开发。举办形式多样的生态文明主题文化活动、论坛研讨、文化艺术节。鼓励开发体现生态文明建设的网络文学、动漫、有声读物、游戏、短视频等。</w:t>
      </w:r>
    </w:p>
    <w:p>
      <w:pPr>
        <w:keepNext/>
        <w:keepLines/>
        <w:adjustRightInd w:val="0"/>
        <w:snapToGrid w:val="0"/>
        <w:spacing w:line="560" w:lineRule="exact"/>
        <w:ind w:firstLine="643" w:firstLineChars="200"/>
        <w:outlineLvl w:val="1"/>
        <w:rPr>
          <w:rFonts w:eastAsia="楷体_GB2312"/>
          <w:b/>
          <w:bCs/>
          <w:sz w:val="32"/>
          <w:szCs w:val="32"/>
        </w:rPr>
      </w:pPr>
      <w:bookmarkStart w:id="58" w:name="_Toc133150308"/>
      <w:r>
        <w:rPr>
          <w:rFonts w:hint="eastAsia" w:eastAsia="楷体_GB2312"/>
          <w:b/>
          <w:bCs/>
          <w:sz w:val="32"/>
          <w:szCs w:val="32"/>
        </w:rPr>
        <w:t>（三）彰显城市绿色人文品格</w:t>
      </w:r>
      <w:bookmarkEnd w:id="58"/>
    </w:p>
    <w:p>
      <w:pPr>
        <w:adjustRightInd w:val="0"/>
        <w:snapToGrid w:val="0"/>
        <w:spacing w:line="560" w:lineRule="exact"/>
        <w:ind w:firstLine="643" w:firstLineChars="200"/>
        <w:rPr>
          <w:rFonts w:ascii="仿宋_GB2312" w:hAnsi="等线" w:eastAsia="仿宋_GB2312" w:cs="仿宋_GB2312"/>
          <w:kern w:val="0"/>
          <w:sz w:val="32"/>
          <w:szCs w:val="32"/>
        </w:rPr>
      </w:pPr>
      <w:r>
        <w:rPr>
          <w:rFonts w:hint="eastAsia" w:eastAsia="仿宋_GB2312"/>
          <w:b/>
          <w:sz w:val="32"/>
          <w:szCs w:val="32"/>
        </w:rPr>
        <w:t>推动生态价值观深入人心。</w:t>
      </w:r>
      <w:r>
        <w:rPr>
          <w:rFonts w:hint="eastAsia" w:ascii="仿宋_GB2312" w:hAnsi="等线" w:eastAsia="仿宋_GB2312" w:cs="仿宋_GB2312"/>
          <w:kern w:val="0"/>
          <w:sz w:val="32"/>
          <w:szCs w:val="32"/>
        </w:rPr>
        <w:t>深入开展习近平生态文明思想宣传教育，把生态文明教育纳入国民教育体系、职业教育体系和党政领导干部培训体系。加强生态文化基础理论研究，多渠道、多途径培育生态文化，建立以生态价值观念为准则的生态文化体系，培养青少年生态文明行为习惯。积极引导、鼓励、支持社区、企业、非营利性组织等社会力量开展生态实践活动，多措并举提升全民生态意识。</w:t>
      </w:r>
    </w:p>
    <w:p>
      <w:pPr>
        <w:adjustRightInd w:val="0"/>
        <w:snapToGrid w:val="0"/>
        <w:spacing w:line="560" w:lineRule="exact"/>
        <w:ind w:firstLine="643" w:firstLineChars="200"/>
        <w:rPr>
          <w:rFonts w:ascii="仿宋_GB2312" w:hAnsi="等线" w:eastAsia="仿宋_GB2312" w:cs="仿宋_GB2312"/>
          <w:kern w:val="0"/>
          <w:sz w:val="32"/>
          <w:szCs w:val="32"/>
        </w:rPr>
      </w:pPr>
      <w:r>
        <w:rPr>
          <w:rFonts w:hint="eastAsia" w:eastAsia="仿宋_GB2312"/>
          <w:b/>
          <w:sz w:val="32"/>
          <w:szCs w:val="32"/>
        </w:rPr>
        <w:t>培育绿色低碳生活新风尚。</w:t>
      </w:r>
      <w:r>
        <w:rPr>
          <w:rFonts w:hint="eastAsia" w:eastAsia="仿宋_GB2312"/>
          <w:sz w:val="32"/>
          <w:szCs w:val="32"/>
        </w:rPr>
        <w:t>倡导简约适度、绿色低碳的生活方式，</w:t>
      </w:r>
      <w:r>
        <w:rPr>
          <w:rFonts w:hint="eastAsia" w:ascii="仿宋_GB2312" w:hAnsi="等线" w:eastAsia="仿宋_GB2312" w:cs="仿宋_GB2312"/>
          <w:kern w:val="0"/>
          <w:sz w:val="32"/>
          <w:szCs w:val="32"/>
        </w:rPr>
        <w:t>广泛开展节约型机关、绿色家庭、绿色学校、绿色出行等创建活动。坚决遏制餐饮浪费行为，推进垃圾分类，坚决革除滥食野生动物的陋习，全方位提高全社会节能、节水、节粮等节约意识，引导公众树立和实践绿色、低碳、循环的消费理念，形成绿色低碳生活新风尚。</w:t>
      </w:r>
    </w:p>
    <w:p>
      <w:pPr>
        <w:adjustRightInd w:val="0"/>
        <w:snapToGrid w:val="0"/>
        <w:spacing w:line="560" w:lineRule="exact"/>
        <w:ind w:firstLine="640" w:firstLineChars="200"/>
        <w:rPr>
          <w:rFonts w:ascii="仿宋_GB2312" w:hAnsi="等线" w:eastAsia="仿宋_GB2312" w:cs="仿宋_GB2312"/>
          <w:kern w:val="0"/>
          <w:sz w:val="32"/>
          <w:szCs w:val="32"/>
        </w:rPr>
      </w:pPr>
      <w:r>
        <w:rPr>
          <w:rFonts w:ascii="仿宋_GB2312" w:hAnsi="等线" w:eastAsia="仿宋_GB2312" w:cs="仿宋_GB2312"/>
          <w:kern w:val="0"/>
          <w:sz w:val="32"/>
          <w:szCs w:val="32"/>
        </w:rPr>
        <w:t xml:space="preserve"> </w:t>
      </w:r>
      <w:r>
        <w:rPr>
          <w:rFonts w:ascii="仿宋_GB2312" w:hAnsi="等线" w:eastAsia="仿宋_GB2312" w:cs="仿宋_GB2312"/>
          <w:kern w:val="0"/>
          <w:sz w:val="32"/>
          <w:szCs w:val="32"/>
        </w:rPr>
        <w:br w:type="page"/>
      </w:r>
    </w:p>
    <w:p>
      <w:pPr>
        <w:keepNext/>
        <w:keepLines/>
        <w:adjustRightInd w:val="0"/>
        <w:snapToGrid w:val="0"/>
        <w:spacing w:line="560" w:lineRule="exact"/>
        <w:outlineLvl w:val="0"/>
        <w:rPr>
          <w:rFonts w:ascii="等线" w:hAnsi="等线" w:eastAsia="黑体"/>
          <w:bCs/>
          <w:kern w:val="44"/>
          <w:sz w:val="32"/>
          <w:szCs w:val="48"/>
        </w:rPr>
      </w:pPr>
      <w:bookmarkStart w:id="59" w:name="_Toc133150309"/>
      <w:bookmarkStart w:id="60" w:name="_Toc21669"/>
      <w:r>
        <w:rPr>
          <w:rFonts w:hint="eastAsia" w:ascii="等线" w:hAnsi="等线" w:eastAsia="黑体"/>
          <w:bCs/>
          <w:kern w:val="44"/>
          <w:sz w:val="32"/>
          <w:szCs w:val="48"/>
        </w:rPr>
        <w:t>九、改革创新，打造现代生态环境善治样板之城</w:t>
      </w:r>
      <w:bookmarkEnd w:id="59"/>
    </w:p>
    <w:p>
      <w:pPr>
        <w:adjustRightInd w:val="0"/>
        <w:snapToGrid w:val="0"/>
        <w:spacing w:line="560" w:lineRule="exact"/>
        <w:ind w:firstLine="640" w:firstLineChars="200"/>
        <w:rPr>
          <w:rFonts w:ascii="仿宋_GB2312" w:hAnsi="仿宋" w:eastAsia="仿宋_GB2312" w:cs="Calibri"/>
          <w:sz w:val="32"/>
          <w:szCs w:val="32"/>
        </w:rPr>
      </w:pPr>
      <w:r>
        <w:rPr>
          <w:rFonts w:ascii="仿宋_GB2312" w:hAnsi="仿宋" w:eastAsia="仿宋_GB2312" w:cs="Calibri"/>
          <w:sz w:val="32"/>
          <w:szCs w:val="32"/>
        </w:rPr>
        <w:t>落实各类主体责任，</w:t>
      </w:r>
      <w:r>
        <w:rPr>
          <w:rFonts w:hint="eastAsia" w:ascii="仿宋_GB2312" w:hAnsi="仿宋" w:eastAsia="仿宋_GB2312" w:cs="Calibri"/>
          <w:sz w:val="32"/>
          <w:szCs w:val="32"/>
        </w:rPr>
        <w:t>畅通多元共治</w:t>
      </w:r>
      <w:r>
        <w:rPr>
          <w:rFonts w:ascii="仿宋_GB2312" w:hAnsi="仿宋" w:eastAsia="仿宋_GB2312" w:cs="Calibri"/>
          <w:sz w:val="32"/>
          <w:szCs w:val="32"/>
        </w:rPr>
        <w:t>的</w:t>
      </w:r>
      <w:r>
        <w:rPr>
          <w:rFonts w:hint="eastAsia" w:ascii="仿宋_GB2312" w:hAnsi="仿宋" w:eastAsia="仿宋_GB2312" w:cs="Calibri"/>
          <w:sz w:val="32"/>
          <w:szCs w:val="32"/>
        </w:rPr>
        <w:t>渠道</w:t>
      </w:r>
      <w:r>
        <w:rPr>
          <w:rFonts w:ascii="仿宋_GB2312" w:hAnsi="仿宋" w:eastAsia="仿宋_GB2312" w:cs="Calibri"/>
          <w:sz w:val="32"/>
          <w:szCs w:val="32"/>
        </w:rPr>
        <w:t>，</w:t>
      </w:r>
      <w:r>
        <w:rPr>
          <w:rFonts w:hint="eastAsia" w:ascii="仿宋_GB2312" w:hAnsi="仿宋" w:eastAsia="仿宋_GB2312" w:cs="Calibri"/>
          <w:sz w:val="32"/>
          <w:szCs w:val="32"/>
        </w:rPr>
        <w:t>深化</w:t>
      </w:r>
      <w:r>
        <w:rPr>
          <w:rFonts w:ascii="仿宋_GB2312" w:hAnsi="仿宋" w:eastAsia="仿宋_GB2312" w:cs="Calibri"/>
          <w:sz w:val="32"/>
          <w:szCs w:val="32"/>
        </w:rPr>
        <w:t>拓展生态产品价值实现路径</w:t>
      </w:r>
      <w:r>
        <w:rPr>
          <w:rFonts w:hint="eastAsia" w:ascii="仿宋_GB2312" w:hAnsi="仿宋" w:eastAsia="仿宋_GB2312" w:cs="Calibri"/>
          <w:sz w:val="32"/>
          <w:szCs w:val="32"/>
        </w:rPr>
        <w:t>，</w:t>
      </w:r>
      <w:r>
        <w:rPr>
          <w:rFonts w:ascii="仿宋_GB2312" w:hAnsi="仿宋" w:eastAsia="仿宋_GB2312" w:cs="Calibri"/>
          <w:sz w:val="32"/>
          <w:szCs w:val="32"/>
        </w:rPr>
        <w:t>实现</w:t>
      </w:r>
      <w:r>
        <w:rPr>
          <w:rFonts w:eastAsia="仿宋_GB2312"/>
          <w:sz w:val="32"/>
          <w:szCs w:val="32"/>
        </w:rPr>
        <w:t>治理</w:t>
      </w:r>
      <w:r>
        <w:rPr>
          <w:rFonts w:ascii="仿宋_GB2312" w:hAnsi="仿宋" w:eastAsia="仿宋_GB2312" w:cs="Calibri"/>
          <w:sz w:val="32"/>
          <w:szCs w:val="32"/>
        </w:rPr>
        <w:t>能力现代化</w:t>
      </w:r>
      <w:r>
        <w:rPr>
          <w:rFonts w:hint="eastAsia" w:ascii="仿宋_GB2312" w:hAnsi="仿宋" w:eastAsia="仿宋_GB2312" w:cs="Calibri"/>
          <w:sz w:val="32"/>
          <w:szCs w:val="32"/>
        </w:rPr>
        <w:t>，打造智慧城市和“数字中国”城市典范，成为国内领先生态环境治理样板城市。</w:t>
      </w:r>
    </w:p>
    <w:p>
      <w:pPr>
        <w:adjustRightInd w:val="0"/>
        <w:snapToGrid w:val="0"/>
        <w:spacing w:line="560" w:lineRule="exact"/>
        <w:ind w:firstLine="640"/>
        <w:outlineLvl w:val="1"/>
        <w:rPr>
          <w:rFonts w:eastAsia="楷体_GB2312"/>
          <w:b/>
          <w:sz w:val="32"/>
          <w:szCs w:val="32"/>
        </w:rPr>
      </w:pPr>
      <w:bookmarkStart w:id="61" w:name="_Toc133150310"/>
      <w:r>
        <w:rPr>
          <w:rFonts w:eastAsia="楷体_GB2312"/>
          <w:b/>
          <w:sz w:val="32"/>
          <w:szCs w:val="32"/>
        </w:rPr>
        <w:t>（一）</w:t>
      </w:r>
      <w:r>
        <w:rPr>
          <w:rFonts w:hint="eastAsia" w:eastAsia="楷体_GB2312"/>
          <w:b/>
          <w:sz w:val="32"/>
          <w:szCs w:val="32"/>
        </w:rPr>
        <w:t>构建多元主体共建责任体系</w:t>
      </w:r>
      <w:bookmarkEnd w:id="61"/>
    </w:p>
    <w:p>
      <w:pPr>
        <w:adjustRightInd w:val="0"/>
        <w:snapToGrid w:val="0"/>
        <w:spacing w:line="560" w:lineRule="exact"/>
        <w:ind w:firstLine="643" w:firstLineChars="200"/>
        <w:rPr>
          <w:rFonts w:ascii="仿宋_GB2312" w:hAnsi="仿宋" w:eastAsia="仿宋_GB2312" w:cs="仿宋_GB2312"/>
          <w:kern w:val="0"/>
          <w:sz w:val="32"/>
          <w:szCs w:val="32"/>
        </w:rPr>
      </w:pPr>
      <w:r>
        <w:rPr>
          <w:rFonts w:hint="eastAsia" w:ascii="仿宋_GB2312" w:hAnsi="仿宋" w:eastAsia="仿宋_GB2312" w:cs="Calibri"/>
          <w:b/>
          <w:sz w:val="32"/>
          <w:szCs w:val="32"/>
        </w:rPr>
        <w:t>落实党政领导责任</w:t>
      </w:r>
      <w:r>
        <w:rPr>
          <w:rFonts w:hint="eastAsia" w:ascii="仿宋_GB2312" w:hAnsi="仿宋" w:eastAsia="仿宋_GB2312" w:cs="Calibri"/>
          <w:sz w:val="32"/>
          <w:szCs w:val="32"/>
        </w:rPr>
        <w:t>。坚持党政同责、一岗双责，全面发挥市区两级生态环境委员会作用，探索生态环境委员会实体化运行模式。加强生态文明建设考核，继续推进区域差异化综合考核评价制度，持续深化应对气候变化、大气、水等环境要素专项考核。</w:t>
      </w:r>
      <w:r>
        <w:rPr>
          <w:rFonts w:hint="eastAsia" w:ascii="仿宋_GB2312" w:hAnsi="仿宋" w:eastAsia="仿宋_GB2312" w:cs="仿宋_GB2312"/>
          <w:kern w:val="0"/>
          <w:sz w:val="32"/>
          <w:szCs w:val="32"/>
        </w:rPr>
        <w:t>探索将生态产品价值纳入政绩和生态文明考核体系。健全</w:t>
      </w:r>
      <w:r>
        <w:rPr>
          <w:rFonts w:hint="eastAsia" w:ascii="仿宋_GB2312" w:hAnsi="仿宋" w:eastAsia="仿宋_GB2312" w:cs="Calibri"/>
          <w:sz w:val="32"/>
          <w:szCs w:val="32"/>
        </w:rPr>
        <w:t>领导干部自然资源资产离任审计整改机制和协作配合机制，</w:t>
      </w:r>
      <w:r>
        <w:rPr>
          <w:rFonts w:hint="eastAsia" w:ascii="仿宋_GB2312" w:hAnsi="仿宋" w:eastAsia="仿宋_GB2312" w:cs="仿宋_GB2312"/>
          <w:kern w:val="0"/>
          <w:sz w:val="32"/>
          <w:szCs w:val="32"/>
        </w:rPr>
        <w:t>生态环境保护督察整改落实长效机制，推动各级党委政府及相关部门全面履行生态环境保护责任。</w:t>
      </w:r>
    </w:p>
    <w:p>
      <w:pPr>
        <w:adjustRightInd w:val="0"/>
        <w:snapToGrid w:val="0"/>
        <w:spacing w:line="560" w:lineRule="exact"/>
        <w:ind w:firstLine="643" w:firstLineChars="200"/>
        <w:rPr>
          <w:rFonts w:ascii="仿宋_GB2312" w:hAnsi="仿宋" w:eastAsia="仿宋_GB2312" w:cs="仿宋_GB2312"/>
          <w:kern w:val="0"/>
          <w:sz w:val="32"/>
          <w:szCs w:val="32"/>
        </w:rPr>
      </w:pPr>
      <w:r>
        <w:rPr>
          <w:rFonts w:hint="eastAsia" w:ascii="仿宋_GB2312" w:hAnsi="仿宋" w:eastAsia="仿宋_GB2312" w:cs="Calibri"/>
          <w:b/>
          <w:sz w:val="32"/>
          <w:szCs w:val="32"/>
        </w:rPr>
        <w:t>压实企业主体责任</w:t>
      </w:r>
      <w:r>
        <w:rPr>
          <w:rFonts w:hint="eastAsia" w:ascii="仿宋_GB2312" w:hAnsi="仿宋" w:eastAsia="仿宋_GB2312" w:cs="仿宋_GB2312"/>
          <w:kern w:val="0"/>
          <w:sz w:val="32"/>
          <w:szCs w:val="32"/>
        </w:rPr>
        <w:t>。健全以排污许可为核心的固定污染源环境管理制度，严格落实企业污染治理、损害赔偿和生态修复责任。完善企业环境信息披露机制，加强上市公司和发债企业强制性环境治理信息披露。充分发挥行业自律、行业监督功能，推动建立企业绿色发展、守法排污的引导约束机制，形成资源节约、环境友好的行业秩序。建立排污企业信用等级评价制度，构建“守信激励”和“失信惩戒”机制。全面推行企业“环保码”。</w:t>
      </w:r>
    </w:p>
    <w:p>
      <w:pPr>
        <w:adjustRightInd w:val="0"/>
        <w:snapToGrid w:val="0"/>
        <w:spacing w:line="560" w:lineRule="exact"/>
        <w:ind w:firstLine="643" w:firstLineChars="200"/>
        <w:rPr>
          <w:rFonts w:ascii="等线" w:hAnsi="等线" w:eastAsia="仿宋_GB2312"/>
          <w:sz w:val="32"/>
          <w:szCs w:val="32"/>
        </w:rPr>
      </w:pPr>
      <w:r>
        <w:rPr>
          <w:rFonts w:hint="eastAsia" w:ascii="仿宋_GB2312" w:hAnsi="仿宋" w:eastAsia="仿宋_GB2312" w:cs="Calibri"/>
          <w:b/>
          <w:sz w:val="32"/>
          <w:szCs w:val="32"/>
        </w:rPr>
        <w:t>倡导公众共同参与</w:t>
      </w:r>
      <w:r>
        <w:rPr>
          <w:rFonts w:hint="eastAsia" w:ascii="仿宋_GB2312" w:hAnsi="仿宋_GB2312" w:eastAsia="仿宋_GB2312" w:cs="仿宋_GB2312"/>
          <w:bCs/>
          <w:sz w:val="32"/>
          <w:szCs w:val="32"/>
        </w:rPr>
        <w:t>。</w:t>
      </w:r>
      <w:r>
        <w:rPr>
          <w:rFonts w:hint="eastAsia" w:eastAsia="仿宋_GB2312"/>
          <w:sz w:val="32"/>
          <w:szCs w:val="32"/>
        </w:rPr>
        <w:t>健全</w:t>
      </w:r>
      <w:r>
        <w:rPr>
          <w:rFonts w:eastAsia="仿宋_GB2312"/>
          <w:sz w:val="32"/>
          <w:szCs w:val="32"/>
        </w:rPr>
        <w:t>环境信息依法披露制度。</w:t>
      </w:r>
      <w:r>
        <w:rPr>
          <w:rFonts w:ascii="等线" w:hAnsi="等线" w:eastAsia="仿宋_GB2312"/>
          <w:sz w:val="32"/>
          <w:szCs w:val="32"/>
        </w:rPr>
        <w:t>加强生态环境数据共享开放，</w:t>
      </w:r>
      <w:r>
        <w:rPr>
          <w:rFonts w:hint="eastAsia" w:ascii="等线" w:hAnsi="等线" w:eastAsia="仿宋_GB2312"/>
          <w:sz w:val="32"/>
          <w:szCs w:val="32"/>
        </w:rPr>
        <w:t>畅通环保监督渠道</w:t>
      </w:r>
      <w:r>
        <w:rPr>
          <w:rFonts w:ascii="等线" w:hAnsi="等线" w:eastAsia="仿宋_GB2312"/>
          <w:sz w:val="32"/>
          <w:szCs w:val="32"/>
        </w:rPr>
        <w:t>。</w:t>
      </w:r>
      <w:r>
        <w:rPr>
          <w:rFonts w:hint="eastAsia" w:ascii="等线" w:hAnsi="等线" w:eastAsia="仿宋_GB2312"/>
          <w:sz w:val="32"/>
          <w:szCs w:val="32"/>
        </w:rPr>
        <w:t>开展</w:t>
      </w:r>
      <w:r>
        <w:rPr>
          <w:rFonts w:ascii="等线" w:hAnsi="等线" w:eastAsia="仿宋_GB2312"/>
          <w:sz w:val="32"/>
          <w:szCs w:val="32"/>
        </w:rPr>
        <w:t>环境治理全民行动，鼓励群团和社会组织积极参与环境标准制定、环境污染监督治理</w:t>
      </w:r>
      <w:r>
        <w:rPr>
          <w:rFonts w:ascii="等线" w:hAnsi="等线" w:eastAsia="仿宋_GB2312"/>
          <w:spacing w:val="-20"/>
          <w:sz w:val="32"/>
          <w:szCs w:val="32"/>
        </w:rPr>
        <w:t>，</w:t>
      </w:r>
      <w:r>
        <w:rPr>
          <w:rFonts w:ascii="等线" w:hAnsi="等线" w:eastAsia="仿宋_GB2312"/>
          <w:sz w:val="32"/>
          <w:szCs w:val="32"/>
        </w:rPr>
        <w:t>引导公民履行环保义务，健全环境公益诉讼、环保设施公众开放等机制。完善环境违法行为举报奖励机制，建立有效的监控数据及信访、举报、舆情反映问题的处置后督查机制。</w:t>
      </w:r>
    </w:p>
    <w:p>
      <w:pPr>
        <w:adjustRightInd w:val="0"/>
        <w:snapToGrid w:val="0"/>
        <w:spacing w:line="560" w:lineRule="exact"/>
        <w:ind w:firstLine="640"/>
        <w:outlineLvl w:val="1"/>
        <w:rPr>
          <w:rFonts w:eastAsia="楷体_GB2312"/>
          <w:b/>
          <w:sz w:val="32"/>
          <w:szCs w:val="32"/>
        </w:rPr>
      </w:pPr>
      <w:bookmarkStart w:id="62" w:name="_Toc133150311"/>
      <w:r>
        <w:rPr>
          <w:rFonts w:eastAsia="楷体_GB2312"/>
          <w:b/>
          <w:sz w:val="32"/>
          <w:szCs w:val="32"/>
        </w:rPr>
        <w:t>（二）</w:t>
      </w:r>
      <w:r>
        <w:rPr>
          <w:rFonts w:hint="eastAsia" w:eastAsia="楷体_GB2312"/>
          <w:b/>
          <w:sz w:val="32"/>
          <w:szCs w:val="32"/>
        </w:rPr>
        <w:t>拓展生态产品价值实现路径</w:t>
      </w:r>
      <w:bookmarkEnd w:id="62"/>
    </w:p>
    <w:p>
      <w:pPr>
        <w:adjustRightInd w:val="0"/>
        <w:snapToGrid w:val="0"/>
        <w:spacing w:line="560" w:lineRule="exact"/>
        <w:ind w:firstLine="643" w:firstLineChars="200"/>
        <w:rPr>
          <w:rFonts w:eastAsia="仿宋_GB2312"/>
          <w:sz w:val="32"/>
          <w:szCs w:val="32"/>
        </w:rPr>
      </w:pPr>
      <w:r>
        <w:rPr>
          <w:rFonts w:hint="eastAsia" w:ascii="仿宋_GB2312" w:hAnsi="仿宋" w:eastAsia="仿宋_GB2312" w:cs="Calibri"/>
          <w:b/>
          <w:sz w:val="32"/>
          <w:szCs w:val="32"/>
        </w:rPr>
        <w:t>健全生态产品价值实现机制。</w:t>
      </w:r>
      <w:r>
        <w:rPr>
          <w:rFonts w:hint="eastAsia" w:ascii="仿宋_GB2312" w:hAnsi="仿宋_GB2312" w:eastAsia="仿宋_GB2312" w:cs="仿宋_GB2312"/>
          <w:bCs/>
          <w:sz w:val="32"/>
          <w:szCs w:val="32"/>
        </w:rPr>
        <w:t>推广灵山岛生态产品价值实现机制试点经验，</w:t>
      </w:r>
      <w:r>
        <w:rPr>
          <w:rFonts w:hint="eastAsia" w:ascii="仿宋_GB2312" w:hAnsi="仿宋" w:eastAsia="仿宋_GB2312" w:cs="仿宋_GB2312"/>
          <w:sz w:val="32"/>
          <w:szCs w:val="32"/>
        </w:rPr>
        <w:t>构建生态产品价值核算体系和生态产品交易体系，</w:t>
      </w:r>
      <w:r>
        <w:rPr>
          <w:rFonts w:hint="eastAsia" w:ascii="仿宋_GB2312" w:hAnsi="仿宋" w:eastAsia="仿宋_GB2312"/>
          <w:sz w:val="32"/>
          <w:szCs w:val="32"/>
        </w:rPr>
        <w:t>研究建立全市生态产品价值实现机制，</w:t>
      </w:r>
      <w:r>
        <w:rPr>
          <w:rFonts w:ascii="仿宋_GB2312" w:hAnsi="仿宋" w:eastAsia="仿宋_GB2312" w:cs="仿宋_GB2312"/>
          <w:sz w:val="32"/>
          <w:szCs w:val="32"/>
        </w:rPr>
        <w:t>争取国家生态产品价值实现机制改革</w:t>
      </w:r>
      <w:r>
        <w:rPr>
          <w:rFonts w:hint="eastAsia" w:ascii="仿宋_GB2312" w:hAnsi="仿宋" w:eastAsia="仿宋_GB2312" w:cs="仿宋_GB2312"/>
          <w:sz w:val="32"/>
          <w:szCs w:val="32"/>
        </w:rPr>
        <w:t>试点。</w:t>
      </w:r>
      <w:r>
        <w:rPr>
          <w:rFonts w:hint="eastAsia" w:eastAsia="仿宋_GB2312"/>
          <w:sz w:val="32"/>
          <w:szCs w:val="32"/>
        </w:rPr>
        <w:t>采取政府路径、市场化路径、“政府+市场”联动等路径，提高自然气候、生态农产品、生态文旅产品、碳排放权、水权、排污权、用能权等优质生态产品供给能力。</w:t>
      </w:r>
      <w:r>
        <w:rPr>
          <w:rFonts w:eastAsia="仿宋_GB2312"/>
          <w:sz w:val="32"/>
          <w:szCs w:val="32"/>
        </w:rPr>
        <w:t>鼓励</w:t>
      </w:r>
      <w:r>
        <w:rPr>
          <w:rFonts w:hint="eastAsia" w:eastAsia="仿宋_GB2312"/>
          <w:sz w:val="32"/>
          <w:szCs w:val="32"/>
        </w:rPr>
        <w:t>各区市</w:t>
      </w:r>
      <w:r>
        <w:rPr>
          <w:rFonts w:eastAsia="仿宋_GB2312"/>
          <w:sz w:val="32"/>
          <w:szCs w:val="32"/>
        </w:rPr>
        <w:t>因地制宜拓宽“绿水青山就是金山银山”转化通道，打造</w:t>
      </w:r>
      <w:r>
        <w:rPr>
          <w:rFonts w:hint="eastAsia" w:eastAsia="仿宋_GB2312"/>
          <w:sz w:val="32"/>
          <w:szCs w:val="32"/>
        </w:rPr>
        <w:t>一批红瓦绿树、碧海蓝天等</w:t>
      </w:r>
      <w:r>
        <w:rPr>
          <w:rFonts w:eastAsia="仿宋_GB2312"/>
          <w:sz w:val="32"/>
          <w:szCs w:val="32"/>
        </w:rPr>
        <w:t>特色鲜明的生态产品区域公用品牌</w:t>
      </w:r>
      <w:r>
        <w:rPr>
          <w:rFonts w:hint="eastAsia" w:eastAsia="仿宋_GB2312"/>
          <w:sz w:val="32"/>
          <w:szCs w:val="32"/>
        </w:rPr>
        <w:t>和生态产业化特色模式和业态</w:t>
      </w:r>
      <w:r>
        <w:rPr>
          <w:rFonts w:eastAsia="仿宋_GB2312"/>
          <w:sz w:val="32"/>
          <w:szCs w:val="32"/>
        </w:rPr>
        <w:t>，</w:t>
      </w:r>
      <w:r>
        <w:rPr>
          <w:rFonts w:hint="eastAsia" w:eastAsia="仿宋_GB2312"/>
          <w:sz w:val="32"/>
          <w:szCs w:val="32"/>
        </w:rPr>
        <w:t>探索</w:t>
      </w:r>
      <w:r>
        <w:rPr>
          <w:rFonts w:eastAsia="仿宋_GB2312"/>
          <w:sz w:val="32"/>
          <w:szCs w:val="32"/>
        </w:rPr>
        <w:t>生态产品价值实现机制。建立生态产品</w:t>
      </w:r>
      <w:r>
        <w:rPr>
          <w:rFonts w:hint="eastAsia" w:eastAsia="仿宋_GB2312"/>
          <w:sz w:val="32"/>
          <w:szCs w:val="32"/>
        </w:rPr>
        <w:t>动态</w:t>
      </w:r>
      <w:r>
        <w:rPr>
          <w:rFonts w:eastAsia="仿宋_GB2312"/>
          <w:sz w:val="32"/>
          <w:szCs w:val="32"/>
        </w:rPr>
        <w:t>监测</w:t>
      </w:r>
      <w:r>
        <w:rPr>
          <w:rFonts w:hint="eastAsia" w:eastAsia="仿宋_GB2312"/>
          <w:sz w:val="32"/>
          <w:szCs w:val="32"/>
        </w:rPr>
        <w:t>制度</w:t>
      </w:r>
      <w:r>
        <w:rPr>
          <w:rFonts w:eastAsia="仿宋_GB2312"/>
          <w:sz w:val="32"/>
          <w:szCs w:val="32"/>
        </w:rPr>
        <w:t>，</w:t>
      </w:r>
      <w:r>
        <w:rPr>
          <w:rFonts w:hint="eastAsia" w:eastAsia="仿宋_GB2312"/>
          <w:sz w:val="32"/>
          <w:szCs w:val="32"/>
        </w:rPr>
        <w:t>搭建开放共享的生态产品信息云平台，</w:t>
      </w:r>
      <w:r>
        <w:rPr>
          <w:rFonts w:eastAsia="仿宋_GB2312"/>
          <w:sz w:val="32"/>
          <w:szCs w:val="32"/>
        </w:rPr>
        <w:t>推进生态产品市场化交易落地。</w:t>
      </w:r>
    </w:p>
    <w:p>
      <w:pPr>
        <w:adjustRightInd w:val="0"/>
        <w:snapToGrid w:val="0"/>
        <w:spacing w:line="560" w:lineRule="exact"/>
        <w:ind w:firstLine="643" w:firstLineChars="200"/>
        <w:rPr>
          <w:rFonts w:ascii="仿宋_GB2312" w:hAnsi="仿宋_GB2312" w:eastAsia="仿宋_GB2312" w:cs="仿宋_GB2312"/>
          <w:sz w:val="32"/>
          <w:szCs w:val="32"/>
        </w:rPr>
      </w:pPr>
      <w:r>
        <w:rPr>
          <w:rFonts w:hint="eastAsia" w:ascii="仿宋_GB2312" w:hAnsi="仿宋" w:eastAsia="仿宋_GB2312" w:cs="Calibri"/>
          <w:b/>
          <w:sz w:val="32"/>
          <w:szCs w:val="32"/>
        </w:rPr>
        <w:t>推动生态补偿和损害赔偿制度落实</w:t>
      </w:r>
      <w:r>
        <w:rPr>
          <w:rFonts w:hint="eastAsia" w:ascii="仿宋_GB2312" w:hAnsi="Calibri" w:eastAsia="仿宋_GB2312" w:cs="仿宋_GB2312"/>
          <w:kern w:val="0"/>
          <w:sz w:val="32"/>
          <w:szCs w:val="32"/>
        </w:rPr>
        <w:t>。建立健全多领域生态保护补偿制度，以大沽河流域为重点，健全横纵结合的生态补偿机制，实现区（市）间流域横向生态补</w:t>
      </w:r>
      <w:r>
        <w:rPr>
          <w:rFonts w:hint="eastAsia" w:ascii="仿宋_GB2312" w:hAnsi="仿宋_GB2312" w:eastAsia="仿宋_GB2312" w:cs="仿宋_GB2312"/>
          <w:sz w:val="32"/>
          <w:szCs w:val="32"/>
        </w:rPr>
        <w:t>偿全覆盖，探索建立水源保护生态补偿制度。探索青岛海域和海岛生态产品价值市场化交易市场实体化运营。</w:t>
      </w:r>
      <w:r>
        <w:rPr>
          <w:rFonts w:hint="eastAsia" w:ascii="仿宋_GB2312" w:hAnsi="仿宋" w:eastAsia="仿宋_GB2312" w:cs="仿宋_GB2312"/>
          <w:sz w:val="32"/>
          <w:szCs w:val="32"/>
        </w:rPr>
        <w:t>建立健全生态环境损害刑事、民事公益诉讼衔接及生态环境修复多部门联动协作机制。</w:t>
      </w:r>
      <w:r>
        <w:rPr>
          <w:rFonts w:hint="eastAsia" w:ascii="仿宋_GB2312" w:hAnsi="仿宋_GB2312" w:eastAsia="仿宋_GB2312" w:cs="仿宋_GB2312"/>
          <w:sz w:val="32"/>
          <w:szCs w:val="32"/>
        </w:rPr>
        <w:t>推动生态环境损害赔偿示范点和生态环境损害赔偿示范基地建设，推进生态环境损害赔偿工作向常态化、制度化转变。</w:t>
      </w:r>
    </w:p>
    <w:p>
      <w:pPr>
        <w:adjustRightInd w:val="0"/>
        <w:snapToGrid w:val="0"/>
        <w:spacing w:line="560" w:lineRule="exact"/>
        <w:ind w:firstLine="643" w:firstLineChars="200"/>
        <w:rPr>
          <w:rFonts w:eastAsia="仿宋_GB2312"/>
          <w:sz w:val="32"/>
          <w:szCs w:val="32"/>
        </w:rPr>
      </w:pPr>
      <w:r>
        <w:rPr>
          <w:rFonts w:hint="eastAsia" w:ascii="仿宋_GB2312" w:hAnsi="仿宋" w:eastAsia="仿宋_GB2312" w:cs="Calibri"/>
          <w:b/>
          <w:sz w:val="32"/>
          <w:szCs w:val="32"/>
        </w:rPr>
        <w:t>深化绿色金融改革创新。</w:t>
      </w:r>
      <w:r>
        <w:rPr>
          <w:rFonts w:hint="eastAsia" w:ascii="仿宋_GB2312" w:hAnsi="仿宋_GB2312" w:eastAsia="仿宋_GB2312" w:cs="仿宋_GB2312"/>
          <w:bCs/>
          <w:sz w:val="32"/>
          <w:szCs w:val="32"/>
        </w:rPr>
        <w:t>积极参与</w:t>
      </w:r>
      <w:r>
        <w:rPr>
          <w:rFonts w:ascii="仿宋_GB2312" w:hAnsi="仿宋_GB2312" w:eastAsia="仿宋_GB2312" w:cs="仿宋_GB2312"/>
          <w:bCs/>
          <w:sz w:val="32"/>
          <w:szCs w:val="32"/>
        </w:rPr>
        <w:t>黄河流域生态保护和高质量发展基金设立。</w:t>
      </w:r>
      <w:r>
        <w:rPr>
          <w:rFonts w:hint="eastAsia" w:ascii="宋体" w:hAnsi="宋体" w:eastAsia="仿宋_GB2312" w:cs="宋体"/>
          <w:sz w:val="32"/>
          <w:szCs w:val="32"/>
        </w:rPr>
        <w:t>探索绿色城市建设项目创新融资模式。</w:t>
      </w:r>
      <w:r>
        <w:rPr>
          <w:rFonts w:ascii="宋体" w:hAnsi="宋体" w:eastAsia="仿宋_GB2312" w:cs="宋体"/>
          <w:sz w:val="32"/>
          <w:szCs w:val="32"/>
        </w:rPr>
        <w:t>依托</w:t>
      </w:r>
      <w:r>
        <w:rPr>
          <w:rFonts w:hint="eastAsia" w:ascii="宋体" w:hAnsi="宋体" w:eastAsia="仿宋_GB2312" w:cs="宋体"/>
          <w:sz w:val="32"/>
          <w:szCs w:val="32"/>
        </w:rPr>
        <w:t>青岛蓝色金融研究院，加大海洋生态产品价值实现的金融支持路径研究。放大西海岸新区气候投融资试点效应，</w:t>
      </w:r>
      <w:r>
        <w:rPr>
          <w:rFonts w:hint="eastAsia" w:ascii="仿宋_GB2312" w:hAnsi="仿宋_GB2312" w:eastAsia="仿宋_GB2312" w:cs="仿宋_GB2312"/>
          <w:sz w:val="32"/>
          <w:szCs w:val="32"/>
        </w:rPr>
        <w:t>探索建立企业金融碳账户。</w:t>
      </w:r>
      <w:r>
        <w:rPr>
          <w:rFonts w:hint="eastAsia" w:ascii="宋体" w:hAnsi="宋体" w:eastAsia="仿宋_GB2312" w:cs="宋体"/>
          <w:sz w:val="32"/>
          <w:szCs w:val="32"/>
        </w:rPr>
        <w:t>建立绿色企业金融支持“白名单”机制，建立金融机构绿色企业和项目的识别机制，指导金融机构制定配套政策。</w:t>
      </w:r>
      <w:r>
        <w:rPr>
          <w:rFonts w:ascii="宋体" w:hAnsi="宋体" w:eastAsia="仿宋_GB2312" w:cs="宋体"/>
          <w:sz w:val="32"/>
          <w:szCs w:val="32"/>
        </w:rPr>
        <w:t>积极开展环境权益融资、绿色消费信贷、</w:t>
      </w:r>
      <w:r>
        <w:rPr>
          <w:rFonts w:hint="eastAsia" w:ascii="宋体" w:hAnsi="宋体" w:eastAsia="仿宋_GB2312" w:cs="宋体"/>
          <w:sz w:val="32"/>
          <w:szCs w:val="32"/>
        </w:rPr>
        <w:t>生态产品价值实现、</w:t>
      </w:r>
      <w:r>
        <w:rPr>
          <w:rFonts w:ascii="宋体" w:hAnsi="宋体" w:eastAsia="仿宋_GB2312" w:cs="宋体"/>
          <w:sz w:val="32"/>
          <w:szCs w:val="32"/>
        </w:rPr>
        <w:t>绿色保险等金融创新，</w:t>
      </w:r>
      <w:r>
        <w:rPr>
          <w:rFonts w:hint="eastAsia" w:ascii="宋体" w:hAnsi="宋体" w:eastAsia="仿宋_GB2312" w:cs="宋体"/>
          <w:sz w:val="32"/>
          <w:szCs w:val="32"/>
        </w:rPr>
        <w:t>建立健全</w:t>
      </w:r>
      <w:r>
        <w:rPr>
          <w:rFonts w:ascii="宋体" w:hAnsi="宋体" w:eastAsia="仿宋_GB2312" w:cs="宋体"/>
          <w:sz w:val="32"/>
          <w:szCs w:val="32"/>
        </w:rPr>
        <w:t>绿色金融组织体系</w:t>
      </w:r>
      <w:r>
        <w:rPr>
          <w:rFonts w:hint="eastAsia" w:ascii="宋体" w:hAnsi="宋体" w:eastAsia="仿宋_GB2312" w:cs="宋体"/>
          <w:sz w:val="32"/>
          <w:szCs w:val="32"/>
        </w:rPr>
        <w:t>，提升绿色金融专业服务能力和风险防控能力</w:t>
      </w:r>
      <w:r>
        <w:rPr>
          <w:rFonts w:ascii="宋体" w:hAnsi="宋体" w:eastAsia="仿宋_GB2312" w:cs="宋体"/>
          <w:sz w:val="32"/>
          <w:szCs w:val="32"/>
        </w:rPr>
        <w:t>。</w:t>
      </w:r>
      <w:r>
        <w:rPr>
          <w:rFonts w:hint="eastAsia" w:eastAsia="仿宋_GB2312"/>
          <w:sz w:val="32"/>
          <w:szCs w:val="32"/>
        </w:rPr>
        <w:t>探索建立碳普惠绿色投融资服务体系，推动构建多元碳普惠机制。</w:t>
      </w:r>
    </w:p>
    <w:p>
      <w:pPr>
        <w:adjustRightInd w:val="0"/>
        <w:snapToGrid w:val="0"/>
        <w:spacing w:line="560" w:lineRule="exact"/>
        <w:ind w:firstLine="640"/>
        <w:outlineLvl w:val="1"/>
        <w:rPr>
          <w:rFonts w:eastAsia="楷体_GB2312"/>
          <w:b/>
          <w:sz w:val="32"/>
          <w:szCs w:val="32"/>
        </w:rPr>
      </w:pPr>
      <w:bookmarkStart w:id="63" w:name="_Toc133150312"/>
      <w:r>
        <w:rPr>
          <w:rFonts w:hint="eastAsia" w:eastAsia="楷体_GB2312"/>
          <w:b/>
          <w:sz w:val="32"/>
          <w:szCs w:val="32"/>
        </w:rPr>
        <w:t>（三）打造生态环境智慧治理标杆</w:t>
      </w:r>
      <w:bookmarkEnd w:id="63"/>
    </w:p>
    <w:p>
      <w:pPr>
        <w:adjustRightInd w:val="0"/>
        <w:snapToGrid w:val="0"/>
        <w:spacing w:line="560" w:lineRule="exact"/>
        <w:ind w:firstLine="643" w:firstLineChars="200"/>
        <w:rPr>
          <w:rFonts w:ascii="微软雅黑" w:hAnsi="微软雅黑" w:eastAsia="微软雅黑" w:cs="宋体"/>
          <w:kern w:val="0"/>
          <w:szCs w:val="21"/>
        </w:rPr>
      </w:pPr>
      <w:r>
        <w:rPr>
          <w:rFonts w:hint="eastAsia" w:ascii="仿宋_GB2312" w:hAnsi="仿宋" w:eastAsia="仿宋_GB2312" w:cs="Calibri"/>
          <w:b/>
          <w:sz w:val="32"/>
          <w:szCs w:val="32"/>
        </w:rPr>
        <w:t>加快“一网统管”数字化转型。</w:t>
      </w:r>
      <w:r>
        <w:rPr>
          <w:rFonts w:hint="eastAsia" w:ascii="仿宋_GB2312" w:hAnsi="仿宋" w:eastAsia="仿宋_GB2312" w:cs="仿宋_GB2312"/>
          <w:sz w:val="32"/>
          <w:szCs w:val="32"/>
        </w:rPr>
        <w:t>构建青岛市生态环境数据资源中心，整合环境质量、污染源、环境影响评价、“三线一单”、排污许可和执法等数据资源，</w:t>
      </w:r>
      <w:r>
        <w:rPr>
          <w:rFonts w:eastAsia="仿宋_GB2312"/>
          <w:sz w:val="32"/>
          <w:szCs w:val="32"/>
        </w:rPr>
        <w:t>建立健全大数据辅助决策长效机制，持续提升</w:t>
      </w:r>
      <w:r>
        <w:rPr>
          <w:rFonts w:hint="eastAsia" w:ascii="仿宋_GB2312" w:hAnsi="仿宋" w:eastAsia="仿宋_GB2312" w:cs="仿宋_GB2312"/>
          <w:sz w:val="32"/>
          <w:szCs w:val="32"/>
        </w:rPr>
        <w:t>实时感知、智</w:t>
      </w:r>
      <w:r>
        <w:rPr>
          <w:rFonts w:eastAsia="仿宋_GB2312"/>
          <w:sz w:val="32"/>
          <w:szCs w:val="32"/>
        </w:rPr>
        <w:t>能预警、精准溯源、协同管理的生态环境智慧治理能力</w:t>
      </w:r>
      <w:r>
        <w:rPr>
          <w:rFonts w:hint="eastAsia" w:ascii="仿宋_GB2312" w:hAnsi="仿宋" w:eastAsia="仿宋_GB2312" w:cs="仿宋_GB2312"/>
          <w:sz w:val="32"/>
          <w:szCs w:val="32"/>
        </w:rPr>
        <w:t>。推动多部门数据平台共建共享，加强对“智慧环保”应用平台基础数据的支撑和调度。</w:t>
      </w:r>
      <w:r>
        <w:rPr>
          <w:rFonts w:hint="eastAsia" w:eastAsia="仿宋_GB2312"/>
          <w:sz w:val="32"/>
          <w:szCs w:val="32"/>
        </w:rPr>
        <w:t>运用数字技术推动山水林田湖草沙一体化保护和系统治理，完善自然资源三维立体“一张图”和国土空间基础信息平台，构建以数字孪生流域为核心的智慧水利体系。</w:t>
      </w:r>
      <w:r>
        <w:rPr>
          <w:rFonts w:hint="eastAsia" w:ascii="仿宋_GB2312" w:hAnsi="仿宋" w:eastAsia="仿宋_GB2312" w:cs="仿宋_GB2312"/>
          <w:sz w:val="32"/>
          <w:szCs w:val="32"/>
        </w:rPr>
        <w:t>全面启动“数字青岛2.0”建设，打造智慧城市标杆，争创省级首批五星级标杆城市，在市南区、崂山区、青岛西海岸新区探索开展全区域全领域数字化转型。</w:t>
      </w:r>
    </w:p>
    <w:p>
      <w:pPr>
        <w:adjustRightInd w:val="0"/>
        <w:snapToGrid w:val="0"/>
        <w:spacing w:line="560" w:lineRule="exact"/>
        <w:ind w:firstLine="643" w:firstLineChars="200"/>
        <w:rPr>
          <w:rFonts w:ascii="仿宋_GB2312" w:eastAsia="仿宋_GB2312"/>
          <w:bCs/>
          <w:sz w:val="32"/>
          <w:szCs w:val="32"/>
        </w:rPr>
      </w:pPr>
      <w:r>
        <w:rPr>
          <w:rFonts w:hint="eastAsia" w:ascii="仿宋_GB2312" w:hAnsi="仿宋" w:eastAsia="仿宋_GB2312" w:cs="Calibri"/>
          <w:b/>
          <w:sz w:val="32"/>
          <w:szCs w:val="32"/>
        </w:rPr>
        <w:t>强生态环境监管能力建设。</w:t>
      </w:r>
      <w:r>
        <w:rPr>
          <w:rFonts w:hint="eastAsia" w:ascii="仿宋_GB2312" w:eastAsia="仿宋_GB2312"/>
          <w:bCs/>
          <w:sz w:val="32"/>
          <w:szCs w:val="32"/>
        </w:rPr>
        <w:t>加强生态环境领域立法。以生态环境保护综合行政执法改革为动力，推动生态环境行政执法机构规范化建设提档升级。创新推行生态环境执法监管模式，依托在线监测、用电监控等平台系统开展线上“云执法”。</w:t>
      </w:r>
      <w:r>
        <w:rPr>
          <w:rFonts w:hint="eastAsia" w:eastAsia="仿宋_GB2312"/>
          <w:sz w:val="32"/>
          <w:szCs w:val="32"/>
        </w:rPr>
        <w:t>着力推进</w:t>
      </w:r>
      <w:r>
        <w:rPr>
          <w:rFonts w:eastAsia="仿宋_GB2312"/>
          <w:sz w:val="32"/>
          <w:szCs w:val="32"/>
        </w:rPr>
        <w:t>“</w:t>
      </w:r>
      <w:r>
        <w:rPr>
          <w:rFonts w:hint="eastAsia" w:eastAsia="仿宋_GB2312"/>
          <w:sz w:val="32"/>
          <w:szCs w:val="32"/>
        </w:rPr>
        <w:t>空天地海</w:t>
      </w:r>
      <w:r>
        <w:rPr>
          <w:rFonts w:eastAsia="仿宋_GB2312"/>
          <w:sz w:val="32"/>
          <w:szCs w:val="32"/>
        </w:rPr>
        <w:t>”</w:t>
      </w:r>
      <w:r>
        <w:rPr>
          <w:rFonts w:hint="eastAsia" w:eastAsia="仿宋_GB2312"/>
          <w:sz w:val="32"/>
          <w:szCs w:val="32"/>
        </w:rPr>
        <w:t>一体化监测网络建设，</w:t>
      </w:r>
      <w:r>
        <w:rPr>
          <w:rFonts w:hint="eastAsia" w:ascii="仿宋_GB2312" w:hAnsi="仿宋" w:eastAsia="仿宋_GB2312"/>
          <w:sz w:val="32"/>
          <w:szCs w:val="32"/>
        </w:rPr>
        <w:t>不断完善噪声、土壤、辐射等监测网络</w:t>
      </w:r>
      <w:r>
        <w:rPr>
          <w:rFonts w:hint="eastAsia" w:eastAsia="仿宋_GB2312"/>
          <w:sz w:val="32"/>
          <w:szCs w:val="32"/>
        </w:rPr>
        <w:t>。</w:t>
      </w:r>
      <w:r>
        <w:rPr>
          <w:rFonts w:hint="eastAsia" w:ascii="仿宋_GB2312" w:eastAsia="仿宋_GB2312"/>
          <w:bCs/>
          <w:sz w:val="32"/>
          <w:szCs w:val="32"/>
        </w:rPr>
        <w:t>强化装备现代化配置和人才队伍专业化培养，以“执法蓝”守护“生态绿”。与江苏省等建立跨省浒苔绿潮联防联控机制。</w:t>
      </w:r>
    </w:p>
    <w:p>
      <w:pPr>
        <w:adjustRightInd w:val="0"/>
        <w:snapToGrid w:val="0"/>
        <w:spacing w:line="560" w:lineRule="exact"/>
        <w:ind w:firstLine="643" w:firstLineChars="200"/>
        <w:rPr>
          <w:rFonts w:ascii="仿宋_GB2312" w:hAnsi="仿宋" w:eastAsia="仿宋_GB2312"/>
          <w:sz w:val="32"/>
          <w:szCs w:val="32"/>
          <w:lang w:val="zh-TW"/>
        </w:rPr>
      </w:pPr>
      <w:r>
        <w:rPr>
          <w:rFonts w:hint="eastAsia" w:ascii="仿宋_GB2312" w:hAnsi="仿宋" w:eastAsia="仿宋_GB2312"/>
          <w:b/>
          <w:sz w:val="32"/>
          <w:szCs w:val="32"/>
          <w:lang w:val="zh-TW"/>
        </w:rPr>
        <w:t>加强</w:t>
      </w:r>
      <w:r>
        <w:rPr>
          <w:rFonts w:hint="eastAsia" w:ascii="仿宋_GB2312" w:hAnsi="仿宋" w:eastAsia="仿宋_GB2312"/>
          <w:b/>
          <w:sz w:val="32"/>
          <w:szCs w:val="32"/>
        </w:rPr>
        <w:t>生态</w:t>
      </w:r>
      <w:r>
        <w:rPr>
          <w:rFonts w:hint="eastAsia" w:ascii="仿宋_GB2312" w:hAnsi="仿宋" w:eastAsia="仿宋_GB2312"/>
          <w:b/>
          <w:sz w:val="32"/>
          <w:szCs w:val="32"/>
          <w:lang w:val="zh-TW"/>
        </w:rPr>
        <w:t>环境科技支撑</w:t>
      </w:r>
      <w:r>
        <w:rPr>
          <w:rFonts w:hint="eastAsia" w:ascii="仿宋_GB2312" w:hAnsi="仿宋" w:eastAsia="仿宋_GB2312"/>
          <w:sz w:val="32"/>
          <w:szCs w:val="32"/>
          <w:lang w:val="zh-TW"/>
        </w:rPr>
        <w:t>。支持高校、科研院所、企业创建生态环境保护重点实验室、工程技术中心，推动关键环保技术产品自主创新与成果转化。引进或</w:t>
      </w:r>
      <w:r>
        <w:rPr>
          <w:rFonts w:hint="eastAsia" w:eastAsia="仿宋_GB2312"/>
          <w:sz w:val="32"/>
          <w:szCs w:val="32"/>
        </w:rPr>
        <w:t>培养一批环境科学、双碳、经济学、管理学等多学科复合型技术人才，吸引更多人才进入绿色低碳技术成果转化服务领域。</w:t>
      </w:r>
      <w:r>
        <w:rPr>
          <w:rFonts w:hint="eastAsia" w:ascii="仿宋_GB2312" w:hAnsi="仿宋" w:eastAsia="仿宋_GB2312"/>
          <w:sz w:val="32"/>
          <w:szCs w:val="32"/>
          <w:lang w:val="zh-TW"/>
        </w:rPr>
        <w:t>加强国内外交流合作，</w:t>
      </w:r>
      <w:r>
        <w:rPr>
          <w:rFonts w:hint="eastAsia" w:eastAsia="仿宋_GB2312"/>
          <w:sz w:val="32"/>
          <w:szCs w:val="32"/>
        </w:rPr>
        <w:t>强化前沿性颠覆性技术创新研究，</w:t>
      </w:r>
      <w:r>
        <w:rPr>
          <w:rFonts w:hint="eastAsia" w:ascii="仿宋_GB2312" w:hAnsi="仿宋" w:eastAsia="仿宋_GB2312"/>
          <w:sz w:val="32"/>
          <w:szCs w:val="32"/>
          <w:lang w:val="zh-TW"/>
        </w:rPr>
        <w:t>攻克一批环保产业关键技术，转化应用一批挥发性有机物治理、PM</w:t>
      </w:r>
      <w:r>
        <w:rPr>
          <w:rFonts w:hint="eastAsia" w:ascii="仿宋_GB2312" w:hAnsi="仿宋" w:eastAsia="仿宋_GB2312"/>
          <w:sz w:val="32"/>
          <w:szCs w:val="32"/>
          <w:vertAlign w:val="subscript"/>
          <w:lang w:val="zh-TW"/>
        </w:rPr>
        <w:t>2.5</w:t>
      </w:r>
      <w:r>
        <w:rPr>
          <w:rFonts w:hint="eastAsia" w:ascii="仿宋_GB2312" w:hAnsi="仿宋" w:eastAsia="仿宋_GB2312"/>
          <w:sz w:val="32"/>
          <w:szCs w:val="32"/>
          <w:lang w:val="zh-TW"/>
        </w:rPr>
        <w:t>与臭氧协同控制、小流域生态修复、土壤污染风险管控和修复、清洁煤燃烧、物联网监控等先进技术。</w:t>
      </w:r>
    </w:p>
    <w:p>
      <w:pPr>
        <w:pStyle w:val="2"/>
        <w:ind w:firstLine="210"/>
      </w:pPr>
    </w:p>
    <w:p>
      <w:pPr>
        <w:rPr>
          <w:rFonts w:ascii="仿宋_GB2312" w:hAnsi="仿宋" w:eastAsia="仿宋_GB2312"/>
          <w:sz w:val="32"/>
          <w:szCs w:val="32"/>
          <w:lang w:val="zh-TW"/>
        </w:rPr>
      </w:pPr>
      <w:r>
        <w:rPr>
          <w:rFonts w:hint="eastAsia" w:ascii="仿宋_GB2312" w:hAnsi="仿宋" w:eastAsia="仿宋_GB2312"/>
          <w:sz w:val="32"/>
          <w:szCs w:val="32"/>
          <w:lang w:val="zh-TW"/>
        </w:rPr>
        <w:br w:type="page"/>
      </w:r>
    </w:p>
    <w:bookmarkEnd w:id="60"/>
    <w:p>
      <w:pPr>
        <w:keepNext/>
        <w:keepLines/>
        <w:adjustRightInd w:val="0"/>
        <w:snapToGrid w:val="0"/>
        <w:spacing w:line="560" w:lineRule="exact"/>
        <w:outlineLvl w:val="0"/>
        <w:rPr>
          <w:rFonts w:ascii="等线" w:hAnsi="等线" w:eastAsia="黑体"/>
          <w:bCs/>
          <w:kern w:val="44"/>
          <w:sz w:val="32"/>
          <w:szCs w:val="48"/>
        </w:rPr>
      </w:pPr>
      <w:bookmarkStart w:id="64" w:name="_Toc133150313"/>
      <w:bookmarkStart w:id="65" w:name="_Toc28554"/>
      <w:r>
        <w:rPr>
          <w:rFonts w:hint="eastAsia" w:ascii="等线" w:hAnsi="等线" w:eastAsia="黑体"/>
          <w:bCs/>
          <w:kern w:val="44"/>
          <w:sz w:val="32"/>
          <w:szCs w:val="48"/>
        </w:rPr>
        <w:t>十、开放共赢，打造全球生态文明窗口之城</w:t>
      </w:r>
      <w:bookmarkEnd w:id="64"/>
      <w:bookmarkEnd w:id="65"/>
    </w:p>
    <w:p>
      <w:pPr>
        <w:adjustRightInd w:val="0"/>
        <w:snapToGrid w:val="0"/>
        <w:spacing w:line="560" w:lineRule="exact"/>
        <w:ind w:firstLine="640" w:firstLineChars="200"/>
        <w:rPr>
          <w:rFonts w:eastAsia="仿宋_GB2312"/>
          <w:sz w:val="32"/>
          <w:szCs w:val="36"/>
        </w:rPr>
      </w:pPr>
      <w:bookmarkStart w:id="66" w:name="_Hlk134521070"/>
      <w:bookmarkStart w:id="67" w:name="_Toc14314"/>
      <w:r>
        <w:rPr>
          <w:rFonts w:hint="eastAsia" w:eastAsia="仿宋_GB2312"/>
          <w:sz w:val="32"/>
          <w:szCs w:val="36"/>
        </w:rPr>
        <w:t>坚持高水平共建陆海新通道，</w:t>
      </w:r>
      <w:r>
        <w:rPr>
          <w:rFonts w:eastAsia="仿宋_GB2312"/>
          <w:sz w:val="32"/>
          <w:szCs w:val="36"/>
        </w:rPr>
        <w:t>突出龙头引领，发挥对外开放和绿色发展综合优势，构建全方位、多领域、高层次的深度融合绿色开放新格局</w:t>
      </w:r>
      <w:r>
        <w:rPr>
          <w:rFonts w:hint="eastAsia" w:eastAsia="仿宋_GB2312"/>
          <w:sz w:val="32"/>
          <w:szCs w:val="36"/>
        </w:rPr>
        <w:t>，为全球可持续发展提供青岛经验。</w:t>
      </w:r>
    </w:p>
    <w:p>
      <w:pPr>
        <w:keepNext/>
        <w:keepLines/>
        <w:adjustRightInd w:val="0"/>
        <w:snapToGrid w:val="0"/>
        <w:spacing w:line="560" w:lineRule="exact"/>
        <w:ind w:firstLine="643" w:firstLineChars="200"/>
        <w:outlineLvl w:val="1"/>
        <w:rPr>
          <w:rFonts w:eastAsia="楷体_GB2312"/>
          <w:b/>
          <w:bCs/>
          <w:sz w:val="32"/>
          <w:szCs w:val="32"/>
        </w:rPr>
      </w:pPr>
      <w:bookmarkStart w:id="68" w:name="_Toc19109"/>
      <w:bookmarkStart w:id="69" w:name="_Toc133150314"/>
      <w:r>
        <w:rPr>
          <w:rFonts w:hint="eastAsia" w:eastAsia="楷体_GB2312"/>
          <w:b/>
          <w:bCs/>
          <w:sz w:val="32"/>
          <w:szCs w:val="32"/>
        </w:rPr>
        <w:t>（一）推进绿色发展合作共赢</w:t>
      </w:r>
      <w:bookmarkEnd w:id="68"/>
      <w:bookmarkEnd w:id="69"/>
    </w:p>
    <w:p>
      <w:pPr>
        <w:adjustRightInd w:val="0"/>
        <w:snapToGrid w:val="0"/>
        <w:spacing w:line="560" w:lineRule="exact"/>
        <w:ind w:firstLine="643" w:firstLineChars="200"/>
        <w:rPr>
          <w:rFonts w:eastAsia="仿宋_GB2312"/>
          <w:b/>
          <w:bCs/>
          <w:sz w:val="32"/>
          <w:szCs w:val="36"/>
        </w:rPr>
      </w:pPr>
      <w:r>
        <w:rPr>
          <w:rFonts w:eastAsia="仿宋_GB2312"/>
          <w:b/>
          <w:bCs/>
          <w:sz w:val="32"/>
          <w:szCs w:val="36"/>
        </w:rPr>
        <w:t>深度融入共建“一带一路”绿色发展</w:t>
      </w:r>
      <w:r>
        <w:rPr>
          <w:rFonts w:hint="eastAsia" w:eastAsia="仿宋_GB2312"/>
          <w:b/>
          <w:bCs/>
          <w:sz w:val="32"/>
          <w:szCs w:val="36"/>
        </w:rPr>
        <w:t>。</w:t>
      </w:r>
      <w:r>
        <w:rPr>
          <w:rFonts w:eastAsia="仿宋_GB2312"/>
          <w:sz w:val="32"/>
          <w:szCs w:val="36"/>
        </w:rPr>
        <w:t>发挥上合示范区作用，深化与沿线国家在绿色基础设施、绿色能源、绿色交通等领域的投资合作，鼓励企业在沿线国家开展绿色装备制造、绿色循环建设项目等合作共建，积极</w:t>
      </w:r>
      <w:r>
        <w:rPr>
          <w:rFonts w:eastAsia="仿宋_GB2312"/>
          <w:sz w:val="32"/>
          <w:szCs w:val="30"/>
        </w:rPr>
        <w:t>推进</w:t>
      </w:r>
      <w:r>
        <w:rPr>
          <w:rFonts w:eastAsia="仿宋_GB2312"/>
          <w:sz w:val="32"/>
          <w:szCs w:val="36"/>
        </w:rPr>
        <w:t>国际海运低碳发展，争取境外经贸合作区绿色发展试点。积极参与</w:t>
      </w:r>
      <w:r>
        <w:rPr>
          <w:rFonts w:hint="eastAsia" w:eastAsia="仿宋_GB2312"/>
          <w:sz w:val="32"/>
          <w:szCs w:val="36"/>
        </w:rPr>
        <w:t>推动</w:t>
      </w:r>
      <w:r>
        <w:rPr>
          <w:rFonts w:eastAsia="仿宋_GB2312"/>
          <w:sz w:val="32"/>
          <w:szCs w:val="36"/>
        </w:rPr>
        <w:t>区域全面经济伙伴关系协定（RCEP）</w:t>
      </w:r>
      <w:r>
        <w:rPr>
          <w:rFonts w:hint="eastAsia" w:eastAsia="仿宋_GB2312"/>
          <w:sz w:val="32"/>
          <w:szCs w:val="36"/>
        </w:rPr>
        <w:t>实施，</w:t>
      </w:r>
      <w:r>
        <w:rPr>
          <w:rFonts w:eastAsia="仿宋_GB2312"/>
          <w:sz w:val="32"/>
          <w:szCs w:val="36"/>
        </w:rPr>
        <w:t>加强与日韩在节能环保、新能源、海洋保护</w:t>
      </w:r>
      <w:r>
        <w:rPr>
          <w:rFonts w:hint="eastAsia" w:eastAsia="仿宋_GB2312"/>
          <w:sz w:val="32"/>
          <w:szCs w:val="36"/>
        </w:rPr>
        <w:t>与</w:t>
      </w:r>
      <w:r>
        <w:rPr>
          <w:rFonts w:eastAsia="仿宋_GB2312"/>
          <w:sz w:val="32"/>
          <w:szCs w:val="36"/>
        </w:rPr>
        <w:t>开发</w:t>
      </w:r>
      <w:r>
        <w:rPr>
          <w:rFonts w:hint="eastAsia" w:eastAsia="仿宋_GB2312"/>
          <w:sz w:val="32"/>
          <w:szCs w:val="36"/>
        </w:rPr>
        <w:t>和绿色细胞建设</w:t>
      </w:r>
      <w:r>
        <w:rPr>
          <w:rFonts w:eastAsia="仿宋_GB2312"/>
          <w:sz w:val="32"/>
          <w:szCs w:val="36"/>
        </w:rPr>
        <w:t>等领域技术交流合作。精准对接绿色贸易节点建设、</w:t>
      </w:r>
      <w:r>
        <w:rPr>
          <w:rFonts w:hint="eastAsia" w:eastAsia="仿宋_GB2312"/>
          <w:sz w:val="32"/>
          <w:szCs w:val="36"/>
        </w:rPr>
        <w:t>工业绿色转型</w:t>
      </w:r>
      <w:r>
        <w:rPr>
          <w:rFonts w:eastAsia="仿宋_GB2312"/>
          <w:sz w:val="32"/>
          <w:szCs w:val="36"/>
        </w:rPr>
        <w:t>、多双边绿色科技合作等需求，推进与欧洲、中西亚、非洲等国际合作，加强与港澳台交流合作</w:t>
      </w:r>
      <w:r>
        <w:rPr>
          <w:rFonts w:hint="eastAsia" w:eastAsia="仿宋_GB2312"/>
          <w:sz w:val="32"/>
          <w:szCs w:val="36"/>
        </w:rPr>
        <w:t>，为</w:t>
      </w:r>
      <w:r>
        <w:rPr>
          <w:rFonts w:eastAsia="仿宋_GB2312"/>
          <w:sz w:val="32"/>
          <w:szCs w:val="36"/>
        </w:rPr>
        <w:t>协同</w:t>
      </w:r>
      <w:r>
        <w:rPr>
          <w:rFonts w:hint="eastAsia" w:eastAsia="仿宋_GB2312"/>
          <w:sz w:val="32"/>
          <w:szCs w:val="36"/>
        </w:rPr>
        <w:t>打造</w:t>
      </w:r>
      <w:r>
        <w:rPr>
          <w:rFonts w:eastAsia="仿宋_GB2312"/>
          <w:sz w:val="32"/>
          <w:szCs w:val="36"/>
        </w:rPr>
        <w:t>新亚欧大陆桥东方桥头堡</w:t>
      </w:r>
      <w:r>
        <w:rPr>
          <w:rFonts w:hint="eastAsia" w:eastAsia="仿宋_GB2312"/>
          <w:sz w:val="32"/>
          <w:szCs w:val="36"/>
        </w:rPr>
        <w:t>、建设</w:t>
      </w:r>
      <w:r>
        <w:rPr>
          <w:rFonts w:eastAsia="仿宋_GB2312"/>
          <w:sz w:val="32"/>
          <w:szCs w:val="36"/>
        </w:rPr>
        <w:t>“一带一路”综合枢纽城市</w:t>
      </w:r>
      <w:r>
        <w:rPr>
          <w:rFonts w:hint="eastAsia" w:eastAsia="仿宋_GB2312"/>
          <w:sz w:val="32"/>
          <w:szCs w:val="36"/>
        </w:rPr>
        <w:t>提供绿色生态支撑</w:t>
      </w:r>
      <w:r>
        <w:rPr>
          <w:rFonts w:eastAsia="仿宋_GB2312"/>
          <w:sz w:val="32"/>
          <w:szCs w:val="36"/>
        </w:rPr>
        <w:t>。</w:t>
      </w:r>
    </w:p>
    <w:p>
      <w:pPr>
        <w:adjustRightInd w:val="0"/>
        <w:snapToGrid w:val="0"/>
        <w:spacing w:line="560" w:lineRule="exact"/>
        <w:ind w:firstLine="643" w:firstLineChars="200"/>
        <w:rPr>
          <w:rFonts w:eastAsia="仿宋_GB2312"/>
          <w:sz w:val="32"/>
          <w:szCs w:val="36"/>
        </w:rPr>
      </w:pPr>
      <w:r>
        <w:rPr>
          <w:rFonts w:hint="eastAsia" w:eastAsia="仿宋_GB2312"/>
          <w:b/>
          <w:bCs/>
          <w:sz w:val="32"/>
          <w:szCs w:val="36"/>
        </w:rPr>
        <w:t>打造黄河流域绿色协同开放龙头。</w:t>
      </w:r>
      <w:r>
        <w:rPr>
          <w:rFonts w:eastAsia="仿宋_GB2312"/>
          <w:sz w:val="32"/>
          <w:szCs w:val="36"/>
        </w:rPr>
        <w:t>以绿色产业链协作和产业转移引领胶东经济圈协同开放创新，建设绿色共享、生态共富、国际知名的现代化青岛都市圈</w:t>
      </w:r>
      <w:r>
        <w:rPr>
          <w:rFonts w:hint="eastAsia" w:eastAsia="仿宋_GB2312"/>
          <w:sz w:val="32"/>
          <w:szCs w:val="36"/>
        </w:rPr>
        <w:t>。</w:t>
      </w:r>
      <w:r>
        <w:rPr>
          <w:rFonts w:eastAsia="仿宋_GB2312"/>
          <w:sz w:val="32"/>
          <w:szCs w:val="36"/>
        </w:rPr>
        <w:t>加强与黄河流域城市在绿色投资、绿色产业协作、生态文旅、生态保护与修复等领域的开放合作，引领黄河流域绿色低碳贸易创新发展。健全区域绿色合作机制</w:t>
      </w:r>
      <w:r>
        <w:rPr>
          <w:rFonts w:hint="eastAsia" w:eastAsia="仿宋_GB2312"/>
          <w:sz w:val="32"/>
          <w:szCs w:val="36"/>
        </w:rPr>
        <w:t>，</w:t>
      </w:r>
      <w:r>
        <w:rPr>
          <w:rFonts w:eastAsia="仿宋_GB2312"/>
          <w:sz w:val="32"/>
          <w:szCs w:val="36"/>
        </w:rPr>
        <w:t>以绿色低碳循环为导向，推动山东自贸试验区青岛片区</w:t>
      </w:r>
      <w:r>
        <w:rPr>
          <w:rFonts w:hint="eastAsia" w:eastAsia="仿宋_GB2312"/>
          <w:sz w:val="32"/>
          <w:szCs w:val="36"/>
        </w:rPr>
        <w:t>等</w:t>
      </w:r>
      <w:r>
        <w:rPr>
          <w:rFonts w:eastAsia="仿宋_GB2312"/>
          <w:sz w:val="32"/>
          <w:szCs w:val="36"/>
        </w:rPr>
        <w:t>与山东省、黄河流域开放平台联动发展，探索“双向飞地”、“共管园区”等跨城市、跨区域合作模式。</w:t>
      </w:r>
    </w:p>
    <w:p>
      <w:pPr>
        <w:keepNext/>
        <w:keepLines/>
        <w:adjustRightInd w:val="0"/>
        <w:snapToGrid w:val="0"/>
        <w:spacing w:line="560" w:lineRule="exact"/>
        <w:ind w:firstLine="643" w:firstLineChars="200"/>
        <w:outlineLvl w:val="1"/>
        <w:rPr>
          <w:rFonts w:eastAsia="楷体_GB2312"/>
          <w:b/>
          <w:bCs/>
          <w:sz w:val="32"/>
          <w:szCs w:val="32"/>
        </w:rPr>
      </w:pPr>
      <w:bookmarkStart w:id="70" w:name="_Toc29502"/>
      <w:bookmarkStart w:id="71" w:name="_Toc133150315"/>
      <w:r>
        <w:rPr>
          <w:rFonts w:hint="eastAsia" w:eastAsia="楷体_GB2312"/>
          <w:b/>
          <w:bCs/>
          <w:sz w:val="32"/>
          <w:szCs w:val="32"/>
        </w:rPr>
        <w:t>（二）开拓绿色开放创新优势</w:t>
      </w:r>
      <w:bookmarkEnd w:id="70"/>
      <w:bookmarkEnd w:id="71"/>
    </w:p>
    <w:p>
      <w:pPr>
        <w:adjustRightInd w:val="0"/>
        <w:snapToGrid w:val="0"/>
        <w:spacing w:line="560" w:lineRule="exact"/>
        <w:ind w:firstLine="643" w:firstLineChars="200"/>
        <w:rPr>
          <w:rFonts w:eastAsia="仿宋_GB2312"/>
          <w:sz w:val="32"/>
          <w:szCs w:val="36"/>
        </w:rPr>
      </w:pPr>
      <w:r>
        <w:rPr>
          <w:rFonts w:eastAsia="仿宋_GB2312"/>
          <w:b/>
          <w:bCs/>
          <w:sz w:val="32"/>
          <w:szCs w:val="36"/>
        </w:rPr>
        <w:t>拓宽绿色合作交流模式。</w:t>
      </w:r>
      <w:r>
        <w:rPr>
          <w:rFonts w:eastAsia="仿宋_GB2312"/>
          <w:sz w:val="32"/>
          <w:szCs w:val="36"/>
        </w:rPr>
        <w:t>深化绿色低碳技术、装备、服务、基础设施等领域国际合作，推动绿色低碳领域重点产业、企业和机构深度参与全球产业链供应链重塑</w:t>
      </w:r>
      <w:r>
        <w:rPr>
          <w:rFonts w:hint="eastAsia" w:eastAsia="仿宋_GB2312"/>
          <w:sz w:val="32"/>
          <w:szCs w:val="36"/>
        </w:rPr>
        <w:t>。</w:t>
      </w:r>
      <w:r>
        <w:rPr>
          <w:rFonts w:eastAsia="仿宋_GB2312"/>
          <w:sz w:val="32"/>
          <w:szCs w:val="36"/>
        </w:rPr>
        <w:t>率先开展绿色贸易规则衔接，探索制定高耗能高排放出口产品清单。以生态效益为导向拓展外商投资开放领域，结合新旧动能转换，鼓励外商投资绿色低碳循环发展、生态环境治理、数字化绿色化协同转型等行业和领域。依托山水林田海岛湾等特色自然生态资源和对外开放综合优势，以生态康养、生态科普研学、海洋观光、生态文化等为重点，加强国际</w:t>
      </w:r>
      <w:r>
        <w:rPr>
          <w:rFonts w:hint="eastAsia" w:eastAsia="仿宋_GB2312"/>
          <w:sz w:val="32"/>
          <w:szCs w:val="36"/>
        </w:rPr>
        <w:t>文旅</w:t>
      </w:r>
      <w:r>
        <w:rPr>
          <w:rFonts w:eastAsia="仿宋_GB2312"/>
          <w:sz w:val="32"/>
          <w:szCs w:val="36"/>
        </w:rPr>
        <w:t>合作。</w:t>
      </w:r>
    </w:p>
    <w:p>
      <w:pPr>
        <w:adjustRightInd w:val="0"/>
        <w:snapToGrid w:val="0"/>
        <w:spacing w:line="560" w:lineRule="exact"/>
        <w:ind w:firstLine="643" w:firstLineChars="200"/>
        <w:rPr>
          <w:rFonts w:eastAsia="仿宋_GB2312"/>
          <w:sz w:val="32"/>
          <w:szCs w:val="36"/>
        </w:rPr>
      </w:pPr>
      <w:r>
        <w:rPr>
          <w:rFonts w:eastAsia="仿宋_GB2312"/>
          <w:b/>
          <w:bCs/>
          <w:sz w:val="32"/>
          <w:szCs w:val="36"/>
        </w:rPr>
        <w:t>搭建高质量国际合作平台。</w:t>
      </w:r>
      <w:r>
        <w:rPr>
          <w:rFonts w:eastAsia="仿宋_GB2312"/>
          <w:sz w:val="32"/>
          <w:szCs w:val="36"/>
        </w:rPr>
        <w:t>依托上合示范区、自贸试验区等开放平台，以绿色环保战略性新兴产业及其与新一代信息技术融合创新为重点，探索搭建环保科技和产业交流发展平台。依托“国际客厅”、</w:t>
      </w:r>
      <w:r>
        <w:rPr>
          <w:rFonts w:hint="eastAsia" w:eastAsia="仿宋_GB2312"/>
          <w:sz w:val="32"/>
          <w:szCs w:val="36"/>
        </w:rPr>
        <w:t>中德生态园、</w:t>
      </w:r>
      <w:r>
        <w:rPr>
          <w:rFonts w:eastAsia="仿宋_GB2312"/>
          <w:sz w:val="32"/>
          <w:szCs w:val="36"/>
        </w:rPr>
        <w:t>中日（青岛）地方发展合作示范区等合作平台建设，打造高端生态智慧园区</w:t>
      </w:r>
      <w:r>
        <w:rPr>
          <w:rFonts w:hint="eastAsia" w:eastAsia="仿宋_GB2312"/>
          <w:sz w:val="32"/>
          <w:szCs w:val="36"/>
        </w:rPr>
        <w:t>、零碳园区青岛样板</w:t>
      </w:r>
      <w:r>
        <w:rPr>
          <w:rFonts w:eastAsia="仿宋_GB2312"/>
          <w:sz w:val="32"/>
          <w:szCs w:val="36"/>
        </w:rPr>
        <w:t>。加强农业“国际客厅”核心区建设，建设农业对外合作交流新平台。搭建绿色金融跨国合作平台。积极参与“蓝色伙伴关系”建设，推动全球海洋生态环境组织、行业协会、研究机构等来青落户或设立分支机构，打造海洋领域国际生态环境合作平台集聚区。支持世界高水平科研机构、高校在青岛建设或共建生态环境实验室。鼓励在全球绿色技术优势地区、生态资源禀赋相似地区建设“科研飞地”。</w:t>
      </w:r>
    </w:p>
    <w:p>
      <w:pPr>
        <w:keepNext/>
        <w:keepLines/>
        <w:adjustRightInd w:val="0"/>
        <w:snapToGrid w:val="0"/>
        <w:spacing w:line="560" w:lineRule="exact"/>
        <w:ind w:firstLine="643" w:firstLineChars="200"/>
        <w:outlineLvl w:val="1"/>
        <w:rPr>
          <w:rFonts w:eastAsia="楷体_GB2312"/>
          <w:b/>
          <w:bCs/>
          <w:sz w:val="32"/>
          <w:szCs w:val="32"/>
        </w:rPr>
      </w:pPr>
      <w:bookmarkStart w:id="72" w:name="_Toc133150316"/>
      <w:bookmarkStart w:id="73" w:name="_Toc30251"/>
      <w:r>
        <w:rPr>
          <w:rFonts w:hint="eastAsia" w:eastAsia="楷体_GB2312"/>
          <w:b/>
          <w:bCs/>
          <w:sz w:val="32"/>
          <w:szCs w:val="32"/>
        </w:rPr>
        <w:t>（三）共建生态文明展示窗口</w:t>
      </w:r>
      <w:bookmarkEnd w:id="72"/>
      <w:bookmarkEnd w:id="73"/>
    </w:p>
    <w:p>
      <w:pPr>
        <w:adjustRightInd w:val="0"/>
        <w:snapToGrid w:val="0"/>
        <w:spacing w:line="560" w:lineRule="exact"/>
        <w:ind w:firstLine="640" w:firstLineChars="200"/>
        <w:rPr>
          <w:rFonts w:eastAsia="仿宋_GB2312"/>
          <w:sz w:val="32"/>
          <w:szCs w:val="30"/>
        </w:rPr>
      </w:pPr>
      <w:r>
        <w:rPr>
          <w:rFonts w:hint="eastAsia" w:eastAsia="仿宋_GB2312"/>
          <w:sz w:val="32"/>
          <w:szCs w:val="30"/>
        </w:rPr>
        <w:t>积极参与国际生态环境标准和规则制定，提升青岛标准、青岛品牌和优势专利技术产品的国际影响力。深度参与全球可持续发展和生态环境治理，积极参与远洋、深海和极地环境研究和保护国际合作，</w:t>
      </w:r>
      <w:r>
        <w:rPr>
          <w:rFonts w:eastAsia="仿宋_GB2312"/>
          <w:sz w:val="32"/>
          <w:szCs w:val="30"/>
        </w:rPr>
        <w:t>探索</w:t>
      </w:r>
      <w:r>
        <w:rPr>
          <w:rFonts w:hint="eastAsia" w:eastAsia="仿宋_GB2312"/>
          <w:sz w:val="32"/>
          <w:szCs w:val="30"/>
        </w:rPr>
        <w:t>在</w:t>
      </w:r>
      <w:r>
        <w:rPr>
          <w:rFonts w:eastAsia="仿宋_GB2312"/>
          <w:sz w:val="32"/>
          <w:szCs w:val="30"/>
        </w:rPr>
        <w:t>绿色低碳循环发展、海洋生态环境保护、应对气候变化、生态系统保护修复等领域</w:t>
      </w:r>
      <w:r>
        <w:rPr>
          <w:rFonts w:hint="eastAsia" w:eastAsia="仿宋_GB2312"/>
          <w:sz w:val="32"/>
          <w:szCs w:val="30"/>
        </w:rPr>
        <w:t>引领</w:t>
      </w:r>
      <w:r>
        <w:rPr>
          <w:rFonts w:eastAsia="仿宋_GB2312"/>
          <w:sz w:val="32"/>
          <w:szCs w:val="30"/>
        </w:rPr>
        <w:t>示范</w:t>
      </w:r>
      <w:r>
        <w:rPr>
          <w:rFonts w:hint="eastAsia" w:eastAsia="仿宋_GB2312"/>
          <w:sz w:val="32"/>
          <w:szCs w:val="30"/>
        </w:rPr>
        <w:t>。统筹整合青岛节能环保展、全球海洋院所领导人会议、中国</w:t>
      </w:r>
      <w:r>
        <w:rPr>
          <w:rFonts w:eastAsia="仿宋_GB2312"/>
          <w:sz w:val="32"/>
          <w:szCs w:val="30"/>
        </w:rPr>
        <w:t>-</w:t>
      </w:r>
      <w:r>
        <w:rPr>
          <w:rFonts w:hint="eastAsia" w:eastAsia="仿宋_GB2312"/>
          <w:sz w:val="32"/>
          <w:szCs w:val="30"/>
        </w:rPr>
        <w:t>北欧可持续城市发展合作会议等论坛会展资源，积极承办生态环境领域国际性会议。利用多元渠道平台向国际国内宣传推广</w:t>
      </w:r>
      <w:r>
        <w:rPr>
          <w:rFonts w:eastAsia="仿宋_GB2312"/>
          <w:sz w:val="32"/>
          <w:szCs w:val="30"/>
        </w:rPr>
        <w:t>“</w:t>
      </w:r>
      <w:r>
        <w:rPr>
          <w:rFonts w:hint="eastAsia" w:eastAsia="仿宋_GB2312"/>
          <w:sz w:val="32"/>
          <w:szCs w:val="30"/>
        </w:rPr>
        <w:t>美丽青岛</w:t>
      </w:r>
      <w:r>
        <w:rPr>
          <w:rFonts w:eastAsia="仿宋_GB2312"/>
          <w:sz w:val="32"/>
          <w:szCs w:val="30"/>
        </w:rPr>
        <w:t>”</w:t>
      </w:r>
      <w:r>
        <w:rPr>
          <w:rFonts w:hint="eastAsia" w:eastAsia="仿宋_GB2312"/>
          <w:sz w:val="32"/>
          <w:szCs w:val="30"/>
        </w:rPr>
        <w:t>经验示范，为共建清洁美丽世界贡献青岛智慧。</w:t>
      </w:r>
    </w:p>
    <w:p>
      <w:pPr>
        <w:keepNext/>
        <w:keepLines/>
        <w:adjustRightInd w:val="0"/>
        <w:snapToGrid w:val="0"/>
        <w:spacing w:line="560" w:lineRule="exact"/>
        <w:outlineLvl w:val="0"/>
        <w:rPr>
          <w:rFonts w:ascii="等线" w:hAnsi="等线" w:eastAsia="黑体"/>
          <w:bCs/>
          <w:kern w:val="44"/>
          <w:sz w:val="32"/>
          <w:szCs w:val="48"/>
        </w:rPr>
      </w:pPr>
      <w:r>
        <w:br w:type="page"/>
      </w:r>
      <w:bookmarkEnd w:id="66"/>
      <w:bookmarkStart w:id="74" w:name="_Toc133150317"/>
      <w:r>
        <w:rPr>
          <w:rFonts w:hint="eastAsia" w:ascii="等线" w:hAnsi="等线" w:eastAsia="黑体"/>
          <w:bCs/>
          <w:kern w:val="44"/>
          <w:sz w:val="32"/>
          <w:szCs w:val="48"/>
        </w:rPr>
        <w:t>十一、保障措施</w:t>
      </w:r>
      <w:bookmarkEnd w:id="67"/>
      <w:bookmarkEnd w:id="74"/>
    </w:p>
    <w:p>
      <w:pPr>
        <w:keepNext/>
        <w:keepLines/>
        <w:adjustRightInd w:val="0"/>
        <w:snapToGrid w:val="0"/>
        <w:spacing w:line="560" w:lineRule="exact"/>
        <w:ind w:firstLine="643" w:firstLineChars="200"/>
        <w:outlineLvl w:val="1"/>
        <w:rPr>
          <w:rFonts w:eastAsia="楷体_GB2312"/>
          <w:b/>
          <w:bCs/>
          <w:sz w:val="32"/>
          <w:szCs w:val="32"/>
        </w:rPr>
      </w:pPr>
      <w:bookmarkStart w:id="75" w:name="_Toc133150318"/>
      <w:bookmarkStart w:id="76" w:name="_Toc4360"/>
      <w:r>
        <w:rPr>
          <w:rFonts w:hint="eastAsia" w:eastAsia="楷体_GB2312"/>
          <w:b/>
          <w:bCs/>
          <w:sz w:val="32"/>
          <w:szCs w:val="32"/>
        </w:rPr>
        <w:t>（一）加强组织领导</w:t>
      </w:r>
      <w:bookmarkEnd w:id="75"/>
      <w:bookmarkEnd w:id="76"/>
    </w:p>
    <w:p>
      <w:pPr>
        <w:adjustRightInd w:val="0"/>
        <w:snapToGrid w:val="0"/>
        <w:spacing w:line="560" w:lineRule="exact"/>
        <w:ind w:firstLine="640" w:firstLineChars="200"/>
        <w:rPr>
          <w:rFonts w:eastAsia="仿宋_GB2312"/>
          <w:sz w:val="32"/>
          <w:szCs w:val="30"/>
        </w:rPr>
      </w:pPr>
      <w:r>
        <w:rPr>
          <w:rFonts w:hint="eastAsia" w:eastAsia="仿宋_GB2312"/>
          <w:sz w:val="32"/>
          <w:szCs w:val="30"/>
        </w:rPr>
        <w:t>把党的领导始终贯穿于推动美丽青岛建设的全过程，成立由市委、市政府主要领导同志任组长，各市直部门领导参与的美丽青岛建设领导小组，统筹推进美丽青岛建设各项工作。领导小组办公室设在市生态环境局，负责组织实施具体工作，分解目标任务、建立推进机制、开展评估考核。</w:t>
      </w:r>
      <w:r>
        <w:rPr>
          <w:rFonts w:eastAsia="仿宋_GB2312"/>
          <w:sz w:val="32"/>
          <w:szCs w:val="32"/>
          <w:lang w:bidi="ar"/>
        </w:rPr>
        <w:t>各</w:t>
      </w:r>
      <w:r>
        <w:rPr>
          <w:rFonts w:hint="eastAsia" w:eastAsia="仿宋_GB2312"/>
          <w:sz w:val="32"/>
          <w:szCs w:val="30"/>
        </w:rPr>
        <w:t>市直</w:t>
      </w:r>
      <w:r>
        <w:rPr>
          <w:rFonts w:eastAsia="仿宋_GB2312"/>
          <w:sz w:val="32"/>
          <w:szCs w:val="32"/>
          <w:lang w:bidi="ar"/>
        </w:rPr>
        <w:t>部门</w:t>
      </w:r>
      <w:r>
        <w:rPr>
          <w:rFonts w:hint="eastAsia" w:eastAsia="仿宋_GB2312"/>
          <w:sz w:val="32"/>
          <w:szCs w:val="32"/>
          <w:lang w:bidi="ar"/>
        </w:rPr>
        <w:t>根据职责分工制定工作推进计划</w:t>
      </w:r>
      <w:r>
        <w:rPr>
          <w:rFonts w:hint="eastAsia" w:eastAsia="仿宋_GB2312"/>
          <w:sz w:val="32"/>
          <w:szCs w:val="30"/>
        </w:rPr>
        <w:t>。各区（市）编制实施美丽建设行动计划或实施方案，并将目标任务纳入国民经济和社会发展规划。以5年为周期开展规划纲要实施情况评估，评估结果向社会公布。对推动力度大、真抓实干、成效明显的区（市）、部门给予奖励支持。</w:t>
      </w:r>
    </w:p>
    <w:p>
      <w:pPr>
        <w:keepNext/>
        <w:keepLines/>
        <w:adjustRightInd w:val="0"/>
        <w:snapToGrid w:val="0"/>
        <w:spacing w:line="560" w:lineRule="exact"/>
        <w:ind w:firstLine="643" w:firstLineChars="200"/>
        <w:outlineLvl w:val="1"/>
        <w:rPr>
          <w:rFonts w:eastAsia="楷体_GB2312"/>
          <w:b/>
          <w:bCs/>
          <w:sz w:val="32"/>
          <w:szCs w:val="32"/>
        </w:rPr>
      </w:pPr>
      <w:bookmarkStart w:id="77" w:name="_Toc133150319"/>
      <w:bookmarkStart w:id="78" w:name="_Toc32154"/>
      <w:r>
        <w:rPr>
          <w:rFonts w:hint="eastAsia" w:eastAsia="楷体_GB2312"/>
          <w:b/>
          <w:bCs/>
          <w:sz w:val="32"/>
          <w:szCs w:val="32"/>
        </w:rPr>
        <w:t>（二）加大投入保障</w:t>
      </w:r>
      <w:bookmarkEnd w:id="77"/>
      <w:bookmarkEnd w:id="78"/>
    </w:p>
    <w:p>
      <w:pPr>
        <w:adjustRightInd w:val="0"/>
        <w:snapToGrid w:val="0"/>
        <w:spacing w:line="560" w:lineRule="exact"/>
        <w:ind w:firstLine="640" w:firstLineChars="200"/>
        <w:rPr>
          <w:rFonts w:eastAsia="仿宋_GB2312"/>
          <w:sz w:val="32"/>
          <w:szCs w:val="30"/>
        </w:rPr>
      </w:pPr>
      <w:r>
        <w:rPr>
          <w:rFonts w:hint="eastAsia" w:eastAsia="仿宋_GB2312"/>
          <w:sz w:val="32"/>
          <w:szCs w:val="30"/>
        </w:rPr>
        <w:t>按照财政事权与支出责任相匹配原则，落实美丽青岛建设支出责任。积极争取国家和山东省生态文明建设和生态环境保护资金支持。提升市级财政资金投入保障水平，各区（市）加强对美丽青岛建设重点领域、重大任务、重点项目的财政支持。创新投融资机制，拓宽融资渠道，综合运用土地、价格、产权、价值、保险、基金等多种方式，鼓励、引导和吸引社会资本参与美丽青岛建设，构建“政府引导、企业为主、社会参与”的多元化融资格局。</w:t>
      </w:r>
    </w:p>
    <w:p>
      <w:pPr>
        <w:keepNext/>
        <w:keepLines/>
        <w:adjustRightInd w:val="0"/>
        <w:snapToGrid w:val="0"/>
        <w:spacing w:line="560" w:lineRule="exact"/>
        <w:ind w:firstLine="643" w:firstLineChars="200"/>
        <w:outlineLvl w:val="1"/>
        <w:rPr>
          <w:rFonts w:eastAsia="楷体_GB2312"/>
          <w:b/>
          <w:bCs/>
          <w:sz w:val="32"/>
          <w:szCs w:val="32"/>
        </w:rPr>
      </w:pPr>
      <w:bookmarkStart w:id="79" w:name="_Toc133150320"/>
      <w:bookmarkStart w:id="80" w:name="_Toc19089"/>
      <w:r>
        <w:rPr>
          <w:rFonts w:hint="eastAsia" w:eastAsia="楷体_GB2312"/>
          <w:b/>
          <w:bCs/>
          <w:sz w:val="32"/>
          <w:szCs w:val="32"/>
        </w:rPr>
        <w:t>（三）创新试点示范</w:t>
      </w:r>
      <w:bookmarkEnd w:id="79"/>
      <w:bookmarkEnd w:id="80"/>
    </w:p>
    <w:p>
      <w:pPr>
        <w:adjustRightInd w:val="0"/>
        <w:snapToGrid w:val="0"/>
        <w:spacing w:line="560" w:lineRule="exact"/>
        <w:ind w:firstLine="640" w:firstLineChars="200"/>
        <w:rPr>
          <w:rFonts w:eastAsia="仿宋_GB2312"/>
          <w:sz w:val="32"/>
          <w:szCs w:val="30"/>
        </w:rPr>
      </w:pPr>
      <w:r>
        <w:rPr>
          <w:rFonts w:hint="eastAsia" w:eastAsia="仿宋_GB2312"/>
          <w:sz w:val="32"/>
          <w:szCs w:val="30"/>
        </w:rPr>
        <w:t>建立点线面共推的试点示范体系。深入推进国家生态文明建设示范区、“两山”实践创新基地、生态产品价值实现机制等试点建设，创新开展美丽城市、美丽乡村、美丽河湖、美丽海湾、美丽乡村、美丽园区、美丽庭院等美丽建设，形成各美其美、美美与共的美丽青岛建设格局。及时提炼总结美丽青岛建设的典型经验、做法、模式，积极向山东省、国家报送，争取在省级和国家级平台进行推广。</w:t>
      </w:r>
    </w:p>
    <w:p>
      <w:pPr>
        <w:keepNext/>
        <w:keepLines/>
        <w:adjustRightInd w:val="0"/>
        <w:snapToGrid w:val="0"/>
        <w:spacing w:line="560" w:lineRule="exact"/>
        <w:ind w:firstLine="643" w:firstLineChars="200"/>
        <w:outlineLvl w:val="1"/>
        <w:rPr>
          <w:rFonts w:eastAsia="楷体_GB2312"/>
          <w:b/>
          <w:bCs/>
          <w:sz w:val="32"/>
          <w:szCs w:val="32"/>
        </w:rPr>
      </w:pPr>
      <w:bookmarkStart w:id="81" w:name="_Toc25207"/>
      <w:bookmarkStart w:id="82" w:name="_Toc133150321"/>
      <w:r>
        <w:rPr>
          <w:rFonts w:hint="eastAsia" w:eastAsia="楷体_GB2312"/>
          <w:b/>
          <w:bCs/>
          <w:sz w:val="32"/>
          <w:szCs w:val="32"/>
        </w:rPr>
        <w:t>（四）</w:t>
      </w:r>
      <w:bookmarkEnd w:id="81"/>
      <w:bookmarkEnd w:id="82"/>
      <w:r>
        <w:rPr>
          <w:rFonts w:hint="eastAsia" w:eastAsia="楷体_GB2312"/>
          <w:b/>
          <w:bCs/>
          <w:sz w:val="32"/>
          <w:szCs w:val="32"/>
        </w:rPr>
        <w:t>强化宣传引导</w:t>
      </w:r>
    </w:p>
    <w:p>
      <w:pPr>
        <w:adjustRightInd w:val="0"/>
        <w:snapToGrid w:val="0"/>
        <w:spacing w:line="560" w:lineRule="exact"/>
        <w:ind w:firstLine="640" w:firstLineChars="200"/>
      </w:pPr>
      <w:r>
        <w:rPr>
          <w:rFonts w:hint="eastAsia" w:eastAsia="仿宋_GB2312"/>
          <w:sz w:val="32"/>
          <w:szCs w:val="30"/>
        </w:rPr>
        <w:t>充分借力各类媒体、各方平台，深入开展美丽青岛建设的重大举措、政策、行动和成效宣传。建立全社会深度参与模式，推动美丽青岛建设进机关、进企业、进校园、进社区、进农村、进家庭，凝聚强大建设合力，形成人人参与、人人享有的美丽建设局面。</w:t>
      </w:r>
    </w:p>
    <w:sectPr>
      <w:footerReference r:id="rId7"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DC87ADE-E089-47CB-9B8A-8B28E6862E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D6FF554-6873-4991-AB5D-67FA826B4964}"/>
  </w:font>
  <w:font w:name="等线">
    <w:panose1 w:val="02010600030101010101"/>
    <w:charset w:val="86"/>
    <w:family w:val="auto"/>
    <w:pitch w:val="default"/>
    <w:sig w:usb0="A00002BF" w:usb1="38CF7CFA" w:usb2="00000016" w:usb3="00000000" w:csb0="0004000F" w:csb1="00000000"/>
    <w:embedRegular r:id="rId3" w:fontKey="{C8E7DAC1-FA03-4812-8800-2385806701B0}"/>
  </w:font>
  <w:font w:name="仿宋_GB2312">
    <w:panose1 w:val="02010609030101010101"/>
    <w:charset w:val="86"/>
    <w:family w:val="modern"/>
    <w:pitch w:val="default"/>
    <w:sig w:usb0="00000001" w:usb1="080E0000" w:usb2="00000000" w:usb3="00000000" w:csb0="00040000" w:csb1="00000000"/>
    <w:embedRegular r:id="rId4" w:fontKey="{5907E65A-ED2A-4400-9576-F8CD80DA6044}"/>
  </w:font>
  <w:font w:name="等线 Light">
    <w:panose1 w:val="02010600030101010101"/>
    <w:charset w:val="86"/>
    <w:family w:val="auto"/>
    <w:pitch w:val="default"/>
    <w:sig w:usb0="A00002BF" w:usb1="38CF7CFA" w:usb2="00000016" w:usb3="00000000" w:csb0="0004000F" w:csb1="00000000"/>
    <w:embedRegular r:id="rId5" w:fontKey="{817B60DD-946B-41F1-8A86-BDB2F3D6B36A}"/>
  </w:font>
  <w:font w:name="方正小标宋_GBK">
    <w:panose1 w:val="03000509000000000000"/>
    <w:charset w:val="86"/>
    <w:family w:val="script"/>
    <w:pitch w:val="default"/>
    <w:sig w:usb0="00000001" w:usb1="080E0000" w:usb2="00000000" w:usb3="00000000" w:csb0="00040000" w:csb1="00000000"/>
    <w:embedRegular r:id="rId6" w:fontKey="{65A20612-5118-44A8-A655-E8405861C83B}"/>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embedRegular r:id="rId7" w:fontKey="{61F5EC7D-E6A2-4B54-AA04-581E4F822766}"/>
  </w:font>
  <w:font w:name="楷体_GB2312">
    <w:panose1 w:val="02010609030101010101"/>
    <w:charset w:val="86"/>
    <w:family w:val="modern"/>
    <w:pitch w:val="default"/>
    <w:sig w:usb0="00000001" w:usb1="080E0000" w:usb2="00000000" w:usb3="00000000" w:csb0="00040000" w:csb1="00000000"/>
    <w:embedRegular r:id="rId8" w:fontKey="{0942913F-93A3-4E45-8869-FC3F5584EDAB}"/>
  </w:font>
  <w:font w:name="仿宋">
    <w:panose1 w:val="02010609060101010101"/>
    <w:charset w:val="86"/>
    <w:family w:val="modern"/>
    <w:pitch w:val="default"/>
    <w:sig w:usb0="800002BF" w:usb1="38CF7CFA" w:usb2="00000016" w:usb3="00000000" w:csb0="00040001" w:csb1="00000000"/>
    <w:embedRegular r:id="rId9" w:fontKey="{B7116E0B-2390-42F0-ADCB-221B72A1A8D0}"/>
  </w:font>
  <w:font w:name="Helvetica">
    <w:panose1 w:val="020B0504020202030204"/>
    <w:charset w:val="00"/>
    <w:family w:val="swiss"/>
    <w:pitch w:val="default"/>
    <w:sig w:usb0="00000007" w:usb1="00000000" w:usb2="00000000" w:usb3="00000000" w:csb0="00000093" w:csb1="00000000"/>
    <w:embedRegular r:id="rId10" w:fontKey="{44E4CB79-036B-442E-81F6-38578A56CCCC}"/>
  </w:font>
  <w:font w:name="楷体">
    <w:panose1 w:val="02010609060101010101"/>
    <w:charset w:val="86"/>
    <w:family w:val="modern"/>
    <w:pitch w:val="default"/>
    <w:sig w:usb0="800002BF" w:usb1="38CF7CFA" w:usb2="00000016" w:usb3="00000000" w:csb0="00040001" w:csb1="00000000"/>
    <w:embedRegular r:id="rId11" w:fontKey="{E9FFD0FA-7C9E-48D3-86B4-CFB5C73CC0F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- 4 -</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9"/>
                            <w:ind w:firstLine="36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- 19 -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outside;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LtjuYI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FU0CZ1YYavjhx/fD/a/D&#10;z29sFu3pnM8p685RXuhfQx9To1TvbkF+8czCTSPsRl0jQtcoURG99DJ78HTA8RGk7N5BRXXENkAC&#10;6ms0EZDcYIROrdmfWqP6wCQdzi8uLuecSbqZvZydn88jtUzk41uHPrxRYFgMCo7U+IQtdrc+DKlj&#10;SixlYa3bNjW/tX8dEGY8Sdwj3YF46Mv+6EUJ1Z5UIAyzRD+JggbwK2cdzVHBLX0bztq3lnyIIzcG&#10;OAblGAgr6WHBA2dDeBOG0dw61JuGcEenr8mrtU5CoqkDhyNLmoxkxXGK4+g93Kes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91E0AAAAAIBAAAPAAAAAAAAAAEAIAAAACIAAABkcnMvZG93&#10;bnJldi54bWxQSwECFAAUAAAACACHTuJAAu2O5ggCAAABBAAADgAAAAAAAAABACAAAAAfAQAAZHJz&#10;L2Uyb0RvYy54bWxQSwUGAAAAAAYABgBZAQAAmQUAAAAA&#10;">
              <v:fill on="f" focussize="0,0"/>
              <v:stroke on="f"/>
              <v:imagedata o:title=""/>
              <o:lock v:ext="edit" aspectratio="f"/>
              <v:textbox inset="0mm,0mm,0mm,0mm" style="mso-fit-shape-to-text:t;">
                <w:txbxContent>
                  <w:p>
                    <w:pPr>
                      <w:pStyle w:val="9"/>
                      <w:ind w:firstLine="360"/>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- 19 -</w:t>
                    </w:r>
                    <w:r>
                      <w:rPr>
                        <w:rFonts w:hint="eastAsia" w:ascii="宋体" w:hAnsi="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pPr>
        <w:pStyle w:val="12"/>
      </w:pPr>
      <w:r>
        <w:rPr>
          <w:rStyle w:val="22"/>
        </w:rPr>
        <w:footnoteRef/>
      </w:r>
      <w:r>
        <w:t xml:space="preserve"> 2020</w:t>
      </w:r>
      <w:r>
        <w:rPr>
          <w:rFonts w:hint="eastAsia"/>
        </w:rPr>
        <w:t>年能耗强度为0.27吨标准煤/万元、碳排放强度为0</w:t>
      </w:r>
      <w:r>
        <w:t>.57</w:t>
      </w:r>
      <w:r>
        <w:rPr>
          <w:rFonts w:hint="eastAsia"/>
        </w:rPr>
        <w:t>吨C</w:t>
      </w:r>
      <w:r>
        <w:t>O</w:t>
      </w:r>
      <w:r>
        <w:rPr>
          <w:vertAlign w:val="subscript"/>
        </w:rPr>
        <w:t>2</w:t>
      </w:r>
      <w:r>
        <w:t>/</w:t>
      </w:r>
      <w:r>
        <w:rPr>
          <w:rFonts w:hint="eastAsia"/>
        </w:rPr>
        <w:t>万元G</w:t>
      </w:r>
      <w:r>
        <w:t>DP</w:t>
      </w:r>
      <w:r>
        <w:rPr>
          <w:rFonts w:hint="eastAsia"/>
        </w:rPr>
        <w:t>。</w:t>
      </w:r>
    </w:p>
  </w:footnote>
  <w:footnote w:id="1">
    <w:p>
      <w:pPr>
        <w:pStyle w:val="12"/>
      </w:pPr>
      <w:r>
        <w:rPr>
          <w:rStyle w:val="22"/>
        </w:rPr>
        <w:footnoteRef/>
      </w:r>
      <w:r>
        <w:rPr>
          <w:rFonts w:hint="eastAsia"/>
        </w:rPr>
        <w:t>环胶州湾、渤海湾及临河的污水处理厂主要指标要提标到地表水Ⅳ类标准，建成区城市黑臭水体和污水处理厂实现雨污合流管网清零</w:t>
      </w:r>
    </w:p>
  </w:footnote>
  <w:footnote w:id="2">
    <w:p>
      <w:pPr>
        <w:pStyle w:val="12"/>
        <w:ind w:firstLine="210"/>
      </w:pPr>
      <w:r>
        <w:rPr>
          <w:rStyle w:val="22"/>
        </w:rPr>
        <w:footnoteRef/>
      </w:r>
      <w:r>
        <w:rPr>
          <w:rFonts w:ascii="Helvetica" w:hAnsi="Helvetica"/>
          <w:color w:val="333333"/>
          <w:shd w:val="clear" w:color="auto" w:fill="FFFFFF"/>
        </w:rPr>
        <w:t>目前全市省级美丽幸福示范河湖数量累计达到23条（段）</w:t>
      </w:r>
      <w:r>
        <w:rPr>
          <w:rFonts w:hint="eastAsia"/>
        </w:rPr>
        <w:t>，2</w:t>
      </w:r>
      <w:r>
        <w:t>022年</w:t>
      </w:r>
      <w:r>
        <w:rPr>
          <w:rFonts w:hint="eastAsia"/>
        </w:rPr>
        <w:t>创建了6条。</w:t>
      </w:r>
    </w:p>
  </w:footnote>
  <w:footnote w:id="3">
    <w:p>
      <w:pPr>
        <w:pStyle w:val="12"/>
        <w:ind w:firstLine="640"/>
      </w:pPr>
      <w:r>
        <w:rPr>
          <w:rStyle w:val="22"/>
        </w:rPr>
        <w:footnoteRef/>
      </w:r>
      <w:r>
        <w:t xml:space="preserve"> </w:t>
      </w:r>
      <w:r>
        <w:rPr>
          <w:rFonts w:hint="eastAsia" w:ascii="仿宋_GB2312" w:eastAsia="仿宋_GB2312"/>
        </w:rPr>
        <w:t>“两高一低”指高耗能、高排放、低水平项目。</w:t>
      </w:r>
    </w:p>
  </w:footnote>
  <w:footnote w:id="4">
    <w:p>
      <w:pPr>
        <w:pStyle w:val="12"/>
        <w:ind w:firstLine="640"/>
      </w:pPr>
      <w:r>
        <w:rPr>
          <w:rStyle w:val="22"/>
        </w:rPr>
        <w:footnoteRef/>
      </w:r>
      <w:r>
        <w:t xml:space="preserve"> </w:t>
      </w:r>
      <w:r>
        <w:rPr>
          <w:rFonts w:hint="eastAsia" w:ascii="仿宋_GB2312" w:eastAsia="仿宋_GB2312"/>
        </w:rPr>
        <w:t>“五个减量替代”指产能、煤耗、能耗、碳排放、污染物排放“五个减量替代”。</w:t>
      </w:r>
    </w:p>
  </w:footnote>
  <w:footnote w:id="5">
    <w:p>
      <w:pPr>
        <w:pStyle w:val="12"/>
        <w:ind w:firstLine="640"/>
      </w:pPr>
      <w:r>
        <w:rPr>
          <w:rStyle w:val="22"/>
        </w:rPr>
        <w:footnoteRef/>
      </w:r>
      <w:r>
        <w:t xml:space="preserve"> </w:t>
      </w:r>
      <w:r>
        <w:rPr>
          <w:rFonts w:hint="eastAsia" w:ascii="仿宋_GB2312" w:eastAsia="仿宋_GB2312"/>
        </w:rPr>
        <w:t>西海岸新区、城阳区（含高新区）、胶州市、崂山区、莱西市</w:t>
      </w:r>
      <w:r>
        <w:rPr>
          <w:rFonts w:ascii="仿宋_GB2312" w:eastAsia="仿宋_GB2312"/>
        </w:rPr>
        <w:t>5</w:t>
      </w:r>
      <w:r>
        <w:rPr>
          <w:rFonts w:hint="eastAsia" w:ascii="仿宋_GB2312" w:eastAsia="仿宋_GB2312"/>
        </w:rPr>
        <w:t>大区域集聚板块与绿色节能建筑材料、环境监测装备、大气污染防治装备、水污染防治装备、新能源汽车关键零部件等</w:t>
      </w:r>
      <w:r>
        <w:rPr>
          <w:rFonts w:ascii="仿宋_GB2312" w:eastAsia="仿宋_GB2312"/>
        </w:rPr>
        <w:t>N</w:t>
      </w:r>
      <w:r>
        <w:rPr>
          <w:rFonts w:hint="eastAsia" w:ascii="仿宋_GB2312" w:eastAsia="仿宋_GB2312"/>
        </w:rPr>
        <w:t>个优势细分领域产业集群。</w:t>
      </w:r>
    </w:p>
  </w:footnote>
  <w:footnote w:id="6">
    <w:p>
      <w:pPr>
        <w:pStyle w:val="12"/>
        <w:ind w:firstLine="640"/>
      </w:pPr>
      <w:r>
        <w:rPr>
          <w:rStyle w:val="22"/>
        </w:rPr>
        <w:footnoteRef/>
      </w:r>
      <w:r>
        <w:t xml:space="preserve"> </w:t>
      </w:r>
      <w:r>
        <w:rPr>
          <w:rFonts w:hint="eastAsia" w:ascii="楷体" w:hAnsi="楷体" w:eastAsia="楷体"/>
        </w:rPr>
        <w:t>可再生能源倍增计划、清洁能源替代计划、煤炭消费压减计划。</w:t>
      </w:r>
    </w:p>
  </w:footnote>
  <w:footnote w:id="7">
    <w:p>
      <w:pPr>
        <w:pStyle w:val="12"/>
      </w:pPr>
      <w:r>
        <w:rPr>
          <w:rStyle w:val="22"/>
        </w:rPr>
        <w:footnoteRef/>
      </w:r>
      <w:r>
        <w:t xml:space="preserve"> “一带三湾”指青岛世界级滨海魅力景观带，是城市生态和文化精华荟萃区，包括胶州湾城 市活力魅力滨海区，灵山湾西海岸休闲魅力滨海区、金口港-鳌山湾科技健康魅力滨海区。“一核”指青岛国家历史文化名城魅力核，是“红瓦绿树、碧海蓝天”城市特色的最核心区域</w:t>
      </w:r>
      <w:r>
        <w:rPr>
          <w:rFonts w:hint="eastAsia"/>
        </w:rPr>
        <w:t>。</w:t>
      </w:r>
      <w:r>
        <w:t>“三翼”指依托山体形成的山野文化魅力区，包括远郊区大泽山-大青山生态魅力区和近郊区 崂山生态景观魅力区、大小珠山生态魅力区。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16"/>
    <w:footnote w:id="1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ZlMTkwMzNjMGEwYzRlZjJkMTQ3ZjY1MjU0YzM0MGUifQ=="/>
  </w:docVars>
  <w:rsids>
    <w:rsidRoot w:val="00A77D8D"/>
    <w:rsid w:val="000004DC"/>
    <w:rsid w:val="00002348"/>
    <w:rsid w:val="00003021"/>
    <w:rsid w:val="000064EF"/>
    <w:rsid w:val="00011ABD"/>
    <w:rsid w:val="00021730"/>
    <w:rsid w:val="000261B9"/>
    <w:rsid w:val="00027913"/>
    <w:rsid w:val="0003483C"/>
    <w:rsid w:val="00036FC0"/>
    <w:rsid w:val="00050217"/>
    <w:rsid w:val="000506BF"/>
    <w:rsid w:val="00053EEF"/>
    <w:rsid w:val="0006103A"/>
    <w:rsid w:val="000633C0"/>
    <w:rsid w:val="0006374A"/>
    <w:rsid w:val="00063DD6"/>
    <w:rsid w:val="00067C09"/>
    <w:rsid w:val="000704AD"/>
    <w:rsid w:val="00071243"/>
    <w:rsid w:val="00073290"/>
    <w:rsid w:val="00075441"/>
    <w:rsid w:val="0007643C"/>
    <w:rsid w:val="00076872"/>
    <w:rsid w:val="00080A45"/>
    <w:rsid w:val="00080BDB"/>
    <w:rsid w:val="00081748"/>
    <w:rsid w:val="00082B21"/>
    <w:rsid w:val="00090819"/>
    <w:rsid w:val="000A3009"/>
    <w:rsid w:val="000A3905"/>
    <w:rsid w:val="000A6CFC"/>
    <w:rsid w:val="000C2515"/>
    <w:rsid w:val="000C2C52"/>
    <w:rsid w:val="000C7AEC"/>
    <w:rsid w:val="000D57AC"/>
    <w:rsid w:val="000E3C33"/>
    <w:rsid w:val="000E4527"/>
    <w:rsid w:val="000E5A69"/>
    <w:rsid w:val="000F085B"/>
    <w:rsid w:val="000F5945"/>
    <w:rsid w:val="00101B78"/>
    <w:rsid w:val="00105820"/>
    <w:rsid w:val="001102DA"/>
    <w:rsid w:val="001109A7"/>
    <w:rsid w:val="00113F15"/>
    <w:rsid w:val="00114569"/>
    <w:rsid w:val="00115CED"/>
    <w:rsid w:val="00117141"/>
    <w:rsid w:val="0012229D"/>
    <w:rsid w:val="00132A81"/>
    <w:rsid w:val="0014475F"/>
    <w:rsid w:val="00144B96"/>
    <w:rsid w:val="001535DB"/>
    <w:rsid w:val="00155F12"/>
    <w:rsid w:val="001605B6"/>
    <w:rsid w:val="001633FF"/>
    <w:rsid w:val="00164F24"/>
    <w:rsid w:val="00167698"/>
    <w:rsid w:val="00174653"/>
    <w:rsid w:val="001777D1"/>
    <w:rsid w:val="00182015"/>
    <w:rsid w:val="00187EAB"/>
    <w:rsid w:val="00190E7B"/>
    <w:rsid w:val="00193746"/>
    <w:rsid w:val="00193A94"/>
    <w:rsid w:val="001950D2"/>
    <w:rsid w:val="00195E6F"/>
    <w:rsid w:val="0019667C"/>
    <w:rsid w:val="001A4109"/>
    <w:rsid w:val="001A58A4"/>
    <w:rsid w:val="001B26A1"/>
    <w:rsid w:val="001B309F"/>
    <w:rsid w:val="001B42F6"/>
    <w:rsid w:val="001C0903"/>
    <w:rsid w:val="001C26A6"/>
    <w:rsid w:val="001C2CC6"/>
    <w:rsid w:val="001D1492"/>
    <w:rsid w:val="001D2B37"/>
    <w:rsid w:val="001D2F53"/>
    <w:rsid w:val="001D3204"/>
    <w:rsid w:val="001D32A3"/>
    <w:rsid w:val="001D6A5F"/>
    <w:rsid w:val="001E1DEF"/>
    <w:rsid w:val="001E4ECB"/>
    <w:rsid w:val="001E74FE"/>
    <w:rsid w:val="001E797E"/>
    <w:rsid w:val="001F6A3D"/>
    <w:rsid w:val="002016F5"/>
    <w:rsid w:val="00203912"/>
    <w:rsid w:val="00204E3B"/>
    <w:rsid w:val="00207DBE"/>
    <w:rsid w:val="00210076"/>
    <w:rsid w:val="00211167"/>
    <w:rsid w:val="00211CAA"/>
    <w:rsid w:val="00214DEF"/>
    <w:rsid w:val="00216172"/>
    <w:rsid w:val="00220F14"/>
    <w:rsid w:val="002214E0"/>
    <w:rsid w:val="002257E5"/>
    <w:rsid w:val="002326FD"/>
    <w:rsid w:val="00234CC8"/>
    <w:rsid w:val="00244B2B"/>
    <w:rsid w:val="00245F15"/>
    <w:rsid w:val="00251198"/>
    <w:rsid w:val="00251D37"/>
    <w:rsid w:val="00253F5B"/>
    <w:rsid w:val="00257849"/>
    <w:rsid w:val="00262240"/>
    <w:rsid w:val="00266196"/>
    <w:rsid w:val="00266443"/>
    <w:rsid w:val="0027634F"/>
    <w:rsid w:val="00276ACE"/>
    <w:rsid w:val="0028633C"/>
    <w:rsid w:val="00294D69"/>
    <w:rsid w:val="002A0A6D"/>
    <w:rsid w:val="002B3484"/>
    <w:rsid w:val="002C2B13"/>
    <w:rsid w:val="002C2F8B"/>
    <w:rsid w:val="002C34DA"/>
    <w:rsid w:val="002C5191"/>
    <w:rsid w:val="002C581B"/>
    <w:rsid w:val="002C7C78"/>
    <w:rsid w:val="002D1D80"/>
    <w:rsid w:val="002E21E1"/>
    <w:rsid w:val="002E4779"/>
    <w:rsid w:val="002F02C3"/>
    <w:rsid w:val="002F13AE"/>
    <w:rsid w:val="002F4E1B"/>
    <w:rsid w:val="002F5835"/>
    <w:rsid w:val="002F648A"/>
    <w:rsid w:val="002F7574"/>
    <w:rsid w:val="002F784E"/>
    <w:rsid w:val="002F7EB2"/>
    <w:rsid w:val="003017A4"/>
    <w:rsid w:val="00301CD3"/>
    <w:rsid w:val="00302DF2"/>
    <w:rsid w:val="00303CB6"/>
    <w:rsid w:val="00310FE1"/>
    <w:rsid w:val="00311287"/>
    <w:rsid w:val="0031217B"/>
    <w:rsid w:val="00312ED0"/>
    <w:rsid w:val="0032015B"/>
    <w:rsid w:val="00321ABC"/>
    <w:rsid w:val="0032578E"/>
    <w:rsid w:val="00326A61"/>
    <w:rsid w:val="00331D50"/>
    <w:rsid w:val="00335803"/>
    <w:rsid w:val="00336315"/>
    <w:rsid w:val="00342B37"/>
    <w:rsid w:val="003443D4"/>
    <w:rsid w:val="00352133"/>
    <w:rsid w:val="00353398"/>
    <w:rsid w:val="003555D8"/>
    <w:rsid w:val="00356EDA"/>
    <w:rsid w:val="0036181A"/>
    <w:rsid w:val="003619E9"/>
    <w:rsid w:val="003647DE"/>
    <w:rsid w:val="00367DB7"/>
    <w:rsid w:val="00367E4B"/>
    <w:rsid w:val="00371237"/>
    <w:rsid w:val="003719A6"/>
    <w:rsid w:val="00371B4C"/>
    <w:rsid w:val="00373AA4"/>
    <w:rsid w:val="00374A20"/>
    <w:rsid w:val="00380758"/>
    <w:rsid w:val="003874FE"/>
    <w:rsid w:val="00390365"/>
    <w:rsid w:val="0039080B"/>
    <w:rsid w:val="00393CE3"/>
    <w:rsid w:val="00394756"/>
    <w:rsid w:val="0039791F"/>
    <w:rsid w:val="003A0350"/>
    <w:rsid w:val="003A6644"/>
    <w:rsid w:val="003B03DB"/>
    <w:rsid w:val="003B43C8"/>
    <w:rsid w:val="003C05C8"/>
    <w:rsid w:val="003C3C3A"/>
    <w:rsid w:val="003D2E52"/>
    <w:rsid w:val="003D2E94"/>
    <w:rsid w:val="003E05DD"/>
    <w:rsid w:val="003E332C"/>
    <w:rsid w:val="003E4EBB"/>
    <w:rsid w:val="003E515D"/>
    <w:rsid w:val="003E569C"/>
    <w:rsid w:val="003E645A"/>
    <w:rsid w:val="003F3AF6"/>
    <w:rsid w:val="003F5D8B"/>
    <w:rsid w:val="003F65A7"/>
    <w:rsid w:val="003F6C44"/>
    <w:rsid w:val="0040129F"/>
    <w:rsid w:val="00404E52"/>
    <w:rsid w:val="00411802"/>
    <w:rsid w:val="004167BC"/>
    <w:rsid w:val="00417CFE"/>
    <w:rsid w:val="00420C5F"/>
    <w:rsid w:val="0042380B"/>
    <w:rsid w:val="00425499"/>
    <w:rsid w:val="00425ED3"/>
    <w:rsid w:val="00427F69"/>
    <w:rsid w:val="00430711"/>
    <w:rsid w:val="0043180A"/>
    <w:rsid w:val="00431B4C"/>
    <w:rsid w:val="004325C0"/>
    <w:rsid w:val="00433FC9"/>
    <w:rsid w:val="00434B4C"/>
    <w:rsid w:val="00435BEA"/>
    <w:rsid w:val="00450FD8"/>
    <w:rsid w:val="00453381"/>
    <w:rsid w:val="0045365F"/>
    <w:rsid w:val="004648AB"/>
    <w:rsid w:val="004661B3"/>
    <w:rsid w:val="0046652A"/>
    <w:rsid w:val="004711DA"/>
    <w:rsid w:val="0047143B"/>
    <w:rsid w:val="00473C0F"/>
    <w:rsid w:val="004748E8"/>
    <w:rsid w:val="004775DC"/>
    <w:rsid w:val="00483A08"/>
    <w:rsid w:val="00483C6D"/>
    <w:rsid w:val="00484203"/>
    <w:rsid w:val="00484D72"/>
    <w:rsid w:val="004854FC"/>
    <w:rsid w:val="004931ED"/>
    <w:rsid w:val="00493834"/>
    <w:rsid w:val="0049598F"/>
    <w:rsid w:val="00495A33"/>
    <w:rsid w:val="004A3B7F"/>
    <w:rsid w:val="004A4155"/>
    <w:rsid w:val="004A454A"/>
    <w:rsid w:val="004B6EAE"/>
    <w:rsid w:val="004C0FA7"/>
    <w:rsid w:val="004D329A"/>
    <w:rsid w:val="004D54D4"/>
    <w:rsid w:val="004E106F"/>
    <w:rsid w:val="004E125F"/>
    <w:rsid w:val="004E3DB4"/>
    <w:rsid w:val="004F1A6C"/>
    <w:rsid w:val="004F2CC3"/>
    <w:rsid w:val="0050457F"/>
    <w:rsid w:val="00505AF2"/>
    <w:rsid w:val="0050741D"/>
    <w:rsid w:val="0051312B"/>
    <w:rsid w:val="0051483A"/>
    <w:rsid w:val="0051577F"/>
    <w:rsid w:val="005216E3"/>
    <w:rsid w:val="00523274"/>
    <w:rsid w:val="0052495E"/>
    <w:rsid w:val="00525CEA"/>
    <w:rsid w:val="0053493B"/>
    <w:rsid w:val="00540247"/>
    <w:rsid w:val="005475EA"/>
    <w:rsid w:val="005518E9"/>
    <w:rsid w:val="0055195D"/>
    <w:rsid w:val="005550D8"/>
    <w:rsid w:val="00555B0F"/>
    <w:rsid w:val="0056117A"/>
    <w:rsid w:val="005660EB"/>
    <w:rsid w:val="00567FAB"/>
    <w:rsid w:val="005700CE"/>
    <w:rsid w:val="005804F7"/>
    <w:rsid w:val="00580DBA"/>
    <w:rsid w:val="005837DC"/>
    <w:rsid w:val="00584033"/>
    <w:rsid w:val="00585280"/>
    <w:rsid w:val="00586711"/>
    <w:rsid w:val="00591AF4"/>
    <w:rsid w:val="00593C1B"/>
    <w:rsid w:val="005B0192"/>
    <w:rsid w:val="005B161C"/>
    <w:rsid w:val="005B24D7"/>
    <w:rsid w:val="005B4A8E"/>
    <w:rsid w:val="005B58BD"/>
    <w:rsid w:val="005B5E76"/>
    <w:rsid w:val="005C2396"/>
    <w:rsid w:val="005C2776"/>
    <w:rsid w:val="005D2E79"/>
    <w:rsid w:val="005D3436"/>
    <w:rsid w:val="005D565D"/>
    <w:rsid w:val="005D5A62"/>
    <w:rsid w:val="005E33E7"/>
    <w:rsid w:val="005E33F8"/>
    <w:rsid w:val="005E3E36"/>
    <w:rsid w:val="005E6C86"/>
    <w:rsid w:val="005F30F7"/>
    <w:rsid w:val="005F515E"/>
    <w:rsid w:val="005F53D4"/>
    <w:rsid w:val="00604BCA"/>
    <w:rsid w:val="006107A1"/>
    <w:rsid w:val="00614544"/>
    <w:rsid w:val="00616EB2"/>
    <w:rsid w:val="006202B7"/>
    <w:rsid w:val="00621487"/>
    <w:rsid w:val="00624513"/>
    <w:rsid w:val="00631F21"/>
    <w:rsid w:val="00632DA6"/>
    <w:rsid w:val="00635D03"/>
    <w:rsid w:val="00652150"/>
    <w:rsid w:val="00654FCE"/>
    <w:rsid w:val="00657A0C"/>
    <w:rsid w:val="00663D01"/>
    <w:rsid w:val="00664566"/>
    <w:rsid w:val="00665653"/>
    <w:rsid w:val="00667248"/>
    <w:rsid w:val="006679A1"/>
    <w:rsid w:val="006706AE"/>
    <w:rsid w:val="00675FD7"/>
    <w:rsid w:val="0068124D"/>
    <w:rsid w:val="00682B45"/>
    <w:rsid w:val="00694428"/>
    <w:rsid w:val="006A7FC7"/>
    <w:rsid w:val="006C1A64"/>
    <w:rsid w:val="006D7DB3"/>
    <w:rsid w:val="006E1813"/>
    <w:rsid w:val="006E3DCF"/>
    <w:rsid w:val="006E3E48"/>
    <w:rsid w:val="006E4CEE"/>
    <w:rsid w:val="006F76B6"/>
    <w:rsid w:val="007101E4"/>
    <w:rsid w:val="0071068D"/>
    <w:rsid w:val="007179A6"/>
    <w:rsid w:val="007267B4"/>
    <w:rsid w:val="00733A31"/>
    <w:rsid w:val="0073791C"/>
    <w:rsid w:val="00740268"/>
    <w:rsid w:val="00755558"/>
    <w:rsid w:val="0075768D"/>
    <w:rsid w:val="00770CD3"/>
    <w:rsid w:val="00772ED5"/>
    <w:rsid w:val="0077412B"/>
    <w:rsid w:val="0078339B"/>
    <w:rsid w:val="0078411E"/>
    <w:rsid w:val="00785932"/>
    <w:rsid w:val="007869E9"/>
    <w:rsid w:val="00792E51"/>
    <w:rsid w:val="00793111"/>
    <w:rsid w:val="007974FA"/>
    <w:rsid w:val="007A1254"/>
    <w:rsid w:val="007A35F8"/>
    <w:rsid w:val="007B11D9"/>
    <w:rsid w:val="007B1F02"/>
    <w:rsid w:val="007B23D6"/>
    <w:rsid w:val="007B2AF4"/>
    <w:rsid w:val="007B58ED"/>
    <w:rsid w:val="007D5B1C"/>
    <w:rsid w:val="007E583C"/>
    <w:rsid w:val="007E5B1A"/>
    <w:rsid w:val="007F1874"/>
    <w:rsid w:val="007F2C5F"/>
    <w:rsid w:val="007F4845"/>
    <w:rsid w:val="007F6A1F"/>
    <w:rsid w:val="007F6E64"/>
    <w:rsid w:val="00800253"/>
    <w:rsid w:val="00805D1F"/>
    <w:rsid w:val="00814DBB"/>
    <w:rsid w:val="00815D9E"/>
    <w:rsid w:val="00816990"/>
    <w:rsid w:val="00820B43"/>
    <w:rsid w:val="00821700"/>
    <w:rsid w:val="00821A7B"/>
    <w:rsid w:val="008221F0"/>
    <w:rsid w:val="008227B0"/>
    <w:rsid w:val="008232BD"/>
    <w:rsid w:val="00823E57"/>
    <w:rsid w:val="00833452"/>
    <w:rsid w:val="00842BAA"/>
    <w:rsid w:val="0084593A"/>
    <w:rsid w:val="00851E11"/>
    <w:rsid w:val="008566A1"/>
    <w:rsid w:val="00866804"/>
    <w:rsid w:val="0088082A"/>
    <w:rsid w:val="0088136D"/>
    <w:rsid w:val="00883AC3"/>
    <w:rsid w:val="00883D47"/>
    <w:rsid w:val="00886001"/>
    <w:rsid w:val="00886E11"/>
    <w:rsid w:val="00890EFE"/>
    <w:rsid w:val="00892EB4"/>
    <w:rsid w:val="0089302E"/>
    <w:rsid w:val="008935F7"/>
    <w:rsid w:val="00893B7A"/>
    <w:rsid w:val="00897250"/>
    <w:rsid w:val="008A0688"/>
    <w:rsid w:val="008A5F14"/>
    <w:rsid w:val="008A7496"/>
    <w:rsid w:val="008B148F"/>
    <w:rsid w:val="008B1B7F"/>
    <w:rsid w:val="008B306A"/>
    <w:rsid w:val="008B41DB"/>
    <w:rsid w:val="008C2988"/>
    <w:rsid w:val="008C4E27"/>
    <w:rsid w:val="008D0FCE"/>
    <w:rsid w:val="008D1A18"/>
    <w:rsid w:val="008D7173"/>
    <w:rsid w:val="008E2CF9"/>
    <w:rsid w:val="008E4175"/>
    <w:rsid w:val="008E7177"/>
    <w:rsid w:val="008E71FD"/>
    <w:rsid w:val="00901C44"/>
    <w:rsid w:val="00902939"/>
    <w:rsid w:val="009049BC"/>
    <w:rsid w:val="00904C68"/>
    <w:rsid w:val="0090782F"/>
    <w:rsid w:val="0091484E"/>
    <w:rsid w:val="00925155"/>
    <w:rsid w:val="00926043"/>
    <w:rsid w:val="009329D3"/>
    <w:rsid w:val="009330BA"/>
    <w:rsid w:val="00937AB2"/>
    <w:rsid w:val="00941206"/>
    <w:rsid w:val="009459A0"/>
    <w:rsid w:val="0095338A"/>
    <w:rsid w:val="00953EFF"/>
    <w:rsid w:val="00967A57"/>
    <w:rsid w:val="00975BE6"/>
    <w:rsid w:val="0098489C"/>
    <w:rsid w:val="009920A8"/>
    <w:rsid w:val="009949DB"/>
    <w:rsid w:val="00994B5F"/>
    <w:rsid w:val="009975FC"/>
    <w:rsid w:val="009A1431"/>
    <w:rsid w:val="009B5A0F"/>
    <w:rsid w:val="009B6B0E"/>
    <w:rsid w:val="009C02C9"/>
    <w:rsid w:val="009C3D60"/>
    <w:rsid w:val="009C7B25"/>
    <w:rsid w:val="009D7253"/>
    <w:rsid w:val="009E2AD0"/>
    <w:rsid w:val="009E4189"/>
    <w:rsid w:val="009E46B3"/>
    <w:rsid w:val="009E4B6C"/>
    <w:rsid w:val="009F03CC"/>
    <w:rsid w:val="009F622C"/>
    <w:rsid w:val="00A02076"/>
    <w:rsid w:val="00A042DE"/>
    <w:rsid w:val="00A05BDF"/>
    <w:rsid w:val="00A0602B"/>
    <w:rsid w:val="00A0753F"/>
    <w:rsid w:val="00A17684"/>
    <w:rsid w:val="00A22B40"/>
    <w:rsid w:val="00A2354E"/>
    <w:rsid w:val="00A24E07"/>
    <w:rsid w:val="00A25A92"/>
    <w:rsid w:val="00A26F30"/>
    <w:rsid w:val="00A31098"/>
    <w:rsid w:val="00A41ADA"/>
    <w:rsid w:val="00A44299"/>
    <w:rsid w:val="00A44FBA"/>
    <w:rsid w:val="00A60033"/>
    <w:rsid w:val="00A610B3"/>
    <w:rsid w:val="00A61C32"/>
    <w:rsid w:val="00A63CF3"/>
    <w:rsid w:val="00A7215B"/>
    <w:rsid w:val="00A72893"/>
    <w:rsid w:val="00A73179"/>
    <w:rsid w:val="00A737B7"/>
    <w:rsid w:val="00A73CE8"/>
    <w:rsid w:val="00A74075"/>
    <w:rsid w:val="00A757AB"/>
    <w:rsid w:val="00A77D8D"/>
    <w:rsid w:val="00A82A2F"/>
    <w:rsid w:val="00A83F98"/>
    <w:rsid w:val="00A869F7"/>
    <w:rsid w:val="00AA3011"/>
    <w:rsid w:val="00AA631C"/>
    <w:rsid w:val="00AA63BD"/>
    <w:rsid w:val="00AA64E0"/>
    <w:rsid w:val="00AB7D6E"/>
    <w:rsid w:val="00AC3C08"/>
    <w:rsid w:val="00AC75B6"/>
    <w:rsid w:val="00AD1C1F"/>
    <w:rsid w:val="00AD54A6"/>
    <w:rsid w:val="00AE0295"/>
    <w:rsid w:val="00AE1A87"/>
    <w:rsid w:val="00AE2BD0"/>
    <w:rsid w:val="00AE73DC"/>
    <w:rsid w:val="00AF0B53"/>
    <w:rsid w:val="00AF1E90"/>
    <w:rsid w:val="00AF23BB"/>
    <w:rsid w:val="00AF2899"/>
    <w:rsid w:val="00AF6443"/>
    <w:rsid w:val="00AF7D58"/>
    <w:rsid w:val="00B00B91"/>
    <w:rsid w:val="00B0136C"/>
    <w:rsid w:val="00B1012D"/>
    <w:rsid w:val="00B1102F"/>
    <w:rsid w:val="00B12F5B"/>
    <w:rsid w:val="00B154B8"/>
    <w:rsid w:val="00B15790"/>
    <w:rsid w:val="00B16B2C"/>
    <w:rsid w:val="00B2067F"/>
    <w:rsid w:val="00B22CAE"/>
    <w:rsid w:val="00B24432"/>
    <w:rsid w:val="00B343AC"/>
    <w:rsid w:val="00B365EE"/>
    <w:rsid w:val="00B428FD"/>
    <w:rsid w:val="00B44D0F"/>
    <w:rsid w:val="00B46490"/>
    <w:rsid w:val="00B47AF9"/>
    <w:rsid w:val="00B5192F"/>
    <w:rsid w:val="00B52F79"/>
    <w:rsid w:val="00B54E06"/>
    <w:rsid w:val="00B67790"/>
    <w:rsid w:val="00B703A7"/>
    <w:rsid w:val="00B71B78"/>
    <w:rsid w:val="00B72914"/>
    <w:rsid w:val="00B7426A"/>
    <w:rsid w:val="00B75DCD"/>
    <w:rsid w:val="00B76494"/>
    <w:rsid w:val="00B8007A"/>
    <w:rsid w:val="00B81C47"/>
    <w:rsid w:val="00B83FAD"/>
    <w:rsid w:val="00B86E5E"/>
    <w:rsid w:val="00B93275"/>
    <w:rsid w:val="00B9758B"/>
    <w:rsid w:val="00B97650"/>
    <w:rsid w:val="00B97AE3"/>
    <w:rsid w:val="00BA3576"/>
    <w:rsid w:val="00BA39D1"/>
    <w:rsid w:val="00BA656C"/>
    <w:rsid w:val="00BA6E0B"/>
    <w:rsid w:val="00BA77EE"/>
    <w:rsid w:val="00BA7E95"/>
    <w:rsid w:val="00BB2CAC"/>
    <w:rsid w:val="00BB3CC5"/>
    <w:rsid w:val="00BB3E08"/>
    <w:rsid w:val="00BB45E8"/>
    <w:rsid w:val="00BC01B4"/>
    <w:rsid w:val="00BC3CE5"/>
    <w:rsid w:val="00BC43A8"/>
    <w:rsid w:val="00BD30C7"/>
    <w:rsid w:val="00BD3184"/>
    <w:rsid w:val="00BD37F6"/>
    <w:rsid w:val="00BD65A4"/>
    <w:rsid w:val="00BE11ED"/>
    <w:rsid w:val="00BE32A7"/>
    <w:rsid w:val="00BE46E2"/>
    <w:rsid w:val="00C00FA6"/>
    <w:rsid w:val="00C04203"/>
    <w:rsid w:val="00C13999"/>
    <w:rsid w:val="00C14B25"/>
    <w:rsid w:val="00C30867"/>
    <w:rsid w:val="00C36090"/>
    <w:rsid w:val="00C4156E"/>
    <w:rsid w:val="00C42FDB"/>
    <w:rsid w:val="00C45018"/>
    <w:rsid w:val="00C4539A"/>
    <w:rsid w:val="00C456FD"/>
    <w:rsid w:val="00C5056B"/>
    <w:rsid w:val="00C532B9"/>
    <w:rsid w:val="00C538FB"/>
    <w:rsid w:val="00C611A7"/>
    <w:rsid w:val="00C63C14"/>
    <w:rsid w:val="00C64E97"/>
    <w:rsid w:val="00C65746"/>
    <w:rsid w:val="00C65B10"/>
    <w:rsid w:val="00C73E3A"/>
    <w:rsid w:val="00C76B35"/>
    <w:rsid w:val="00C8123B"/>
    <w:rsid w:val="00C831B0"/>
    <w:rsid w:val="00C83C22"/>
    <w:rsid w:val="00C94B4C"/>
    <w:rsid w:val="00C94C7F"/>
    <w:rsid w:val="00CA0A4E"/>
    <w:rsid w:val="00CA2134"/>
    <w:rsid w:val="00CA36ED"/>
    <w:rsid w:val="00CA4CEF"/>
    <w:rsid w:val="00CC1A40"/>
    <w:rsid w:val="00CC7A0D"/>
    <w:rsid w:val="00CD0515"/>
    <w:rsid w:val="00CD5973"/>
    <w:rsid w:val="00CE72C6"/>
    <w:rsid w:val="00CF5034"/>
    <w:rsid w:val="00D018CF"/>
    <w:rsid w:val="00D033EB"/>
    <w:rsid w:val="00D04F9D"/>
    <w:rsid w:val="00D05268"/>
    <w:rsid w:val="00D05969"/>
    <w:rsid w:val="00D06CFF"/>
    <w:rsid w:val="00D1376A"/>
    <w:rsid w:val="00D13F66"/>
    <w:rsid w:val="00D20370"/>
    <w:rsid w:val="00D21394"/>
    <w:rsid w:val="00D2671B"/>
    <w:rsid w:val="00D31E6E"/>
    <w:rsid w:val="00D35FAD"/>
    <w:rsid w:val="00D446FD"/>
    <w:rsid w:val="00D45D78"/>
    <w:rsid w:val="00D46464"/>
    <w:rsid w:val="00D5078E"/>
    <w:rsid w:val="00D507E3"/>
    <w:rsid w:val="00D509C6"/>
    <w:rsid w:val="00D512C5"/>
    <w:rsid w:val="00D516AA"/>
    <w:rsid w:val="00D54296"/>
    <w:rsid w:val="00D55179"/>
    <w:rsid w:val="00D551E9"/>
    <w:rsid w:val="00D56DC9"/>
    <w:rsid w:val="00D64BC3"/>
    <w:rsid w:val="00D75C6D"/>
    <w:rsid w:val="00D77DAD"/>
    <w:rsid w:val="00D77F04"/>
    <w:rsid w:val="00D8252F"/>
    <w:rsid w:val="00D844D9"/>
    <w:rsid w:val="00D855A9"/>
    <w:rsid w:val="00D86927"/>
    <w:rsid w:val="00D922B5"/>
    <w:rsid w:val="00D9376A"/>
    <w:rsid w:val="00D975A8"/>
    <w:rsid w:val="00DA4D76"/>
    <w:rsid w:val="00DB0417"/>
    <w:rsid w:val="00DB076A"/>
    <w:rsid w:val="00DC1B6A"/>
    <w:rsid w:val="00DC38EE"/>
    <w:rsid w:val="00DD1D41"/>
    <w:rsid w:val="00DD258D"/>
    <w:rsid w:val="00DD2842"/>
    <w:rsid w:val="00DD2E94"/>
    <w:rsid w:val="00DD4D87"/>
    <w:rsid w:val="00DD67A0"/>
    <w:rsid w:val="00DE4470"/>
    <w:rsid w:val="00DF2E73"/>
    <w:rsid w:val="00DF544D"/>
    <w:rsid w:val="00E02C03"/>
    <w:rsid w:val="00E0532F"/>
    <w:rsid w:val="00E06DB0"/>
    <w:rsid w:val="00E116BA"/>
    <w:rsid w:val="00E2367B"/>
    <w:rsid w:val="00E26DE1"/>
    <w:rsid w:val="00E32FFD"/>
    <w:rsid w:val="00E35911"/>
    <w:rsid w:val="00E3655D"/>
    <w:rsid w:val="00E36DBF"/>
    <w:rsid w:val="00E37E96"/>
    <w:rsid w:val="00E402DF"/>
    <w:rsid w:val="00E43BCA"/>
    <w:rsid w:val="00E46786"/>
    <w:rsid w:val="00E46CB4"/>
    <w:rsid w:val="00E47BC4"/>
    <w:rsid w:val="00E6059D"/>
    <w:rsid w:val="00E648DB"/>
    <w:rsid w:val="00E64A2D"/>
    <w:rsid w:val="00E65088"/>
    <w:rsid w:val="00E666DB"/>
    <w:rsid w:val="00E66C6E"/>
    <w:rsid w:val="00E76E3D"/>
    <w:rsid w:val="00E779B5"/>
    <w:rsid w:val="00E834DA"/>
    <w:rsid w:val="00E8706E"/>
    <w:rsid w:val="00E90EAA"/>
    <w:rsid w:val="00E92E77"/>
    <w:rsid w:val="00E941F8"/>
    <w:rsid w:val="00E96EB7"/>
    <w:rsid w:val="00EA6365"/>
    <w:rsid w:val="00EB17D2"/>
    <w:rsid w:val="00EB270E"/>
    <w:rsid w:val="00EB38F1"/>
    <w:rsid w:val="00EB3DE7"/>
    <w:rsid w:val="00EB6F3B"/>
    <w:rsid w:val="00EC06A4"/>
    <w:rsid w:val="00EC14BB"/>
    <w:rsid w:val="00EC4723"/>
    <w:rsid w:val="00EC5623"/>
    <w:rsid w:val="00EC5FA1"/>
    <w:rsid w:val="00ED1E45"/>
    <w:rsid w:val="00ED4ED8"/>
    <w:rsid w:val="00ED5C10"/>
    <w:rsid w:val="00EE0041"/>
    <w:rsid w:val="00EE76D1"/>
    <w:rsid w:val="00EF3B54"/>
    <w:rsid w:val="00EF770E"/>
    <w:rsid w:val="00F03943"/>
    <w:rsid w:val="00F059D7"/>
    <w:rsid w:val="00F14041"/>
    <w:rsid w:val="00F17952"/>
    <w:rsid w:val="00F2022A"/>
    <w:rsid w:val="00F2029D"/>
    <w:rsid w:val="00F20B4C"/>
    <w:rsid w:val="00F22FCC"/>
    <w:rsid w:val="00F260DC"/>
    <w:rsid w:val="00F26215"/>
    <w:rsid w:val="00F319F7"/>
    <w:rsid w:val="00F34804"/>
    <w:rsid w:val="00F36421"/>
    <w:rsid w:val="00F3644B"/>
    <w:rsid w:val="00F40073"/>
    <w:rsid w:val="00F55353"/>
    <w:rsid w:val="00F564CF"/>
    <w:rsid w:val="00F575FE"/>
    <w:rsid w:val="00F65EB6"/>
    <w:rsid w:val="00F72B51"/>
    <w:rsid w:val="00F738C9"/>
    <w:rsid w:val="00F7487D"/>
    <w:rsid w:val="00F805C8"/>
    <w:rsid w:val="00F8065D"/>
    <w:rsid w:val="00F82372"/>
    <w:rsid w:val="00F932AF"/>
    <w:rsid w:val="00F96038"/>
    <w:rsid w:val="00F9736C"/>
    <w:rsid w:val="00FA0CA6"/>
    <w:rsid w:val="00FA7A90"/>
    <w:rsid w:val="00FA7CA6"/>
    <w:rsid w:val="00FB08C1"/>
    <w:rsid w:val="00FB1BE9"/>
    <w:rsid w:val="00FB26EC"/>
    <w:rsid w:val="00FB4DB1"/>
    <w:rsid w:val="00FC30CB"/>
    <w:rsid w:val="00FC4D4B"/>
    <w:rsid w:val="00FC573C"/>
    <w:rsid w:val="00FD0EA3"/>
    <w:rsid w:val="00FD4BF0"/>
    <w:rsid w:val="00FD5B04"/>
    <w:rsid w:val="00FE1BCF"/>
    <w:rsid w:val="00FE3733"/>
    <w:rsid w:val="00FE4EA0"/>
    <w:rsid w:val="00FF14EC"/>
    <w:rsid w:val="01510E5D"/>
    <w:rsid w:val="09171922"/>
    <w:rsid w:val="157E709D"/>
    <w:rsid w:val="17BE469E"/>
    <w:rsid w:val="185F7EDC"/>
    <w:rsid w:val="1AC7441E"/>
    <w:rsid w:val="26972AF8"/>
    <w:rsid w:val="2A174A5B"/>
    <w:rsid w:val="35E0764D"/>
    <w:rsid w:val="36241D65"/>
    <w:rsid w:val="36CC338E"/>
    <w:rsid w:val="39AD58C4"/>
    <w:rsid w:val="42240501"/>
    <w:rsid w:val="44E869B7"/>
    <w:rsid w:val="51585A1B"/>
    <w:rsid w:val="518634B0"/>
    <w:rsid w:val="5D5E4DB7"/>
    <w:rsid w:val="604E6419"/>
    <w:rsid w:val="64257173"/>
    <w:rsid w:val="650312E3"/>
    <w:rsid w:val="679C2B20"/>
    <w:rsid w:val="691931E5"/>
    <w:rsid w:val="6A527A52"/>
    <w:rsid w:val="6C691CB6"/>
    <w:rsid w:val="74F55055"/>
    <w:rsid w:val="7BA14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28"/>
    <w:qFormat/>
    <w:uiPriority w:val="9"/>
    <w:pPr>
      <w:keepNext/>
      <w:keepLines/>
      <w:spacing w:before="340" w:after="330" w:line="578" w:lineRule="auto"/>
      <w:outlineLvl w:val="0"/>
    </w:pPr>
    <w:rPr>
      <w:rFonts w:eastAsia="黑体"/>
      <w:bCs/>
      <w:kern w:val="44"/>
      <w:sz w:val="30"/>
      <w:szCs w:val="44"/>
    </w:rPr>
  </w:style>
  <w:style w:type="paragraph" w:styleId="5">
    <w:name w:val="heading 3"/>
    <w:basedOn w:val="1"/>
    <w:next w:val="1"/>
    <w:link w:val="45"/>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6"/>
    <w:unhideWhenUsed/>
    <w:qFormat/>
    <w:uiPriority w:val="99"/>
    <w:pPr>
      <w:ind w:firstLine="420" w:firstLineChars="100"/>
    </w:pPr>
  </w:style>
  <w:style w:type="paragraph" w:styleId="3">
    <w:name w:val="Body Text"/>
    <w:basedOn w:val="1"/>
    <w:link w:val="25"/>
    <w:semiHidden/>
    <w:unhideWhenUsed/>
    <w:qFormat/>
    <w:uiPriority w:val="99"/>
    <w:pPr>
      <w:spacing w:after="120"/>
    </w:pPr>
  </w:style>
  <w:style w:type="paragraph" w:styleId="6">
    <w:name w:val="annotation text"/>
    <w:basedOn w:val="1"/>
    <w:link w:val="34"/>
    <w:semiHidden/>
    <w:unhideWhenUsed/>
    <w:qFormat/>
    <w:uiPriority w:val="99"/>
    <w:pPr>
      <w:jc w:val="left"/>
    </w:pPr>
  </w:style>
  <w:style w:type="paragraph" w:styleId="7">
    <w:name w:val="toc 3"/>
    <w:basedOn w:val="1"/>
    <w:next w:val="1"/>
    <w:semiHidden/>
    <w:unhideWhenUsed/>
    <w:qFormat/>
    <w:uiPriority w:val="39"/>
    <w:pPr>
      <w:ind w:left="840" w:leftChars="400"/>
    </w:pPr>
  </w:style>
  <w:style w:type="paragraph" w:styleId="8">
    <w:name w:val="Balloon Text"/>
    <w:basedOn w:val="1"/>
    <w:link w:val="27"/>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29"/>
    <w:unhideWhenUsed/>
    <w:qFormat/>
    <w:uiPriority w:val="99"/>
    <w:pPr>
      <w:snapToGrid w:val="0"/>
      <w:jc w:val="left"/>
    </w:pPr>
    <w:rPr>
      <w:sz w:val="18"/>
      <w:szCs w:val="18"/>
    </w:rPr>
  </w:style>
  <w:style w:type="paragraph" w:styleId="13">
    <w:name w:val="toc 2"/>
    <w:basedOn w:val="1"/>
    <w:next w:val="1"/>
    <w:unhideWhenUsed/>
    <w:qFormat/>
    <w:uiPriority w:val="39"/>
    <w:pPr>
      <w:ind w:left="420" w:leftChars="200"/>
    </w:pPr>
  </w:style>
  <w:style w:type="paragraph" w:styleId="14">
    <w:name w:val="HTML Preformatted"/>
    <w:basedOn w:val="1"/>
    <w:link w:val="46"/>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6">
    <w:name w:val="annotation subject"/>
    <w:basedOn w:val="6"/>
    <w:next w:val="6"/>
    <w:link w:val="51"/>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styleId="22">
    <w:name w:val="footnote reference"/>
    <w:unhideWhenUsed/>
    <w:qFormat/>
    <w:uiPriority w:val="99"/>
    <w:rPr>
      <w:vertAlign w:val="superscript"/>
    </w:rPr>
  </w:style>
  <w:style w:type="character" w:customStyle="1" w:styleId="23">
    <w:name w:val="页眉 字符"/>
    <w:basedOn w:val="19"/>
    <w:link w:val="10"/>
    <w:qFormat/>
    <w:uiPriority w:val="99"/>
    <w:rPr>
      <w:sz w:val="18"/>
      <w:szCs w:val="18"/>
    </w:rPr>
  </w:style>
  <w:style w:type="character" w:customStyle="1" w:styleId="24">
    <w:name w:val="页脚 字符"/>
    <w:basedOn w:val="19"/>
    <w:link w:val="9"/>
    <w:qFormat/>
    <w:uiPriority w:val="99"/>
    <w:rPr>
      <w:sz w:val="18"/>
      <w:szCs w:val="18"/>
    </w:rPr>
  </w:style>
  <w:style w:type="character" w:customStyle="1" w:styleId="25">
    <w:name w:val="正文文本 字符"/>
    <w:basedOn w:val="19"/>
    <w:link w:val="3"/>
    <w:semiHidden/>
    <w:qFormat/>
    <w:uiPriority w:val="99"/>
    <w:rPr>
      <w:rFonts w:ascii="Times New Roman" w:hAnsi="Times New Roman" w:eastAsia="宋体" w:cs="Times New Roman"/>
    </w:rPr>
  </w:style>
  <w:style w:type="character" w:customStyle="1" w:styleId="26">
    <w:name w:val="正文文本首行缩进 字符"/>
    <w:basedOn w:val="25"/>
    <w:link w:val="2"/>
    <w:qFormat/>
    <w:uiPriority w:val="99"/>
    <w:rPr>
      <w:rFonts w:ascii="Times New Roman" w:hAnsi="Times New Roman" w:eastAsia="宋体" w:cs="Times New Roman"/>
    </w:rPr>
  </w:style>
  <w:style w:type="character" w:customStyle="1" w:styleId="27">
    <w:name w:val="批注框文本 字符"/>
    <w:basedOn w:val="19"/>
    <w:link w:val="8"/>
    <w:semiHidden/>
    <w:qFormat/>
    <w:uiPriority w:val="99"/>
    <w:rPr>
      <w:rFonts w:ascii="Times New Roman" w:hAnsi="Times New Roman" w:eastAsia="宋体" w:cs="Times New Roman"/>
      <w:sz w:val="18"/>
      <w:szCs w:val="18"/>
    </w:rPr>
  </w:style>
  <w:style w:type="character" w:customStyle="1" w:styleId="28">
    <w:name w:val="标题 1 字符"/>
    <w:basedOn w:val="19"/>
    <w:link w:val="4"/>
    <w:qFormat/>
    <w:uiPriority w:val="9"/>
    <w:rPr>
      <w:rFonts w:ascii="Times New Roman" w:hAnsi="Times New Roman" w:eastAsia="黑体" w:cs="Times New Roman"/>
      <w:bCs/>
      <w:kern w:val="44"/>
      <w:sz w:val="30"/>
      <w:szCs w:val="44"/>
    </w:rPr>
  </w:style>
  <w:style w:type="character" w:customStyle="1" w:styleId="29">
    <w:name w:val="脚注文本 字符"/>
    <w:basedOn w:val="19"/>
    <w:link w:val="12"/>
    <w:qFormat/>
    <w:uiPriority w:val="99"/>
    <w:rPr>
      <w:rFonts w:ascii="Times New Roman" w:hAnsi="Times New Roman" w:eastAsia="宋体" w:cs="Times New Roman"/>
      <w:sz w:val="18"/>
      <w:szCs w:val="18"/>
    </w:rPr>
  </w:style>
  <w:style w:type="paragraph" w:customStyle="1" w:styleId="30">
    <w:name w:val="公文正文"/>
    <w:basedOn w:val="1"/>
    <w:link w:val="31"/>
    <w:qFormat/>
    <w:uiPriority w:val="0"/>
    <w:rPr>
      <w:szCs w:val="32"/>
    </w:rPr>
  </w:style>
  <w:style w:type="character" w:customStyle="1" w:styleId="31">
    <w:name w:val="公文正文 字符"/>
    <w:link w:val="30"/>
    <w:qFormat/>
    <w:uiPriority w:val="0"/>
    <w:rPr>
      <w:rFonts w:ascii="Times New Roman" w:hAnsi="Times New Roman" w:eastAsia="宋体" w:cs="Times New Roman"/>
      <w:szCs w:val="32"/>
    </w:rPr>
  </w:style>
  <w:style w:type="paragraph" w:customStyle="1" w:styleId="32">
    <w:name w:val="QD-正文2"/>
    <w:basedOn w:val="30"/>
    <w:link w:val="33"/>
    <w:qFormat/>
    <w:uiPriority w:val="0"/>
    <w:pPr>
      <w:adjustRightInd w:val="0"/>
      <w:snapToGrid w:val="0"/>
      <w:spacing w:line="560" w:lineRule="exact"/>
      <w:ind w:firstLine="643" w:firstLineChars="200"/>
    </w:pPr>
    <w:rPr>
      <w:rFonts w:eastAsia="仿宋_GB2312"/>
      <w:sz w:val="32"/>
    </w:rPr>
  </w:style>
  <w:style w:type="character" w:customStyle="1" w:styleId="33">
    <w:name w:val="QD-正文2 字符"/>
    <w:basedOn w:val="31"/>
    <w:link w:val="32"/>
    <w:qFormat/>
    <w:uiPriority w:val="0"/>
    <w:rPr>
      <w:rFonts w:ascii="Times New Roman" w:hAnsi="Times New Roman" w:eastAsia="仿宋_GB2312" w:cs="Times New Roman"/>
      <w:sz w:val="32"/>
      <w:szCs w:val="32"/>
    </w:rPr>
  </w:style>
  <w:style w:type="character" w:customStyle="1" w:styleId="34">
    <w:name w:val="批注文字 字符"/>
    <w:basedOn w:val="19"/>
    <w:link w:val="6"/>
    <w:semiHidden/>
    <w:qFormat/>
    <w:uiPriority w:val="99"/>
    <w:rPr>
      <w:rFonts w:ascii="Times New Roman" w:hAnsi="Times New Roman" w:eastAsia="宋体" w:cs="Times New Roman"/>
    </w:rPr>
  </w:style>
  <w:style w:type="character" w:customStyle="1" w:styleId="35">
    <w:name w:val="font31"/>
    <w:basedOn w:val="19"/>
    <w:qFormat/>
    <w:uiPriority w:val="0"/>
    <w:rPr>
      <w:rFonts w:hint="eastAsia" w:ascii="仿宋_GB2312" w:eastAsia="仿宋_GB2312" w:cs="仿宋_GB2312"/>
      <w:b/>
      <w:bCs/>
      <w:color w:val="000000"/>
      <w:sz w:val="20"/>
      <w:szCs w:val="20"/>
      <w:u w:val="none"/>
    </w:rPr>
  </w:style>
  <w:style w:type="character" w:customStyle="1" w:styleId="36">
    <w:name w:val="font51"/>
    <w:basedOn w:val="19"/>
    <w:qFormat/>
    <w:uiPriority w:val="0"/>
    <w:rPr>
      <w:rFonts w:hint="default" w:ascii="Times New Roman" w:hAnsi="Times New Roman" w:cs="Times New Roman"/>
      <w:color w:val="000000"/>
      <w:sz w:val="20"/>
      <w:szCs w:val="20"/>
      <w:u w:val="none"/>
    </w:rPr>
  </w:style>
  <w:style w:type="character" w:customStyle="1" w:styleId="37">
    <w:name w:val="font01"/>
    <w:basedOn w:val="19"/>
    <w:qFormat/>
    <w:uiPriority w:val="0"/>
    <w:rPr>
      <w:rFonts w:hint="eastAsia" w:ascii="仿宋_GB2312" w:eastAsia="仿宋_GB2312" w:cs="仿宋_GB2312"/>
      <w:color w:val="000000"/>
      <w:sz w:val="20"/>
      <w:szCs w:val="20"/>
      <w:u w:val="none"/>
    </w:rPr>
  </w:style>
  <w:style w:type="character" w:customStyle="1" w:styleId="38">
    <w:name w:val="font21"/>
    <w:basedOn w:val="19"/>
    <w:qFormat/>
    <w:uiPriority w:val="0"/>
    <w:rPr>
      <w:rFonts w:hint="default" w:ascii="Times New Roman" w:hAnsi="Times New Roman" w:cs="Times New Roman"/>
      <w:color w:val="000000"/>
      <w:sz w:val="20"/>
      <w:szCs w:val="20"/>
      <w:u w:val="none"/>
      <w:vertAlign w:val="subscript"/>
    </w:rPr>
  </w:style>
  <w:style w:type="table" w:customStyle="1" w:styleId="39">
    <w:name w:val="网格型1"/>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0">
    <w:name w:val="font41"/>
    <w:basedOn w:val="19"/>
    <w:qFormat/>
    <w:uiPriority w:val="0"/>
    <w:rPr>
      <w:rFonts w:hint="default" w:ascii="Times New Roman" w:hAnsi="Times New Roman" w:cs="Times New Roman"/>
      <w:b/>
      <w:bCs/>
      <w:color w:val="000000"/>
      <w:sz w:val="20"/>
      <w:szCs w:val="20"/>
      <w:u w:val="none"/>
    </w:rPr>
  </w:style>
  <w:style w:type="character" w:customStyle="1" w:styleId="41">
    <w:name w:val="font61"/>
    <w:basedOn w:val="19"/>
    <w:qFormat/>
    <w:uiPriority w:val="0"/>
    <w:rPr>
      <w:rFonts w:hint="eastAsia" w:ascii="宋体" w:hAnsi="宋体" w:eastAsia="宋体" w:cs="宋体"/>
      <w:b/>
      <w:bCs/>
      <w:color w:val="000000"/>
      <w:sz w:val="20"/>
      <w:szCs w:val="20"/>
      <w:u w:val="none"/>
    </w:rPr>
  </w:style>
  <w:style w:type="character" w:customStyle="1" w:styleId="42">
    <w:name w:val="font11"/>
    <w:basedOn w:val="19"/>
    <w:qFormat/>
    <w:uiPriority w:val="0"/>
    <w:rPr>
      <w:rFonts w:hint="eastAsia" w:ascii="宋体" w:hAnsi="宋体" w:eastAsia="宋体" w:cs="宋体"/>
      <w:color w:val="000000"/>
      <w:sz w:val="20"/>
      <w:szCs w:val="20"/>
      <w:u w:val="none"/>
    </w:rPr>
  </w:style>
  <w:style w:type="character" w:customStyle="1" w:styleId="43">
    <w:name w:val="font71"/>
    <w:basedOn w:val="19"/>
    <w:qFormat/>
    <w:uiPriority w:val="0"/>
    <w:rPr>
      <w:rFonts w:hint="default" w:ascii="Times New Roman" w:hAnsi="Times New Roman" w:cs="Times New Roman"/>
      <w:color w:val="000000"/>
      <w:sz w:val="20"/>
      <w:szCs w:val="20"/>
      <w:u w:val="none"/>
      <w:vertAlign w:val="subscript"/>
    </w:rPr>
  </w:style>
  <w:style w:type="paragraph" w:styleId="44">
    <w:name w:val="List Paragraph"/>
    <w:basedOn w:val="1"/>
    <w:qFormat/>
    <w:uiPriority w:val="34"/>
    <w:pPr>
      <w:ind w:firstLine="420" w:firstLineChars="200"/>
    </w:pPr>
  </w:style>
  <w:style w:type="character" w:customStyle="1" w:styleId="45">
    <w:name w:val="标题 3 字符"/>
    <w:basedOn w:val="19"/>
    <w:link w:val="5"/>
    <w:semiHidden/>
    <w:qFormat/>
    <w:uiPriority w:val="9"/>
    <w:rPr>
      <w:rFonts w:ascii="Times New Roman" w:hAnsi="Times New Roman" w:eastAsia="宋体" w:cs="Times New Roman"/>
      <w:b/>
      <w:bCs/>
      <w:sz w:val="32"/>
      <w:szCs w:val="32"/>
    </w:rPr>
  </w:style>
  <w:style w:type="character" w:customStyle="1" w:styleId="46">
    <w:name w:val="HTML 预设格式 字符"/>
    <w:basedOn w:val="19"/>
    <w:link w:val="14"/>
    <w:semiHidden/>
    <w:qFormat/>
    <w:uiPriority w:val="99"/>
    <w:rPr>
      <w:rFonts w:ascii="宋体" w:hAnsi="宋体" w:eastAsia="宋体" w:cs="Times New Roman"/>
      <w:kern w:val="0"/>
      <w:sz w:val="24"/>
      <w:szCs w:val="24"/>
    </w:rPr>
  </w:style>
  <w:style w:type="paragraph" w:customStyle="1" w:styleId="47">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48">
    <w:name w:val="WPSOffice手动目录 1"/>
    <w:qFormat/>
    <w:uiPriority w:val="0"/>
    <w:rPr>
      <w:rFonts w:asciiTheme="minorHAnsi" w:hAnsiTheme="minorHAnsi" w:eastAsiaTheme="minorEastAsia" w:cstheme="minorBidi"/>
      <w:lang w:val="en-US" w:eastAsia="zh-CN" w:bidi="ar-SA"/>
    </w:rPr>
  </w:style>
  <w:style w:type="paragraph" w:customStyle="1" w:styleId="4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0">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51">
    <w:name w:val="批注主题 字符"/>
    <w:basedOn w:val="34"/>
    <w:link w:val="16"/>
    <w:semiHidden/>
    <w:qFormat/>
    <w:uiPriority w:val="99"/>
    <w:rPr>
      <w:rFonts w:ascii="Times New Roman" w:hAnsi="Times New Roman" w:eastAsia="宋体" w:cs="Times New Roman"/>
      <w:b/>
      <w:bCs/>
      <w:kern w:val="2"/>
      <w:sz w:val="21"/>
      <w:szCs w:val="22"/>
    </w:rPr>
  </w:style>
  <w:style w:type="table" w:customStyle="1" w:styleId="52">
    <w:name w:val="网格型11"/>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12"/>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4">
    <w:name w:val="修订2"/>
    <w:hidden/>
    <w:semiHidden/>
    <w:qFormat/>
    <w:uiPriority w:val="99"/>
    <w:rPr>
      <w:rFonts w:ascii="Times New Roman" w:hAnsi="Times New Roman" w:eastAsia="宋体" w:cs="Times New Roman"/>
      <w:kern w:val="2"/>
      <w:sz w:val="21"/>
      <w:szCs w:val="22"/>
      <w:lang w:val="en-US" w:eastAsia="zh-CN" w:bidi="ar-SA"/>
    </w:rPr>
  </w:style>
  <w:style w:type="table" w:customStyle="1" w:styleId="55">
    <w:name w:val="网格型2"/>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3"/>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7">
    <w:name w:val="font91"/>
    <w:basedOn w:val="19"/>
    <w:qFormat/>
    <w:uiPriority w:val="0"/>
    <w:rPr>
      <w:rFonts w:hint="default" w:ascii="Times New Roman" w:hAnsi="Times New Roman" w:cs="Times New Roman"/>
      <w:color w:val="000000"/>
      <w:sz w:val="20"/>
      <w:szCs w:val="20"/>
      <w:u w:val="none"/>
      <w:vertAlign w:val="subscript"/>
    </w:rPr>
  </w:style>
  <w:style w:type="character" w:customStyle="1" w:styleId="58">
    <w:name w:val="font101"/>
    <w:basedOn w:val="19"/>
    <w:qFormat/>
    <w:uiPriority w:val="0"/>
    <w:rPr>
      <w:rFonts w:hint="default" w:ascii="Times New Roman" w:hAnsi="Times New Roman" w:cs="Times New Roman"/>
      <w:color w:val="000000"/>
      <w:sz w:val="20"/>
      <w:szCs w:val="20"/>
      <w:u w:val="none"/>
    </w:rPr>
  </w:style>
  <w:style w:type="paragraph" w:customStyle="1" w:styleId="59">
    <w:name w:val="QD-正文1"/>
    <w:basedOn w:val="1"/>
    <w:link w:val="60"/>
    <w:qFormat/>
    <w:uiPriority w:val="0"/>
    <w:pPr>
      <w:adjustRightInd w:val="0"/>
      <w:snapToGrid w:val="0"/>
      <w:spacing w:after="156" w:afterLines="50" w:line="560" w:lineRule="exact"/>
      <w:ind w:firstLine="602" w:firstLineChars="200"/>
    </w:pPr>
    <w:rPr>
      <w:rFonts w:ascii="等线" w:hAnsi="等线" w:eastAsia="仿宋_GB2312"/>
      <w:sz w:val="30"/>
      <w:szCs w:val="30"/>
    </w:rPr>
  </w:style>
  <w:style w:type="character" w:customStyle="1" w:styleId="60">
    <w:name w:val="QD-正文1 字符"/>
    <w:basedOn w:val="19"/>
    <w:link w:val="59"/>
    <w:qFormat/>
    <w:uiPriority w:val="0"/>
    <w:rPr>
      <w:rFonts w:ascii="等线" w:hAnsi="等线" w:eastAsia="仿宋_GB2312" w:cs="Times New Roman"/>
      <w:kern w:val="2"/>
      <w:sz w:val="30"/>
      <w:szCs w:val="30"/>
    </w:rPr>
  </w:style>
  <w:style w:type="paragraph" w:customStyle="1" w:styleId="61">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5ECB92-CCFB-42DE-9F4B-6D2FC06C81E1}">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50</Pages>
  <Words>23946</Words>
  <Characters>24244</Characters>
  <Lines>197</Lines>
  <Paragraphs>55</Paragraphs>
  <TotalTime>38</TotalTime>
  <ScaleCrop>false</ScaleCrop>
  <LinksUpToDate>false</LinksUpToDate>
  <CharactersWithSpaces>24499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2023-05-09T00:36:00Z</dcterms:created>
  <dc:creator>路 路</dc:creator>
  <cp:lastModifiedBy>郑秀苹</cp:lastModifiedBy>
  <dcterms:modified xsi:type="dcterms:W3CDTF">2023-05-15T02:07:39Z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3F1C4F09CEDA4E6ABF7F6461B68B06A2_13</vt:lpwstr>
  </property>
</Properties>
</file>