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青岛市加快构建优质高效服务业新体系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三年行动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实施方案</w:t>
      </w:r>
      <w:r>
        <w:rPr>
          <w:rFonts w:ascii="Times New Roman" w:hAnsi="Times New Roman" w:eastAsia="方正小标宋_GBK" w:cs="Times New Roman"/>
          <w:sz w:val="44"/>
          <w:szCs w:val="44"/>
        </w:rPr>
        <w:t>（2023-2025年）</w:t>
      </w:r>
    </w:p>
    <w:p>
      <w:pPr>
        <w:spacing w:line="56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（征求意见稿）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深入</w:t>
      </w:r>
      <w:r>
        <w:rPr>
          <w:rFonts w:ascii="Times New Roman" w:hAnsi="Times New Roman" w:eastAsia="仿宋_GB2312" w:cs="Times New Roman"/>
          <w:sz w:val="32"/>
          <w:szCs w:val="32"/>
        </w:rPr>
        <w:t>贯彻党的二十大精神，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推动现代服务业同先进制造业、现代农业深度融合，</w:t>
      </w:r>
      <w:r>
        <w:rPr>
          <w:rFonts w:ascii="Times New Roman" w:hAnsi="Times New Roman" w:eastAsia="仿宋_GB2312" w:cs="Times New Roman"/>
          <w:sz w:val="32"/>
          <w:szCs w:val="32"/>
        </w:rPr>
        <w:t>构建优质高效的服务业新体系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，助力发展实体经济，打造现代产业先行城市，</w:t>
      </w:r>
      <w:r>
        <w:rPr>
          <w:rFonts w:ascii="Times New Roman" w:hAnsi="Times New Roman" w:eastAsia="仿宋_GB2312" w:cs="Times New Roman"/>
          <w:sz w:val="32"/>
          <w:szCs w:val="32"/>
        </w:rPr>
        <w:t>结合我市实际，制定本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实施方案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一、总体要求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坚持以习近平新时代中国特色社会主义思想为指导，全面贯彻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党的二十大精神，完整、准确、全面贯彻</w:t>
      </w:r>
      <w:r>
        <w:rPr>
          <w:rFonts w:ascii="Times New Roman" w:hAnsi="Times New Roman" w:eastAsia="仿宋_GB2312" w:cs="Times New Roman"/>
          <w:sz w:val="32"/>
          <w:szCs w:val="32"/>
        </w:rPr>
        <w:t>新发展理念，服务和融入新发展格局，围绕建设国家级服务经济中心，坚持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产业转型和消费升级并重、创新驱动和融合</w:t>
      </w:r>
      <w:r>
        <w:rPr>
          <w:rFonts w:ascii="Times New Roman" w:hAnsi="Times New Roman" w:eastAsia="仿宋_GB2312" w:cs="Times New Roman"/>
          <w:sz w:val="32"/>
          <w:szCs w:val="32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并举</w:t>
      </w:r>
      <w:r>
        <w:rPr>
          <w:rFonts w:ascii="Times New Roman" w:hAnsi="Times New Roman" w:eastAsia="仿宋_GB2312" w:cs="Times New Roman"/>
          <w:sz w:val="32"/>
          <w:szCs w:val="32"/>
        </w:rPr>
        <w:t>，做优存量和做大增量并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</w:t>
      </w:r>
      <w:r>
        <w:rPr>
          <w:rFonts w:ascii="Times New Roman" w:hAnsi="Times New Roman" w:eastAsia="仿宋_GB2312" w:cs="Times New Roman"/>
          <w:sz w:val="32"/>
          <w:szCs w:val="32"/>
        </w:rPr>
        <w:t>、突破发展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现代金融、现代物流、现代商贸等十</w:t>
      </w:r>
      <w:r>
        <w:rPr>
          <w:rFonts w:ascii="Times New Roman" w:hAnsi="Times New Roman" w:eastAsia="仿宋_GB2312" w:cs="Times New Roman"/>
          <w:sz w:val="32"/>
          <w:szCs w:val="32"/>
        </w:rPr>
        <w:t>大现代服务业，实施创新引领、数智赋能、产业融合、企业培育、消费提质、扩大开放六大行动，加快生产性服务业向专业化和价值链高端延伸，加快生活性服务业向高品质和多样化升级，发挥消费转型升级对服务业拉动作用，持续扩大内需，提升城市核心服务功能和辐射带动作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，加快构建优质高效的服务业新体系，</w:t>
      </w:r>
      <w:r>
        <w:rPr>
          <w:rFonts w:ascii="Times New Roman" w:hAnsi="Times New Roman" w:eastAsia="仿宋_GB2312" w:cs="Times New Roman"/>
          <w:sz w:val="32"/>
          <w:szCs w:val="32"/>
        </w:rPr>
        <w:t>为青岛建设新时代社会主义现代化国际大都市提供重要支撑。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二、发展目标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到2025年，全市服务业增加值达到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万亿元，占生产总值比重在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%左右，服务业从业人员占全社会从业人员比重达到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%左右；生产性服务业效率和专业化水平显著提高，占服务业增加值比重达到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%左右；现代服务业创新能力及贡献显著增强，服务业劳动生产率达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万元/人，新培育省级以上服务业创新中心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个以上；服务业集聚发展释放新活力，市级及以上服务业集聚区达到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家以上，税收亿元以上楼宇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座以上；打造国际消费中心城市，初步建成国家现代服务经济中心。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三、重点</w:t>
      </w:r>
      <w:r>
        <w:rPr>
          <w:rFonts w:hint="eastAsia" w:ascii="Times New Roman" w:hAnsi="Times New Roman" w:eastAsia="黑体" w:cs="Times New Roman"/>
          <w:sz w:val="32"/>
          <w:szCs w:val="32"/>
        </w:rPr>
        <w:t>产业</w:t>
      </w:r>
    </w:p>
    <w:p>
      <w:pPr>
        <w:pStyle w:val="16"/>
        <w:widowControl/>
        <w:autoSpaceDE w:val="0"/>
        <w:spacing w:before="0" w:beforeAutospacing="0" w:after="0" w:afterAutospacing="0" w:line="560" w:lineRule="exact"/>
        <w:ind w:firstLine="642" w:firstLineChars="200"/>
        <w:jc w:val="both"/>
        <w:rPr>
          <w:rFonts w:eastAsia="楷体_GB2312"/>
          <w:kern w:val="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</w:t>
      </w:r>
      <w:r>
        <w:rPr>
          <w:rFonts w:hint="eastAsia"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现代金融</w:t>
      </w:r>
      <w:r>
        <w:rPr>
          <w:rFonts w:hint="eastAsia"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重点发展财富管理、创投风投、金融科技，聚力打造国际财富管理中心、全球创投风投中心和未来金融科技中心。</w:t>
      </w:r>
      <w:r>
        <w:rPr>
          <w:rFonts w:eastAsia="仿宋_GB2312"/>
          <w:sz w:val="32"/>
          <w:szCs w:val="32"/>
        </w:rPr>
        <w:t>到2025年，全市金融业增加值达到1100亿元, 金融机构总数达到300家左右, 私募基金管理规模</w:t>
      </w:r>
      <w:r>
        <w:rPr>
          <w:rFonts w:hint="eastAsia" w:eastAsia="仿宋_GB2312"/>
          <w:sz w:val="32"/>
          <w:szCs w:val="32"/>
        </w:rPr>
        <w:t>超过2000</w:t>
      </w:r>
      <w:r>
        <w:rPr>
          <w:rFonts w:eastAsia="仿宋_GB2312"/>
          <w:sz w:val="32"/>
          <w:szCs w:val="32"/>
        </w:rPr>
        <w:t>亿元，境内外上市公司数量达到100家。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eastAsia="楷体_GB2312"/>
          <w:spacing w:val="6"/>
          <w:sz w:val="32"/>
          <w:szCs w:val="32"/>
        </w:rPr>
        <w:t>责任单位：</w:t>
      </w:r>
      <w:r>
        <w:rPr>
          <w:rFonts w:hint="eastAsia" w:eastAsia="楷体_GB2312"/>
          <w:kern w:val="2"/>
          <w:sz w:val="32"/>
          <w:szCs w:val="32"/>
        </w:rPr>
        <w:t>市地方金融监管局、市发展改革委按职责分工负责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现代物流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重点发展航运物流、航空物流、冷链物流、寄递物流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</w:t>
      </w:r>
      <w:r>
        <w:rPr>
          <w:rFonts w:ascii="Times New Roman" w:hAnsi="Times New Roman" w:eastAsia="仿宋_GB2312" w:cs="Times New Roman"/>
          <w:sz w:val="32"/>
          <w:szCs w:val="32"/>
        </w:rPr>
        <w:t>，建设综合型国家物流枢纽城市和全国主要的国际物流中心城市。到2025年，全市现代物流产业增加值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突破1</w:t>
      </w:r>
      <w:r>
        <w:rPr>
          <w:rFonts w:ascii="Times New Roman" w:hAnsi="Times New Roman" w:eastAsia="仿宋_GB2312" w:cs="Times New Roman"/>
          <w:sz w:val="32"/>
          <w:szCs w:val="32"/>
        </w:rPr>
        <w:t>600亿元，</w:t>
      </w:r>
      <w:r>
        <w:rPr>
          <w:rFonts w:hint="eastAsia" w:ascii="Times New Roman" w:hAnsi="Times New Roman" w:eastAsia="仿宋_GB2312"/>
          <w:sz w:val="32"/>
          <w:szCs w:val="32"/>
        </w:rPr>
        <w:t>国家A级物流企业达到120家，集装箱海铁联运量达到220万标准箱，中欧班列（齐鲁号）开行规模达到800列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市交通运输局、市发展改革委按职责分工负责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现代商贸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重点发展数字贸易、离岸贸易、转口贸易、跨境电商，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推动传统商贸业数字化改造升级，</w:t>
      </w:r>
      <w:r>
        <w:rPr>
          <w:rFonts w:ascii="Times New Roman" w:hAnsi="Times New Roman" w:eastAsia="仿宋_GB2312" w:cs="Times New Roman"/>
          <w:sz w:val="32"/>
          <w:szCs w:val="32"/>
        </w:rPr>
        <w:t>发展新业态、新模式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提升全球消费资源汇集能力。到2025年，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全市限额以上批发、零售业商品销售额超</w:t>
      </w:r>
      <w:r>
        <w:rPr>
          <w:rFonts w:ascii="Times New Roman" w:hAnsi="Times New Roman" w:eastAsia="仿宋_GB2312" w:cs="Times New Roman"/>
          <w:sz w:val="32"/>
          <w:szCs w:val="32"/>
        </w:rPr>
        <w:t>21000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市商务局、市文化和旅游局按职责分工负责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软件和信息服务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重点发展</w:t>
      </w:r>
      <w:r>
        <w:rPr>
          <w:rFonts w:hint="eastAsia" w:ascii="仿宋_GB2312" w:eastAsia="仿宋_GB2312"/>
          <w:color w:val="000000"/>
          <w:sz w:val="32"/>
          <w:szCs w:val="32"/>
        </w:rPr>
        <w:t>工业软件、嵌入式软件、行业应用软件和新兴软件，提升产品和服务供给能力，</w:t>
      </w:r>
      <w:r>
        <w:rPr>
          <w:rFonts w:ascii="Times New Roman" w:hAnsi="Times New Roman" w:eastAsia="仿宋_GB2312" w:cs="Times New Roman"/>
          <w:sz w:val="32"/>
          <w:szCs w:val="32"/>
        </w:rPr>
        <w:t>发展服务外包等业态。到2025年，全市软件和信息服务业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年均增速保持两位数增长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市工业和信息化局、市商务局按职责分工负责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科技服务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重点发展研究和试验发展服务、技术推广服务、检验检测、成果转化、技术转移、创新平台建设等领域，</w:t>
      </w:r>
      <w:r>
        <w:rPr>
          <w:rFonts w:ascii="Times New Roman" w:hAnsi="Times New Roman" w:eastAsia="仿宋_GB2312" w:cs="Times New Roman"/>
          <w:sz w:val="32"/>
          <w:szCs w:val="32"/>
        </w:rPr>
        <w:t>提升发展产品规划、设计管理咨询等高附加值工业设计服务。到2025年，全市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科技服务规模以上企业营业收入达到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450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市科技局负责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文化旅游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影视文化、海洋旅游、出版发行及版权、数字文旅和文旅融合等产业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基本建成重要的国际滨海旅游目的地。到2025年，全市文化旅游产业规模（营业收入）突破3500亿元，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以上数字文化产业企业营业收入突破20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市文化和旅游局负责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会展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重点聚焦品牌化、国际化、专业化、市场化、特色化发展方向，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打造一批优质会展项目、培育一批优秀会展企业、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推进产展融合发展、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营造一流会展环境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到2025年，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会展产业链会展收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入达到260亿元左右，会展产业链相关企业总量达到 600 家以上。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市贸促会负责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商务服务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重点发展总部经济、供应链、法律、会计、广告等商务中介服务领域，培育集聚一批高能级、国际化服务企业和机构，打造一批集供应链、法律服务、商务采购为一体的商务中介服务平台。到2025年，全市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法律</w:t>
      </w:r>
      <w:r>
        <w:rPr>
          <w:rFonts w:ascii="Times New Roman" w:hAnsi="Times New Roman" w:eastAsia="仿宋_GB2312" w:cs="Times New Roman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</w:t>
      </w:r>
      <w:r>
        <w:rPr>
          <w:rFonts w:ascii="Times New Roman" w:hAnsi="Times New Roman" w:eastAsia="仿宋_GB2312" w:cs="Times New Roman"/>
          <w:sz w:val="32"/>
          <w:szCs w:val="32"/>
        </w:rPr>
        <w:t>业规模达到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ascii="Times New Roman" w:hAnsi="Times New Roman" w:eastAsia="仿宋_GB2312" w:cs="Times New Roman"/>
          <w:sz w:val="32"/>
          <w:szCs w:val="32"/>
        </w:rPr>
        <w:t>亿元，新认定总部企业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550</w:t>
      </w:r>
      <w:r>
        <w:rPr>
          <w:rFonts w:ascii="Times New Roman" w:hAnsi="Times New Roman" w:eastAsia="仿宋_GB2312" w:cs="Times New Roman"/>
          <w:sz w:val="32"/>
          <w:szCs w:val="32"/>
        </w:rPr>
        <w:t>家以上。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市司法局、市财政局、市商务局、市文化和旅游、市市场监管局按职责分工负责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人力资源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重点推动人力资源服务业数字化转型，统筹推进各类人才市场、劳动力市场、零工市场建设，加快发展人力资源服务贸易，推进国家人力资源服务出口基地建设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加强现代职业教育与培训。到2025年，全市人力资源产业规模达到500亿元，营收过亿元人力资源机构达到65家以上。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市人力资源社会保障局负责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10.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检验检测认证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重点提升新品研发、技术攻关、产品检测、标准制定等优质服务，补齐产业链检验检测服务短板，打造检验检测服务重点产业链发展新模式，提供多元化的认证供给。到2025年，全市检验检测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认证</w:t>
      </w:r>
      <w:r>
        <w:rPr>
          <w:rFonts w:ascii="Times New Roman" w:hAnsi="Times New Roman" w:eastAsia="仿宋_GB2312" w:cs="Times New Roman"/>
          <w:sz w:val="32"/>
          <w:szCs w:val="32"/>
        </w:rPr>
        <w:t>产业规模达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sz w:val="32"/>
          <w:szCs w:val="32"/>
        </w:rPr>
        <w:t>亿元，通过资质认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定</w:t>
      </w:r>
      <w:r>
        <w:rPr>
          <w:rFonts w:ascii="Times New Roman" w:hAnsi="Times New Roman" w:eastAsia="仿宋_GB2312" w:cs="Times New Roman"/>
          <w:sz w:val="32"/>
          <w:szCs w:val="32"/>
        </w:rPr>
        <w:t>的检验检测机构达到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520</w:t>
      </w:r>
      <w:r>
        <w:rPr>
          <w:rFonts w:ascii="Times New Roman" w:hAnsi="Times New Roman" w:eastAsia="仿宋_GB2312" w:cs="Times New Roman"/>
          <w:sz w:val="32"/>
          <w:szCs w:val="32"/>
        </w:rPr>
        <w:t>家以上。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</w:t>
      </w:r>
      <w:r>
        <w:rPr>
          <w:rFonts w:hint="eastAsia" w:eastAsia="楷体_GB2312"/>
          <w:sz w:val="32"/>
          <w:szCs w:val="32"/>
        </w:rPr>
        <w:t>市市场监管局负责</w:t>
      </w:r>
      <w:r>
        <w:rPr>
          <w:rFonts w:hint="eastAsia" w:eastAsia="仿宋_GB2312"/>
          <w:sz w:val="32"/>
          <w:szCs w:val="32"/>
        </w:rPr>
        <w:t>）</w:t>
      </w:r>
    </w:p>
    <w:p>
      <w:pPr>
        <w:widowControl/>
        <w:adjustRightInd w:val="0"/>
        <w:spacing w:line="560" w:lineRule="exact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</w:rPr>
        <w:t>实施</w:t>
      </w:r>
      <w:r>
        <w:rPr>
          <w:rFonts w:ascii="Times New Roman" w:hAnsi="Times New Roman" w:eastAsia="黑体" w:cs="Times New Roman"/>
          <w:sz w:val="32"/>
          <w:szCs w:val="32"/>
        </w:rPr>
        <w:t>行动</w:t>
      </w:r>
    </w:p>
    <w:p>
      <w:pPr>
        <w:widowControl/>
        <w:adjustRightInd w:val="0"/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</w:t>
      </w:r>
      <w:r>
        <w:rPr>
          <w:rFonts w:ascii="Times New Roman" w:hAnsi="楷体_GB2312" w:eastAsia="楷体_GB2312" w:cs="Times New Roman"/>
          <w:spacing w:val="6"/>
          <w:sz w:val="32"/>
          <w:szCs w:val="32"/>
        </w:rPr>
        <w:t>创新引领</w:t>
      </w:r>
      <w:r>
        <w:rPr>
          <w:rFonts w:hint="eastAsia" w:ascii="Times New Roman" w:hAnsi="楷体_GB2312" w:eastAsia="楷体_GB2312" w:cs="Times New Roman"/>
          <w:spacing w:val="6"/>
          <w:sz w:val="32"/>
          <w:szCs w:val="32"/>
        </w:rPr>
        <w:t>提升</w:t>
      </w:r>
      <w:r>
        <w:rPr>
          <w:rFonts w:ascii="Times New Roman" w:hAnsi="楷体_GB2312" w:eastAsia="楷体_GB2312" w:cs="Times New Roman"/>
          <w:spacing w:val="6"/>
          <w:sz w:val="32"/>
          <w:szCs w:val="32"/>
        </w:rPr>
        <w:t>行动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6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bCs/>
          <w:spacing w:val="6"/>
          <w:sz w:val="32"/>
          <w:szCs w:val="32"/>
        </w:rPr>
        <w:t xml:space="preserve"> 打造创新平台。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鼓励区（市）聚焦重点产业引进培育高水平研发平台和企业研发机构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给予政策支持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支持打造以产业技术研发为主的新型研发机构。鼓励不同所有制专业服务机构平等参与市场竞争。</w:t>
      </w:r>
      <w:r>
        <w:rPr>
          <w:rFonts w:hint="eastAsia" w:ascii="仿宋_GB2312" w:eastAsia="仿宋_GB2312"/>
          <w:sz w:val="32"/>
          <w:szCs w:val="32"/>
        </w:rPr>
        <w:t xml:space="preserve">围绕特色型、专业型工业互联网平台，每年新培育或引进 </w:t>
      </w:r>
      <w:r>
        <w:rPr>
          <w:rFonts w:ascii="Times New Roman" w:hAnsi="Times New Roman" w:cs="Times New Roman"/>
          <w:sz w:val="32"/>
          <w:szCs w:val="32"/>
        </w:rPr>
        <w:t xml:space="preserve">10 </w:t>
      </w:r>
      <w:r>
        <w:rPr>
          <w:rFonts w:hint="eastAsia" w:ascii="仿宋_GB2312" w:eastAsia="仿宋_GB2312"/>
          <w:sz w:val="32"/>
          <w:szCs w:val="32"/>
        </w:rPr>
        <w:t>家特定行业特定领域平台。推动企业综合服务平台、场景赋能公共服务平台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持续迭代功能，累计上线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 xml:space="preserve">万个以上 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 xml:space="preserve">SaaS 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服务应用。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培育认定一批省级、市级服务业创新中心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</w:t>
      </w:r>
      <w:r>
        <w:rPr>
          <w:rFonts w:hint="eastAsia" w:ascii="楷体_GB2312" w:eastAsia="楷体_GB2312"/>
          <w:sz w:val="32"/>
          <w:szCs w:val="32"/>
        </w:rPr>
        <w:t>、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市科技局、市工业和信息化局等相关部门按职责分工负责）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6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b/>
          <w:bCs/>
          <w:spacing w:val="6"/>
          <w:sz w:val="32"/>
          <w:szCs w:val="32"/>
        </w:rPr>
        <w:t>培育创新主体。</w:t>
      </w:r>
      <w:r>
        <w:rPr>
          <w:rFonts w:hint="eastAsia" w:ascii="仿宋_GB2312" w:eastAsia="仿宋_GB2312"/>
          <w:sz w:val="32"/>
          <w:szCs w:val="32"/>
        </w:rPr>
        <w:t>支持龙头企业向中小企业共享开发环境、科研基础设施等创新资源，推动大中小企业深度协同。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培育一批市级“新经济园区”“新经济新锐企业”“新经济高成长企业”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认定一批市级服务业创新型示范企业。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推广实施科技创新券，鼓励和支持科技型中小企业购买研发和试验发展服务。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（责任单位：市发展改革委、市科技局、市工业和信息化局等相关部门按职责分工负责）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发展新兴业态。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培育壮大金融科技、数字创意、电子竞技、工业设计、元宇宙等新兴产业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引导美丽经济、共享经济、体验经济等新模式有序发展，鼓励更多社会主体创新创业创造。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探索检验检测认证服务重点产业链发展模式。</w:t>
      </w:r>
      <w:r>
        <w:rPr>
          <w:rFonts w:hint="eastAsia" w:ascii="仿宋_GB2312" w:eastAsia="仿宋_GB2312"/>
          <w:sz w:val="32"/>
          <w:szCs w:val="32"/>
        </w:rPr>
        <w:t>增强</w:t>
      </w:r>
      <w:r>
        <w:rPr>
          <w:rFonts w:ascii="仿宋_GB2312" w:eastAsia="仿宋_GB2312"/>
          <w:sz w:val="32"/>
          <w:szCs w:val="32"/>
        </w:rPr>
        <w:t>冷链国际联运能力，</w:t>
      </w:r>
      <w:r>
        <w:rPr>
          <w:rFonts w:hint="eastAsia" w:ascii="仿宋_GB2312" w:eastAsia="仿宋_GB2312"/>
          <w:sz w:val="32"/>
          <w:szCs w:val="32"/>
        </w:rPr>
        <w:t>稳步发展“国际海运+中欧冷藏专列”等冷链多式联运新模式。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（责任单位：市科技局、市工业和信息化局、市发展改革委、市交通运输局、市商务局、市文化和旅游局、市市场监管、市地方金融监管局等相关部门按职责分工负责）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4. 优化创新生态。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培育以服务实体经济为导向的金融业态。实施头部创投风投引育行动，聚集一批行业领先机构及项目来青，搭建资本与项目常态化对接平台。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探索建立从实验研究到生产的全过程科技创新融资模式，支持创新型、中小微服务业企业发展。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健全知识产权公共服务运营平台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推进专利技术交易市场建设。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深度融入全球人才链，推进国家人力资源服务出口基地建设。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（责任单位：市民营经济局、市市场监管局、市地方金融监管局、市人力资源社会保障局等相关部门按职责分工负责）</w:t>
      </w:r>
    </w:p>
    <w:p>
      <w:pPr>
        <w:pStyle w:val="14"/>
        <w:spacing w:line="560" w:lineRule="exact"/>
        <w:ind w:right="210" w:firstLine="664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hAnsi="楷体_GB2312" w:eastAsia="楷体_GB2312" w:cs="Times New Roman"/>
          <w:spacing w:val="6"/>
          <w:sz w:val="32"/>
          <w:szCs w:val="32"/>
        </w:rPr>
        <w:t>（二）数字赋能</w:t>
      </w:r>
      <w:r>
        <w:rPr>
          <w:rFonts w:hint="eastAsia" w:ascii="Times New Roman" w:hAnsi="楷体_GB2312" w:eastAsia="楷体_GB2312" w:cs="Times New Roman"/>
          <w:spacing w:val="6"/>
          <w:sz w:val="32"/>
          <w:szCs w:val="32"/>
        </w:rPr>
        <w:t>转型</w:t>
      </w:r>
      <w:r>
        <w:rPr>
          <w:rFonts w:ascii="Times New Roman" w:hAnsi="楷体_GB2312" w:eastAsia="楷体_GB2312" w:cs="Times New Roman"/>
          <w:spacing w:val="6"/>
          <w:sz w:val="32"/>
          <w:szCs w:val="32"/>
        </w:rPr>
        <w:t>行动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5</w:t>
      </w: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推动数字化转型。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推动服务业企业“上云用数赋智”，迭代升级场景需求、能力供给清单。推动数字商贸发展，发展智慧批发市场和智慧商超。定义遴选一批数字化转型系统性解决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方案，每年打造 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10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个融合赋能示范案例。认定一批数字赋能中心，打造数字生活服务样板城市、数字生产服务试点集群和服务企业数字转型示范。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引进金融科技企业，推动金融机构数字化转型。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完善青岛国际航运中心现代航运服务信息化支撑保障平台功能，加快上合多式联运综合服务信息平台建设。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鼓励景区开发数字化体验产品，发展沉浸式互动体验、虚拟展示等新型旅游服务。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（责任单位：市发展改革委、市工业和信息化局、市交通运输局、市商务局、市文化和旅游局、市地方金融监管局等相关部门按职责分工负责）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拓展数字化场景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稳步推进数字人民币试点，拓展数字人民币应用场景。推动孵化载体专业化发展，建设一批成长型、引领型标杆孵化器。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加快新型移动出行、在线办公、网络货运、“无接触”配送等新业态迭代升级。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全面推进景区智能导航导览系统，完成□家4A级及以上景区网上分时预约系统。引导会展企业共建云展服务实体，培育线上会议和展览平台。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认定一批市级创新应用实验室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、场景实验室和服务业数字化转型促进中心。动态遴选发布应用场景需求榜单，推广应用场景“揭榜挂帅”机制，开展应用场景“市民体验评价”。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（责任单位：市发展改革委、市科技局、市工业和信息化局、市交通运输局、市文化和旅游局、市地方金融监管局、市贸促会等相关部门按职责分工负责）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7. 完善基础设施建设。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加快“双千兆”网络覆盖，建成5G 基站3.5万个以上，实现城镇全覆盖。完善全光网通信基础设施，打造“城市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毫秒时延圈”。推进全国一体化大数据中心行业分中心布局，数据中心标准机柜数达到6万个。打通培育一批数字基础设施平台，推进城市数字底座实践试点。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打造未来服务先导试验区。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（责任单位：市工业和信息化局、市发展改革委、市大数据局、市通信管理局等相关部门按职责分工负责）</w:t>
      </w:r>
    </w:p>
    <w:p>
      <w:pPr>
        <w:pStyle w:val="14"/>
        <w:spacing w:line="560" w:lineRule="exact"/>
        <w:ind w:right="210" w:firstLine="640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ascii="Times New Roman" w:hAnsi="楷体_GB2312" w:eastAsia="楷体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楷体_GB2312" w:eastAsia="楷体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深度</w:t>
      </w:r>
      <w:r>
        <w:rPr>
          <w:rFonts w:ascii="Times New Roman" w:hAnsi="楷体_GB2312" w:eastAsia="楷体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融合行动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促进制造业与服务业双向融合。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鼓励大型工业企业和重点行业企业，剥离软件信息业务、整合行业软件力量，成立专业公司对外提供服务。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瞄准工业企业产品供应和服务链条的数字化升级，发展设备健康管理、产品远程运维、设备融资租赁等面向制造业的新型信息技术服务。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支持有条件的制造业企业向一体化服务总集成总承包商转变。培育一批国家级、省市级服务型制造示范企业（平台、项目）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、两业融合试点单位和标杆企业。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（责任单位：市发展改革委、市工业和信息化局等相关部门按职责分工负责）</w:t>
      </w:r>
    </w:p>
    <w:p>
      <w:pPr>
        <w:widowControl/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FF0000"/>
          <w:spacing w:val="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9.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促进生产性服业务与生活性服务业联动耦合。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完善文化科技融合创新体系，培育壮大科技型文化企业，打造文化科技融合发展新业态等。推动影视外景地建设与旅游景区开发深度融合，培育网红影视旅游目的地。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支持建设农业、种业互联网平台，加快传统农业向专业化和价值链高端延伸。</w:t>
      </w:r>
      <w:r>
        <w:rPr>
          <w:rFonts w:hint="eastAsia" w:ascii="仿宋_GB2312" w:eastAsia="仿宋_GB2312"/>
          <w:sz w:val="32"/>
          <w:szCs w:val="32"/>
        </w:rPr>
        <w:t>支持商贸企业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物流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向“供应链”服务企业转型。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（责任单位：市科技局、市交通运输局、市商务局、市文化和旅游局等相关部门按职责分工负责）</w:t>
      </w:r>
    </w:p>
    <w:p>
      <w:pPr>
        <w:pStyle w:val="14"/>
        <w:spacing w:line="560" w:lineRule="exact"/>
        <w:ind w:right="210" w:firstLine="666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促进技术与产业紧密结合。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推进工业软件研发应用，形成一批面向数字化车间、智能工厂、工业互联网的工业软件和解决方案， 孵化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个以上工业 APP。研发突破嵌入式操作系统，率先推动开源鸿蒙等国产嵌入式操作系统在家电行业应用。加快发展面向设计开发、生产制造、售后服务全过程的观测、分析、测试、检验、标准、认证等服务。开展标准化服务业试点示范建设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（责任单位：市工业和信息化局、市市场监管局等相关部门按职责分工负责）</w:t>
      </w:r>
    </w:p>
    <w:p>
      <w:pPr>
        <w:pStyle w:val="14"/>
        <w:spacing w:line="560" w:lineRule="exact"/>
        <w:ind w:right="210" w:firstLine="664" w:firstLineChars="200"/>
        <w:contextualSpacing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楷体_GB2312" w:eastAsia="楷体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（四）市场主体培育行动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11. 持续壮大产业规模。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培育和遴选一批具有生态主导力的现代服务业链主企业，遴选“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+”龙头企业树立标杆、“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+”成长企业匠心扶持、“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+”潜力企业孵化培育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形成雁阵发展模式。实施服务业“专精特新”企业培育工程。支持符合条件的新兴服务业企业通过登陆资本市场做优做强。用好现行支持企业规模提升政策措施，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有序推进服务业主体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个转企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小升规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引育</w:t>
      </w:r>
      <w:r>
        <w:rPr>
          <w:rFonts w:hint="eastAsia" w:eastAsia="仿宋_GB2312"/>
          <w:bCs/>
          <w:sz w:val="32"/>
          <w:szCs w:val="32"/>
        </w:rPr>
        <w:t>一批</w:t>
      </w:r>
      <w:r>
        <w:rPr>
          <w:rFonts w:eastAsia="仿宋_GB2312"/>
          <w:bCs/>
          <w:sz w:val="32"/>
          <w:szCs w:val="32"/>
        </w:rPr>
        <w:t>中介</w:t>
      </w:r>
      <w:r>
        <w:rPr>
          <w:rFonts w:hint="eastAsia" w:eastAsia="仿宋_GB2312"/>
          <w:bCs/>
          <w:sz w:val="32"/>
          <w:szCs w:val="32"/>
        </w:rPr>
        <w:t>专业</w:t>
      </w:r>
      <w:r>
        <w:rPr>
          <w:rFonts w:eastAsia="仿宋_GB2312"/>
          <w:bCs/>
          <w:sz w:val="32"/>
          <w:szCs w:val="32"/>
        </w:rPr>
        <w:t>机构，发展一批行业商协会、产业联盟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（责任单位：市发展改革委、市科技局、市工业和信息化局、市财政局、市文化和旅游局、市地方金融监管局、市民营经济局等相关部门按职责分工负责）</w:t>
      </w:r>
    </w:p>
    <w:p>
      <w:pPr>
        <w:widowControl/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12. 加快总部经济集聚。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仿宋_GB2312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重点推动浮山湾、唐岛湾、金家岭集聚区发展，在以上3个重点总部企业集聚发展基础比较好的区域内，利用国家、省市相关配套政策的红利，做好总部经济发展的政策服务支撑体系，重点培育和发展我市现代服务业、高新技术产业和优势传统产业企业总部，发挥我市主导产业对产业链总部企业的带动和汇集作用，促进总部产业链相关企业聚集发展，加快形成优势产业集群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（责任单位：市商务局等相关部门按职责分工负责）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13. 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做强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青岛服务品牌。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培育新一代“青岛金花”企业，支持企业打响服务品牌，健全品牌营运管理体系。深入实施服务业“标准+”行动，鼓励第三方研究机构加强品牌挖掘、发布、推广和服务。开展新锐品牌培育计划，挖掘一批在产品、服务、销售等方面具有创新性的品牌企业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鼓励知识产权运营公司与高校院所、企业</w:t>
      </w:r>
      <w:r>
        <w:rPr>
          <w:rFonts w:asci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联合开展知识产权创造、布局、引进、转让等活动，形成国内知名知识产权服务品牌。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（责任单位：市发展和改革委、市工业和信息化局、市农业农村局市文化和旅游局、市市场监管局等相关部门按职责分工负责）</w:t>
      </w:r>
    </w:p>
    <w:p>
      <w:pPr>
        <w:widowControl/>
        <w:spacing w:line="560" w:lineRule="exact"/>
        <w:ind w:firstLine="675"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提升载体承载能力。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以“数字赋能、特色鲜明、业态高端、能级突出”为导向，创建打造一批、提质升级一批、谋划培育一批现代服务业集聚区。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实施楼宇经济成长行动，制定楼宇更新改造、专业特色楼宇培育等清单，启动老旧商务楼宇更新改造试点，培育发展一批金融楼、信息楼等特色楼宇。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探索“人才、资本、项目”打包引进模式，畅通平台、中介、龙头、数字等多元招商渠道，实施跨层级、跨地域协同招商。争取到2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年，招引高能级服务业企业（项目）3</w:t>
      </w:r>
      <w:r>
        <w:rPr>
          <w:rFonts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家以上，服务业累计实际利用外资超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亿美元，服务业重大项目投资累计达到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□□</w:t>
      </w:r>
      <w:r>
        <w:rPr>
          <w:rFonts w:hint="eastAsia" w:ascii="Times New Roman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万亿元。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（责任单位：市发展改革委、市科技局、市工业和信息化局等相关部门按职责分工负责）</w:t>
      </w:r>
    </w:p>
    <w:p>
      <w:pPr>
        <w:widowControl/>
        <w:spacing w:line="560" w:lineRule="exact"/>
        <w:ind w:firstLine="67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楷体_GB2312" w:eastAsia="楷体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（五）消费提质扩容行动</w:t>
      </w:r>
    </w:p>
    <w:p>
      <w:pPr>
        <w:spacing w:line="560" w:lineRule="exact"/>
        <w:ind w:firstLine="666" w:firstLineChars="200"/>
        <w:contextualSpacing/>
        <w:rPr>
          <w:rFonts w:ascii="楷体_GB2312" w:hAnsi="Times New Roman" w:eastAsia="楷体_GB2312" w:cs="Times New Roman"/>
          <w:spacing w:val="6"/>
          <w:sz w:val="32"/>
          <w:szCs w:val="32"/>
        </w:rPr>
      </w:pP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推动传统消费升级。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亿惠青岛消费年”系列活动，组织重点商圈、特色商街、商业企业、品牌企业开展营销活动。发放零售、餐饮、文旅、家电、汽车等惠民消费券，提升领取使用便利度。改造提升商品批发市场信息化水平、线上线下融合能力以及服务拓展功能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（责任单位：市发展改革委、市商务局、市财政局、市文化和旅游局、市市场监管局等相关部门按职责分工负责）</w:t>
      </w:r>
    </w:p>
    <w:p>
      <w:pPr>
        <w:spacing w:line="560" w:lineRule="exact"/>
        <w:ind w:firstLine="666" w:firstLineChars="200"/>
        <w:contextualSpacing/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16. 大力发展新型消费。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直播电商、社群电商、“小程序”电商发展。鼓励电商企业对重点商家、品牌给予入驻、流量、数据等专项支持。鼓励企业开展智能、节能家电和通讯产品以旧换新活动。建设一批集文创商店、小剧场、艺术展览、沉浸式体验型项目等多种业态的新型文旅消费集聚地。发展“四首经济”，对在我市开设全国、全省首店的知名国际国内品牌零售及餐饮企业，择优给予奖励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鼓励金融机构丰富消费信贷金融产品，合理放宽消费信贷期限，降低消费信贷利率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（责任单位：市发展改革委、市商务局、市文化和旅游局、市地方金融监管局等相关部门按职责分工负责）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17. 营造丰富消费场景。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地标性夜生活集聚区，探索24小时营业区试点，创建3至5家省级以上夜间文化和旅游消费集聚区。加快台东步行街改造升级，争创国家级示范步行街。探索设立周末分时段步行街区。评选城市有机更新与消费场景营造示范项目和示范案例。在不影响周边居民和单位正常生产生活的前提下，有序放开酒吧、咖啡店、轻餐饮店等的“外摆位”限制，组织开展“外摆”试点。打造一批消费新场景，每年评选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家市级消费新场景示范项目。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（责任单位：市发展改革委、市城市管理局、市商务局、市文化和旅游局等相关部门按职责分工负责）</w:t>
      </w:r>
    </w:p>
    <w:p>
      <w:pPr>
        <w:pStyle w:val="11"/>
        <w:spacing w:line="560" w:lineRule="exact"/>
        <w:ind w:firstLine="664"/>
        <w:contextualSpacing/>
        <w:rPr>
          <w:rFonts w:hint="default" w:ascii="Times New Roman" w:eastAsia="楷体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楷体_GB2312" w:eastAsia="楷体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楷体_GB2312" w:eastAsia="楷体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楷体_GB2312" w:eastAsia="楷体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）深化改革开放行动</w:t>
      </w:r>
    </w:p>
    <w:p>
      <w:pPr>
        <w:adjustRightInd w:val="0"/>
        <w:spacing w:line="560" w:lineRule="exact"/>
        <w:ind w:firstLine="666" w:firstLineChars="200"/>
        <w:contextualSpacing/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增强辐射带动能力。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生产服务型（港口型）和商贸服务型国家物流枢纽建设，打造国家物流枢纽建设运营新标杆。建设“中日韩海上高速公路”，稳步发展中韩陆海联运通道，适时发展整车运输。加强山东半岛城市群及沿黄流域重要内陆枢纽城市的协同联动，打造区域性中欧班列集结中心。推动RCEP成员、上合组织、一带一路沿线等国家消费类商品在我市集聚，推动日韩消费专区建设。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（责任单位：市发展改革委、市交通运输局、市商务局等相关部门按职责分工负责）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19. 加快推进试点示范。</w:t>
      </w:r>
      <w:r>
        <w:rPr>
          <w:rFonts w:ascii="Times New Roman" w:hAnsi="Times New Roman" w:eastAsia="仿宋_GB2312" w:cs="Times New Roman"/>
          <w:sz w:val="32"/>
          <w:szCs w:val="32"/>
        </w:rPr>
        <w:t>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山东自贸区青岛片区、上合示范区制度型开放，加快</w:t>
      </w:r>
      <w:r>
        <w:rPr>
          <w:rFonts w:ascii="Times New Roman" w:hAnsi="Times New Roman" w:eastAsia="仿宋_GB2312" w:cs="Times New Roman"/>
          <w:sz w:val="32"/>
          <w:szCs w:val="32"/>
        </w:rPr>
        <w:t>西海岸新区国家进口贸易促进创新示范区建设，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争取国际登记船舶开放入级检验、第五航权、原油非国营贸易进口资质等试点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持续深化国家级多式联运示范工程和上合示范区省级多式联运“一单制”试点工程建设。争创国家数字服务出口基地、国家文化出口基地。</w:t>
      </w:r>
      <w:r>
        <w:rPr>
          <w:rFonts w:ascii="Times New Roman" w:hAnsi="Times New Roman" w:eastAsia="仿宋_GB2312" w:cs="Times New Roman"/>
          <w:sz w:val="32"/>
          <w:szCs w:val="32"/>
        </w:rPr>
        <w:t>争创国家服务业开放试点城市，推动金融、电信、教育、医疗、文化等重点服务业领域扩大开放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期现联动做强一批大宗商品市场平台，开展产能预售、仓单互认等业务试点。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责任单位：市委改革办、市发展改革委、市交通运输局、市商务局、市文化和旅游局、西海岸新区管委、青岛自贸片区工委管委、上合示范区管委等相关部门按职责分工负责）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20. 深化放管服改革。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国家、省各项税费支持政策，贯彻小微企业税收优惠政策，落实提高企业研发费用加计扣除比例、股权激励递延纳税和技术成果投资入股选择性税收优惠等政策。探索适应服务业新业态新模式发展的准入准营标准、“沙盒”监管方式等。鼓励民营企业通过资本联合、模式创新等参与国有企业重大项目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在人员出入境、外籍人才永久居留、外国人来华工作许可等方面，实施更加开放便利的政策措施。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责任单位：市科技局、市财政局、市行政审批局、市税务局等相关部门按职责分工负责）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</w:rPr>
        <w:t>保障措施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（一）优化完善体制机制。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充分</w:t>
      </w:r>
      <w:r>
        <w:rPr>
          <w:rFonts w:ascii="Times New Roman" w:hAnsi="Times New Roman" w:eastAsia="仿宋_GB2312" w:cs="Times New Roman"/>
          <w:sz w:val="32"/>
          <w:szCs w:val="32"/>
        </w:rPr>
        <w:t>发挥市服务业发展领导小组统筹协调作用，建立“1+10”工作体制，设立综合协调组和10个部门专项工作组。构建“1+N”扶持政策体系，聚焦共性问题和薄弱环节优化完善1个综合性政策，聚焦关键领域和重点行业优化完善N个专项政策，重塑服务业发展体制机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</w:t>
      </w:r>
      <w:r>
        <w:rPr>
          <w:rFonts w:ascii="Times New Roman" w:hAnsi="Times New Roman" w:eastAsia="仿宋_GB2312" w:cs="Times New Roman"/>
          <w:sz w:val="32"/>
          <w:szCs w:val="32"/>
        </w:rPr>
        <w:t>重点任务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、支持政策、重点项目、重大活动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张清单”，清单式推进现代服务业高质量发展。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责任单位：各相关部门按职责分工负责）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（二）强化提升要素保障。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统筹用好支持服务业高质量发展相关政策措施，引导支持产业发展。做大服务业产业基金规模，撬动社会资本参与服务业新兴领域培育壮大。优化土地供应调控机制，探索新型产业用地M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等土地供给模式，创新用地供给方式。推进实施“青岛菁英工程”人才，评选产业领军人才和行业拔尖人才，推动生产性服务人才专业化、生活性服务人才职业化发展，完善灵活就业人员社会保险政策。深化数字要素市场化改革，充分释放数据要素红利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责任单位：市委组织部、市发展改革委、市人力资源保障局、市财政局、市自然资源和规划局、地方金融监管局、市大数据局按职责分工负责）</w:t>
      </w:r>
    </w:p>
    <w:p>
      <w:pPr>
        <w:adjustRightInd w:val="0"/>
        <w:spacing w:line="560" w:lineRule="exact"/>
        <w:ind w:firstLine="664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（三）完善数字监测分析。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惠企政策直达快享，充分发挥“青岛政策通”平台作用，实现现代服务业政策全流程数字化管理。完善统计监测，探索建立符合现代服务业高质量发展要求的服务业统计调查制度。推进产业平台建设，建立现代服务业发展形势分析制度，加强重点行业和重点企业运行监测分析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责任单位：市发展改革委、市统计局、市民营经济局按职责分工负责）</w:t>
      </w:r>
    </w:p>
    <w:p>
      <w:pPr>
        <w:widowControl/>
        <w:adjustRightInd w:val="0"/>
        <w:spacing w:line="560" w:lineRule="exact"/>
        <w:ind w:firstLine="640" w:firstLineChars="200"/>
        <w:contextualSpacing/>
        <w:jc w:val="left"/>
        <w:rPr>
          <w:rFonts w:asci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（四）加大考核督查激励。</w:t>
      </w:r>
      <w:r>
        <w:rPr>
          <w:rFonts w:hint="eastAsia" w:ascii="仿宋_GB2312" w:eastAsia="仿宋_GB2312" w:cs="仿宋_GB2312"/>
          <w:spacing w:val="6"/>
          <w:sz w:val="32"/>
          <w:szCs w:val="32"/>
        </w:rPr>
        <w:t>完善服务业专项考核体系，领导小组按年度制定工作要点，各区市、部门及工作组负责具体工作推进落实，考核结果纳入全市高质量发展考核体系。建立健全督查和通报机制，做到有奖有惩，推动资源要素、扶持政策向工作力度大、成效好的区市、部门及工作组集中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pacing w:val="6"/>
          <w:sz w:val="32"/>
          <w:szCs w:val="32"/>
        </w:rPr>
        <w:t>责任单位：各相关部门按职责分工负责）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210" w:firstLine="2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210" w:firstLine="2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210"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C047D"/>
    <w:multiLevelType w:val="multilevel"/>
    <w:tmpl w:val="E96C047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_GB2312" w:cs="宋体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sz w:val="32"/>
        <w:szCs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8B"/>
    <w:rsid w:val="00013583"/>
    <w:rsid w:val="000419C2"/>
    <w:rsid w:val="000C1201"/>
    <w:rsid w:val="001678BC"/>
    <w:rsid w:val="00250702"/>
    <w:rsid w:val="002E387D"/>
    <w:rsid w:val="00380598"/>
    <w:rsid w:val="00381FCA"/>
    <w:rsid w:val="003E7905"/>
    <w:rsid w:val="005579DE"/>
    <w:rsid w:val="00564225"/>
    <w:rsid w:val="00597180"/>
    <w:rsid w:val="005E28AF"/>
    <w:rsid w:val="005F0BC4"/>
    <w:rsid w:val="00602B03"/>
    <w:rsid w:val="0068021E"/>
    <w:rsid w:val="006C6CF6"/>
    <w:rsid w:val="0071649D"/>
    <w:rsid w:val="00761054"/>
    <w:rsid w:val="007A4086"/>
    <w:rsid w:val="007A6892"/>
    <w:rsid w:val="0087188B"/>
    <w:rsid w:val="0091500F"/>
    <w:rsid w:val="00922D31"/>
    <w:rsid w:val="00966612"/>
    <w:rsid w:val="009A4A34"/>
    <w:rsid w:val="009B2AAA"/>
    <w:rsid w:val="009F2D84"/>
    <w:rsid w:val="00AA7B20"/>
    <w:rsid w:val="00AF410F"/>
    <w:rsid w:val="00B34530"/>
    <w:rsid w:val="00BC1537"/>
    <w:rsid w:val="00C313EC"/>
    <w:rsid w:val="00C91A8D"/>
    <w:rsid w:val="00CE2507"/>
    <w:rsid w:val="00DA52D1"/>
    <w:rsid w:val="00E2520F"/>
    <w:rsid w:val="00E60817"/>
    <w:rsid w:val="00F73BDF"/>
    <w:rsid w:val="00FF208B"/>
    <w:rsid w:val="02DD00A0"/>
    <w:rsid w:val="0392154A"/>
    <w:rsid w:val="0757569F"/>
    <w:rsid w:val="078D1FE3"/>
    <w:rsid w:val="08A35A76"/>
    <w:rsid w:val="090F04C4"/>
    <w:rsid w:val="09952DD4"/>
    <w:rsid w:val="0C744BE0"/>
    <w:rsid w:val="0CA009B6"/>
    <w:rsid w:val="0DD07767"/>
    <w:rsid w:val="12E56C73"/>
    <w:rsid w:val="163E1931"/>
    <w:rsid w:val="169A505A"/>
    <w:rsid w:val="18573471"/>
    <w:rsid w:val="1B3043CC"/>
    <w:rsid w:val="1B7C622C"/>
    <w:rsid w:val="1C9B7BBA"/>
    <w:rsid w:val="1DC31E18"/>
    <w:rsid w:val="1DCC6235"/>
    <w:rsid w:val="1E016C46"/>
    <w:rsid w:val="20B22EEE"/>
    <w:rsid w:val="20E91824"/>
    <w:rsid w:val="218E4E10"/>
    <w:rsid w:val="219E00D5"/>
    <w:rsid w:val="22B54CE3"/>
    <w:rsid w:val="23F14E82"/>
    <w:rsid w:val="25220FCE"/>
    <w:rsid w:val="26F55F9B"/>
    <w:rsid w:val="277B3920"/>
    <w:rsid w:val="27AB04A3"/>
    <w:rsid w:val="2836353C"/>
    <w:rsid w:val="29CD3943"/>
    <w:rsid w:val="2AE40E73"/>
    <w:rsid w:val="2BBAA8F1"/>
    <w:rsid w:val="2CB3739B"/>
    <w:rsid w:val="2F267382"/>
    <w:rsid w:val="2F8F6F4A"/>
    <w:rsid w:val="320F5C45"/>
    <w:rsid w:val="33076611"/>
    <w:rsid w:val="345801E3"/>
    <w:rsid w:val="35DC5761"/>
    <w:rsid w:val="363318E4"/>
    <w:rsid w:val="36FB1E81"/>
    <w:rsid w:val="37321097"/>
    <w:rsid w:val="395066CD"/>
    <w:rsid w:val="397B70A9"/>
    <w:rsid w:val="3AD611BA"/>
    <w:rsid w:val="3B332B77"/>
    <w:rsid w:val="3CD928AE"/>
    <w:rsid w:val="3D7D78C2"/>
    <w:rsid w:val="3DF02C1B"/>
    <w:rsid w:val="3E934837"/>
    <w:rsid w:val="41115024"/>
    <w:rsid w:val="42834ADB"/>
    <w:rsid w:val="44B7728A"/>
    <w:rsid w:val="45696D32"/>
    <w:rsid w:val="463F548F"/>
    <w:rsid w:val="47AB5DF2"/>
    <w:rsid w:val="485D45B4"/>
    <w:rsid w:val="49DE032B"/>
    <w:rsid w:val="4C631334"/>
    <w:rsid w:val="4CE1090D"/>
    <w:rsid w:val="4DCE6EE8"/>
    <w:rsid w:val="50316486"/>
    <w:rsid w:val="50DF18A6"/>
    <w:rsid w:val="51C86B10"/>
    <w:rsid w:val="52187930"/>
    <w:rsid w:val="52E5417C"/>
    <w:rsid w:val="537D4A8C"/>
    <w:rsid w:val="53B54ECE"/>
    <w:rsid w:val="549A5427"/>
    <w:rsid w:val="549E14AB"/>
    <w:rsid w:val="55173D11"/>
    <w:rsid w:val="57AF2842"/>
    <w:rsid w:val="58115E5A"/>
    <w:rsid w:val="583D136B"/>
    <w:rsid w:val="58C7191D"/>
    <w:rsid w:val="59426EBB"/>
    <w:rsid w:val="594A6DA0"/>
    <w:rsid w:val="59805772"/>
    <w:rsid w:val="5A2D5045"/>
    <w:rsid w:val="5B182AF2"/>
    <w:rsid w:val="5D7B707D"/>
    <w:rsid w:val="610F66FC"/>
    <w:rsid w:val="61DD30BB"/>
    <w:rsid w:val="63E96F60"/>
    <w:rsid w:val="67FD7475"/>
    <w:rsid w:val="68A61818"/>
    <w:rsid w:val="6A841BD5"/>
    <w:rsid w:val="6BAA67C5"/>
    <w:rsid w:val="6E5E0B4E"/>
    <w:rsid w:val="6FF0558A"/>
    <w:rsid w:val="71D36A5F"/>
    <w:rsid w:val="71FB7A26"/>
    <w:rsid w:val="748332AF"/>
    <w:rsid w:val="75422757"/>
    <w:rsid w:val="75F33AB2"/>
    <w:rsid w:val="76DE193A"/>
    <w:rsid w:val="7716338E"/>
    <w:rsid w:val="773664A5"/>
    <w:rsid w:val="776C11BB"/>
    <w:rsid w:val="78F476A4"/>
    <w:rsid w:val="7A623205"/>
    <w:rsid w:val="7B815D5A"/>
    <w:rsid w:val="7B9F6B92"/>
    <w:rsid w:val="7CB31A3F"/>
    <w:rsid w:val="7CD83940"/>
    <w:rsid w:val="7CE36148"/>
    <w:rsid w:val="7ED61CE8"/>
    <w:rsid w:val="7F3D26DA"/>
    <w:rsid w:val="7F5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spacing w:line="560" w:lineRule="exact"/>
      <w:ind w:firstLine="632" w:firstLineChars="200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tabs>
        <w:tab w:val="left" w:pos="0"/>
      </w:tabs>
      <w:spacing w:line="560" w:lineRule="exact"/>
      <w:ind w:firstLine="632" w:firstLineChars="20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tabs>
        <w:tab w:val="left" w:pos="0"/>
      </w:tabs>
      <w:spacing w:line="560" w:lineRule="exact"/>
      <w:ind w:firstLine="632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仿宋_GB2312" w:hAnsi="仿宋_GB2312" w:eastAsia="仿宋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  <w:rPr>
      <w:rFonts w:hint="eastAsia" w:ascii="宋体" w:hAnsi="Times New Roman" w:cs="Times New Roman"/>
      <w:szCs w:val="24"/>
    </w:rPr>
  </w:style>
  <w:style w:type="paragraph" w:styleId="12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13">
    <w:name w:val="Balloon Text"/>
    <w:basedOn w:val="1"/>
    <w:link w:val="24"/>
    <w:qFormat/>
    <w:uiPriority w:val="0"/>
    <w:rPr>
      <w:sz w:val="18"/>
      <w:szCs w:val="18"/>
    </w:rPr>
  </w:style>
  <w:style w:type="paragraph" w:styleId="14">
    <w:name w:val="footer"/>
    <w:basedOn w:val="1"/>
    <w:link w:val="22"/>
    <w:qFormat/>
    <w:uiPriority w:val="0"/>
    <w:pPr>
      <w:tabs>
        <w:tab w:val="center" w:pos="4153"/>
        <w:tab w:val="right" w:pos="8306"/>
      </w:tabs>
      <w:ind w:right="316" w:rightChars="100" w:firstLine="316" w:firstLineChars="100"/>
    </w:pPr>
    <w:rPr>
      <w:rFonts w:ascii="宋体" w:hAnsi="宋体"/>
      <w:sz w:val="2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9">
    <w:name w:val="标题 2 字符"/>
    <w:link w:val="3"/>
    <w:qFormat/>
    <w:uiPriority w:val="0"/>
    <w:rPr>
      <w:rFonts w:ascii="Times New Roman" w:hAnsi="Times New Roman" w:eastAsia="楷体_GB2312" w:cs="Times New Roman"/>
    </w:rPr>
  </w:style>
  <w:style w:type="character" w:customStyle="1" w:styleId="20">
    <w:name w:val="标题 3 字符"/>
    <w:link w:val="4"/>
    <w:qFormat/>
    <w:uiPriority w:val="0"/>
    <w:rPr>
      <w:rFonts w:eastAsia="仿宋_GB2312"/>
    </w:r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_GBK" w:hAnsi="方正小标宋_GBK" w:eastAsia="方正小标宋_GBK"/>
      <w:sz w:val="44"/>
    </w:rPr>
  </w:style>
  <w:style w:type="character" w:customStyle="1" w:styleId="22">
    <w:name w:val="页脚 字符"/>
    <w:basedOn w:val="18"/>
    <w:link w:val="14"/>
    <w:qFormat/>
    <w:uiPriority w:val="0"/>
    <w:rPr>
      <w:rFonts w:ascii="宋体" w:hAnsi="宋体" w:cs="黑体"/>
      <w:kern w:val="2"/>
      <w:sz w:val="28"/>
      <w:szCs w:val="22"/>
    </w:rPr>
  </w:style>
  <w:style w:type="paragraph" w:customStyle="1" w:styleId="23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字符"/>
    <w:basedOn w:val="18"/>
    <w:link w:val="1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1171</Words>
  <Characters>6676</Characters>
  <Lines>55</Lines>
  <Paragraphs>15</Paragraphs>
  <TotalTime>2334</TotalTime>
  <ScaleCrop>false</ScaleCrop>
  <LinksUpToDate>false</LinksUpToDate>
  <CharactersWithSpaces>7832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2021-03-11T15:44:00Z</dcterms:created>
  <dc:creator>Lenovo</dc:creator>
  <cp:lastModifiedBy>user</cp:lastModifiedBy>
  <dcterms:modified xsi:type="dcterms:W3CDTF">2023-04-10T17:01:23Z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873F9E1814664D8393C3485D2C633FA0</vt:lpwstr>
  </property>
</Properties>
</file>