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center"/>
        <w:rPr>
          <w:rFonts w:hint="eastAsia" w:ascii="方正小标宋简体" w:hAnsi="方正小标宋简体" w:eastAsia="方正小标宋简体" w:cs="方正小标宋简体"/>
          <w:b w:val="0"/>
          <w:bCs/>
          <w:caps w:val="0"/>
          <w:color w:val="000000"/>
          <w:spacing w:val="0"/>
          <w:sz w:val="44"/>
          <w:szCs w:val="44"/>
        </w:rPr>
      </w:pPr>
      <w:bookmarkStart w:id="0" w:name="_GoBack"/>
      <w:r>
        <w:rPr>
          <w:rStyle w:val="5"/>
          <w:rFonts w:hint="eastAsia" w:ascii="方正小标宋简体" w:hAnsi="方正小标宋简体" w:eastAsia="方正小标宋简体" w:cs="方正小标宋简体"/>
          <w:b w:val="0"/>
          <w:bCs/>
          <w:caps w:val="0"/>
          <w:color w:val="000000"/>
          <w:spacing w:val="0"/>
          <w:sz w:val="44"/>
          <w:szCs w:val="44"/>
          <w:bdr w:val="none" w:color="auto" w:sz="0" w:space="0"/>
          <w:shd w:val="clear" w:fill="FFFFFF"/>
        </w:rPr>
        <w:t>区（市）级耕地保护激励评价指标体系及权重</w:t>
      </w:r>
      <w:bookmarkEnd w:id="0"/>
    </w:p>
    <w:tbl>
      <w:tblPr>
        <w:tblW w:w="144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706"/>
        <w:gridCol w:w="1697"/>
        <w:gridCol w:w="5991"/>
        <w:gridCol w:w="3123"/>
        <w:gridCol w:w="2162"/>
        <w:gridCol w:w="8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7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000000"/>
                <w:spacing w:val="0"/>
                <w:sz w:val="24"/>
                <w:szCs w:val="24"/>
                <w:bdr w:val="none" w:color="auto" w:sz="0" w:space="0"/>
              </w:rPr>
              <w:t>序号</w:t>
            </w:r>
          </w:p>
        </w:tc>
        <w:tc>
          <w:tcPr>
            <w:tcW w:w="169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000000"/>
                <w:spacing w:val="0"/>
                <w:sz w:val="24"/>
                <w:szCs w:val="24"/>
                <w:bdr w:val="none" w:color="auto" w:sz="0" w:space="0"/>
              </w:rPr>
              <w:t>评价指标</w:t>
            </w:r>
          </w:p>
        </w:tc>
        <w:tc>
          <w:tcPr>
            <w:tcW w:w="598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000000"/>
                <w:spacing w:val="0"/>
                <w:sz w:val="24"/>
                <w:szCs w:val="24"/>
                <w:bdr w:val="none" w:color="auto" w:sz="0" w:space="0"/>
              </w:rPr>
              <w:t>评价标准</w:t>
            </w:r>
          </w:p>
        </w:tc>
        <w:tc>
          <w:tcPr>
            <w:tcW w:w="31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000000"/>
                <w:spacing w:val="0"/>
                <w:sz w:val="24"/>
                <w:szCs w:val="24"/>
                <w:bdr w:val="none" w:color="auto" w:sz="0" w:space="0"/>
              </w:rPr>
              <w:t>评分依据</w:t>
            </w:r>
          </w:p>
        </w:tc>
        <w:tc>
          <w:tcPr>
            <w:tcW w:w="21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000000"/>
                <w:spacing w:val="0"/>
                <w:sz w:val="24"/>
                <w:szCs w:val="24"/>
                <w:bdr w:val="none" w:color="auto" w:sz="0" w:space="0"/>
              </w:rPr>
              <w:t>数据来源</w:t>
            </w:r>
          </w:p>
        </w:tc>
        <w:tc>
          <w:tcPr>
            <w:tcW w:w="81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000000"/>
                <w:spacing w:val="0"/>
                <w:sz w:val="24"/>
                <w:szCs w:val="24"/>
                <w:bdr w:val="none" w:color="auto" w:sz="0" w:space="0"/>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830" w:hRule="atLeast"/>
        </w:trPr>
        <w:tc>
          <w:tcPr>
            <w:tcW w:w="7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000000"/>
                <w:spacing w:val="0"/>
                <w:sz w:val="24"/>
                <w:szCs w:val="24"/>
                <w:bdr w:val="none" w:color="auto" w:sz="0" w:space="0"/>
              </w:rPr>
              <w:t>1</w:t>
            </w:r>
          </w:p>
        </w:tc>
        <w:tc>
          <w:tcPr>
            <w:tcW w:w="169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 w:lineRule="atLeast"/>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000000"/>
                <w:spacing w:val="0"/>
                <w:sz w:val="24"/>
                <w:szCs w:val="24"/>
                <w:bdr w:val="none" w:color="auto" w:sz="0" w:space="0"/>
              </w:rPr>
              <w:t>耕地保有量完成情况</w:t>
            </w:r>
          </w:p>
        </w:tc>
        <w:tc>
          <w:tcPr>
            <w:tcW w:w="598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 w:lineRule="atLeast"/>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000000"/>
                <w:spacing w:val="0"/>
                <w:sz w:val="24"/>
                <w:szCs w:val="24"/>
                <w:bdr w:val="none" w:color="auto" w:sz="0" w:space="0"/>
              </w:rPr>
              <w:t>（1）上一年末实有耕地面积与规划确定的耕地保有量目标比较，大于等于的得10分；（2）以区、市耕地保有量为基数，每高于基数5%的加1分，最高不超过3分；（3）以区、市为单位，全市实有耕地面积平均值为基数，高于基数10%的加1分，高于基数20%的加2分，最高不超过2分。</w:t>
            </w:r>
          </w:p>
        </w:tc>
        <w:tc>
          <w:tcPr>
            <w:tcW w:w="31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 w:lineRule="atLeast"/>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000000"/>
                <w:spacing w:val="0"/>
                <w:sz w:val="24"/>
                <w:szCs w:val="24"/>
                <w:bdr w:val="none" w:color="auto" w:sz="0" w:space="0"/>
              </w:rPr>
              <w:t>年度国土变更调查成果</w:t>
            </w:r>
          </w:p>
        </w:tc>
        <w:tc>
          <w:tcPr>
            <w:tcW w:w="21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 w:lineRule="atLeast"/>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000000"/>
                <w:spacing w:val="0"/>
                <w:sz w:val="24"/>
                <w:szCs w:val="24"/>
                <w:bdr w:val="none" w:color="auto" w:sz="0" w:space="0"/>
              </w:rPr>
              <w:t>市自然资源和规划局</w:t>
            </w:r>
          </w:p>
        </w:tc>
        <w:tc>
          <w:tcPr>
            <w:tcW w:w="81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000000"/>
                <w:spacing w:val="0"/>
                <w:sz w:val="24"/>
                <w:szCs w:val="24"/>
                <w:bdr w:val="none" w:color="auto" w:sz="0" w:space="0"/>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60" w:hRule="atLeast"/>
        </w:trPr>
        <w:tc>
          <w:tcPr>
            <w:tcW w:w="7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000000"/>
                <w:spacing w:val="0"/>
                <w:sz w:val="24"/>
                <w:szCs w:val="24"/>
                <w:bdr w:val="none" w:color="auto" w:sz="0" w:space="0"/>
              </w:rPr>
              <w:t>2</w:t>
            </w:r>
          </w:p>
        </w:tc>
        <w:tc>
          <w:tcPr>
            <w:tcW w:w="169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 w:lineRule="atLeast"/>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000000"/>
                <w:spacing w:val="0"/>
                <w:sz w:val="24"/>
                <w:szCs w:val="24"/>
                <w:bdr w:val="none" w:color="auto" w:sz="0" w:space="0"/>
              </w:rPr>
              <w:t>永久基本农田保护任务完成情况</w:t>
            </w:r>
          </w:p>
        </w:tc>
        <w:tc>
          <w:tcPr>
            <w:tcW w:w="598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 w:lineRule="atLeast"/>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000000"/>
                <w:spacing w:val="0"/>
                <w:sz w:val="24"/>
                <w:szCs w:val="24"/>
                <w:bdr w:val="none" w:color="auto" w:sz="0" w:space="0"/>
              </w:rPr>
              <w:t>上一年末永久基本农田面积与规划确定的永久基本农田保护目标比较，大于等于的得15分。</w:t>
            </w:r>
          </w:p>
        </w:tc>
        <w:tc>
          <w:tcPr>
            <w:tcW w:w="31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 w:lineRule="atLeast"/>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000000"/>
                <w:spacing w:val="0"/>
                <w:sz w:val="24"/>
                <w:szCs w:val="24"/>
                <w:bdr w:val="none" w:color="auto" w:sz="0" w:space="0"/>
              </w:rPr>
              <w:t>年度国土变更调查成果</w:t>
            </w:r>
          </w:p>
        </w:tc>
        <w:tc>
          <w:tcPr>
            <w:tcW w:w="21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 w:lineRule="atLeast"/>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000000"/>
                <w:spacing w:val="0"/>
                <w:sz w:val="24"/>
                <w:szCs w:val="24"/>
                <w:bdr w:val="none" w:color="auto" w:sz="0" w:space="0"/>
              </w:rPr>
              <w:t>市自然资源和规划局</w:t>
            </w:r>
          </w:p>
        </w:tc>
        <w:tc>
          <w:tcPr>
            <w:tcW w:w="81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000000"/>
                <w:spacing w:val="0"/>
                <w:sz w:val="24"/>
                <w:szCs w:val="24"/>
                <w:bdr w:val="none" w:color="auto" w:sz="0" w:space="0"/>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395" w:hRule="atLeast"/>
        </w:trPr>
        <w:tc>
          <w:tcPr>
            <w:tcW w:w="7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000000"/>
                <w:spacing w:val="0"/>
                <w:sz w:val="24"/>
                <w:szCs w:val="24"/>
                <w:bdr w:val="none" w:color="auto" w:sz="0" w:space="0"/>
              </w:rPr>
              <w:t>3</w:t>
            </w:r>
          </w:p>
        </w:tc>
        <w:tc>
          <w:tcPr>
            <w:tcW w:w="169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 w:lineRule="atLeast"/>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000000"/>
                <w:spacing w:val="0"/>
                <w:sz w:val="24"/>
                <w:szCs w:val="24"/>
                <w:bdr w:val="none" w:color="auto" w:sz="0" w:space="0"/>
              </w:rPr>
              <w:t>耕地占补平衡落实情况</w:t>
            </w:r>
          </w:p>
        </w:tc>
        <w:tc>
          <w:tcPr>
            <w:tcW w:w="598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 w:lineRule="atLeast"/>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000000"/>
                <w:spacing w:val="0"/>
                <w:sz w:val="24"/>
                <w:szCs w:val="24"/>
                <w:bdr w:val="none" w:color="auto" w:sz="0" w:space="0"/>
              </w:rPr>
              <w:t>（1）上一年度补充耕地面积大于等于新增建设用地占用耕地面积的得5分；（2）上一年度内每新增入库耕地面积500亩加0.2分，最高不超过3分；上一年度高标准农田建设新增耕地面积纳入补充耕地储备库，每新增耕地300亩加1分，最高不超过2分。</w:t>
            </w:r>
          </w:p>
        </w:tc>
        <w:tc>
          <w:tcPr>
            <w:tcW w:w="31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 w:lineRule="atLeast"/>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000000"/>
                <w:spacing w:val="0"/>
                <w:sz w:val="24"/>
                <w:szCs w:val="24"/>
                <w:bdr w:val="none" w:color="auto" w:sz="0" w:space="0"/>
              </w:rPr>
              <w:t>青岛市建设用地审批系统、全国耕地占补平衡动态监管系统</w:t>
            </w:r>
          </w:p>
        </w:tc>
        <w:tc>
          <w:tcPr>
            <w:tcW w:w="21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 w:lineRule="atLeast"/>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000000"/>
                <w:spacing w:val="0"/>
                <w:sz w:val="24"/>
                <w:szCs w:val="24"/>
                <w:bdr w:val="none" w:color="auto" w:sz="0" w:space="0"/>
              </w:rPr>
              <w:t>市自然资源和规划局</w:t>
            </w:r>
          </w:p>
        </w:tc>
        <w:tc>
          <w:tcPr>
            <w:tcW w:w="81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000000"/>
                <w:spacing w:val="0"/>
                <w:sz w:val="24"/>
                <w:szCs w:val="24"/>
                <w:bdr w:val="none" w:color="auto" w:sz="0" w:space="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115" w:hRule="atLeast"/>
        </w:trPr>
        <w:tc>
          <w:tcPr>
            <w:tcW w:w="7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000000"/>
                <w:spacing w:val="0"/>
                <w:sz w:val="24"/>
                <w:szCs w:val="24"/>
                <w:bdr w:val="none" w:color="auto" w:sz="0" w:space="0"/>
              </w:rPr>
              <w:t>4</w:t>
            </w:r>
          </w:p>
        </w:tc>
        <w:tc>
          <w:tcPr>
            <w:tcW w:w="169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 w:lineRule="atLeast"/>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000000"/>
                <w:spacing w:val="0"/>
                <w:sz w:val="24"/>
                <w:szCs w:val="24"/>
                <w:bdr w:val="none" w:color="auto" w:sz="0" w:space="0"/>
              </w:rPr>
              <w:t>耕地占补平衡项目、增减挂钩项目实施和后期管护情况</w:t>
            </w:r>
          </w:p>
        </w:tc>
        <w:tc>
          <w:tcPr>
            <w:tcW w:w="598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 w:lineRule="atLeast"/>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000000"/>
                <w:spacing w:val="0"/>
                <w:sz w:val="24"/>
                <w:szCs w:val="24"/>
                <w:bdr w:val="none" w:color="auto" w:sz="0" w:space="0"/>
              </w:rPr>
              <w:t>（1）抽查的耕地占补平衡项目预算资金中的后期管护资金大于等于投资总额1%的得4分，低于1%的不得分；（2）上一年度补充耕地核查中新增耕地全部属实的得4分，抽查的耕地不实规模与抽查的补充耕地规模相比，按照比值乘以分值计算相应扣分。（3）抽查的增减挂钩项目后期管护资金和措施到位，没有发生“非农化”“非粮化”等耕地不实情形的得2分，按照抽查的耕地不实规模与抽查的新增耕地规模相比，按照比值乘以分值计算相应扣分。</w:t>
            </w:r>
          </w:p>
        </w:tc>
        <w:tc>
          <w:tcPr>
            <w:tcW w:w="31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 w:lineRule="atLeast"/>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000000"/>
                <w:spacing w:val="0"/>
                <w:sz w:val="24"/>
                <w:szCs w:val="24"/>
                <w:bdr w:val="none" w:color="auto" w:sz="0" w:space="0"/>
              </w:rPr>
              <w:t>山东省耕地保护动态监管工作平台耕地占补平衡项目核查结果；增减挂钩项目核查结果</w:t>
            </w:r>
          </w:p>
        </w:tc>
        <w:tc>
          <w:tcPr>
            <w:tcW w:w="21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 w:lineRule="atLeast"/>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000000"/>
                <w:spacing w:val="0"/>
                <w:sz w:val="24"/>
                <w:szCs w:val="24"/>
                <w:bdr w:val="none" w:color="auto" w:sz="0" w:space="0"/>
              </w:rPr>
              <w:t>市自然资源和规划局</w:t>
            </w:r>
          </w:p>
        </w:tc>
        <w:tc>
          <w:tcPr>
            <w:tcW w:w="81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000000"/>
                <w:spacing w:val="0"/>
                <w:sz w:val="24"/>
                <w:szCs w:val="24"/>
                <w:bdr w:val="none" w:color="auto" w:sz="0" w:space="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60" w:hRule="atLeast"/>
        </w:trPr>
        <w:tc>
          <w:tcPr>
            <w:tcW w:w="7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000000"/>
                <w:spacing w:val="0"/>
                <w:sz w:val="24"/>
                <w:szCs w:val="24"/>
                <w:bdr w:val="none" w:color="auto" w:sz="0" w:space="0"/>
              </w:rPr>
              <w:t>5</w:t>
            </w:r>
          </w:p>
        </w:tc>
        <w:tc>
          <w:tcPr>
            <w:tcW w:w="169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 w:lineRule="atLeast"/>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000000"/>
                <w:spacing w:val="0"/>
                <w:sz w:val="24"/>
                <w:szCs w:val="24"/>
                <w:bdr w:val="none" w:color="auto" w:sz="0" w:space="0"/>
              </w:rPr>
              <w:t>耕地进出平衡项目实施情况</w:t>
            </w:r>
          </w:p>
        </w:tc>
        <w:tc>
          <w:tcPr>
            <w:tcW w:w="598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 w:lineRule="atLeast"/>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000000"/>
                <w:spacing w:val="0"/>
                <w:sz w:val="24"/>
                <w:szCs w:val="24"/>
                <w:bdr w:val="none" w:color="auto" w:sz="0" w:space="0"/>
              </w:rPr>
              <w:t>（1）编制完成年度耕地进出平衡总体方案并备案，得5分；（2）实施完成进出平衡总体方案确定的拟整治恢复耕地的规模并验收备案入库的得5分。</w:t>
            </w:r>
          </w:p>
        </w:tc>
        <w:tc>
          <w:tcPr>
            <w:tcW w:w="31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 w:lineRule="atLeast"/>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000000"/>
                <w:spacing w:val="0"/>
                <w:sz w:val="24"/>
                <w:szCs w:val="24"/>
                <w:bdr w:val="none" w:color="auto" w:sz="0" w:space="0"/>
              </w:rPr>
              <w:t>年度变更调查成果、耕地进出平衡指标储备库</w:t>
            </w:r>
          </w:p>
        </w:tc>
        <w:tc>
          <w:tcPr>
            <w:tcW w:w="21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 w:lineRule="atLeast"/>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000000"/>
                <w:spacing w:val="0"/>
                <w:sz w:val="24"/>
                <w:szCs w:val="24"/>
                <w:bdr w:val="none" w:color="auto" w:sz="0" w:space="0"/>
              </w:rPr>
              <w:t>市自然资源和规划局</w:t>
            </w:r>
          </w:p>
        </w:tc>
        <w:tc>
          <w:tcPr>
            <w:tcW w:w="81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000000"/>
                <w:spacing w:val="0"/>
                <w:sz w:val="24"/>
                <w:szCs w:val="24"/>
                <w:bdr w:val="none" w:color="auto" w:sz="0" w:space="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400" w:hRule="atLeast"/>
        </w:trPr>
        <w:tc>
          <w:tcPr>
            <w:tcW w:w="7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000000"/>
                <w:spacing w:val="0"/>
                <w:sz w:val="24"/>
                <w:szCs w:val="24"/>
                <w:bdr w:val="none" w:color="auto" w:sz="0" w:space="0"/>
              </w:rPr>
              <w:t>6</w:t>
            </w:r>
          </w:p>
        </w:tc>
        <w:tc>
          <w:tcPr>
            <w:tcW w:w="169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 w:lineRule="atLeast"/>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000000"/>
                <w:spacing w:val="0"/>
                <w:sz w:val="24"/>
                <w:szCs w:val="24"/>
                <w:bdr w:val="none" w:color="auto" w:sz="0" w:space="0"/>
              </w:rPr>
              <w:t>违法占用耕地和永久基本农田情况</w:t>
            </w:r>
          </w:p>
        </w:tc>
        <w:tc>
          <w:tcPr>
            <w:tcW w:w="598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 w:lineRule="atLeast"/>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000000"/>
                <w:spacing w:val="0"/>
                <w:sz w:val="24"/>
                <w:szCs w:val="24"/>
                <w:bdr w:val="none" w:color="auto" w:sz="0" w:space="0"/>
              </w:rPr>
              <w:t>（1）上一年度无违法占用耕地和永久基本农田的得10分，新增建设用地违法占用耕地面积与新增建设用地占用耕地面积的比例每增加0.5%扣1分，大于等于5%的不得分；（2）以上一年度全市耕地卫片新增“非农化”“非粮化”图斑面积占全市耕地保有量的比例为基数，区、市耕地卫片新增图斑面积占本辖区耕地保有量的比例小于等于基数的，得5分，每增加1%扣1分，增加5%以上的不得分。</w:t>
            </w:r>
          </w:p>
        </w:tc>
        <w:tc>
          <w:tcPr>
            <w:tcW w:w="31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 w:lineRule="atLeast"/>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000000"/>
                <w:spacing w:val="0"/>
                <w:sz w:val="24"/>
                <w:szCs w:val="24"/>
                <w:bdr w:val="none" w:color="auto" w:sz="0" w:space="0"/>
              </w:rPr>
              <w:t>年度土地卫片执法检查结果、年度耕地卫片监督检查结果</w:t>
            </w:r>
          </w:p>
        </w:tc>
        <w:tc>
          <w:tcPr>
            <w:tcW w:w="21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 w:lineRule="atLeast"/>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000000"/>
                <w:spacing w:val="0"/>
                <w:sz w:val="24"/>
                <w:szCs w:val="24"/>
                <w:bdr w:val="none" w:color="auto" w:sz="0" w:space="0"/>
              </w:rPr>
              <w:t>市自然资源和规划局</w:t>
            </w:r>
          </w:p>
        </w:tc>
        <w:tc>
          <w:tcPr>
            <w:tcW w:w="81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000000"/>
                <w:spacing w:val="0"/>
                <w:sz w:val="24"/>
                <w:szCs w:val="24"/>
                <w:bdr w:val="none" w:color="auto" w:sz="0" w:space="0"/>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395" w:hRule="atLeast"/>
        </w:trPr>
        <w:tc>
          <w:tcPr>
            <w:tcW w:w="7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000000"/>
                <w:spacing w:val="0"/>
                <w:sz w:val="24"/>
                <w:szCs w:val="24"/>
                <w:bdr w:val="none" w:color="auto" w:sz="0" w:space="0"/>
              </w:rPr>
              <w:t>7</w:t>
            </w:r>
          </w:p>
        </w:tc>
        <w:tc>
          <w:tcPr>
            <w:tcW w:w="169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 w:lineRule="atLeast"/>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000000"/>
                <w:spacing w:val="0"/>
                <w:sz w:val="24"/>
                <w:szCs w:val="24"/>
                <w:bdr w:val="none" w:color="auto" w:sz="0" w:space="0"/>
              </w:rPr>
              <w:t>耕地和永久基本农田保护“田长制”工作实施情况</w:t>
            </w:r>
          </w:p>
        </w:tc>
        <w:tc>
          <w:tcPr>
            <w:tcW w:w="598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 w:lineRule="atLeast"/>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000000"/>
                <w:spacing w:val="0"/>
                <w:sz w:val="24"/>
                <w:szCs w:val="24"/>
                <w:bdr w:val="none" w:color="auto" w:sz="0" w:space="0"/>
              </w:rPr>
              <w:t>上一年度耕地和永久基本农田保护“田长制”工作绩效评价结果95分（含）以上的得10分；评价结果90-94分的得7分；评价结果85-89分的得5分；评价结果85分（不含）以下的不得分。</w:t>
            </w:r>
          </w:p>
        </w:tc>
        <w:tc>
          <w:tcPr>
            <w:tcW w:w="31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 w:lineRule="atLeast"/>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000000"/>
                <w:spacing w:val="0"/>
                <w:sz w:val="24"/>
                <w:szCs w:val="24"/>
                <w:bdr w:val="none" w:color="auto" w:sz="0" w:space="0"/>
              </w:rPr>
              <w:t>耕地和永久基本农田保护“田长制”工作绩效评价结果</w:t>
            </w:r>
          </w:p>
        </w:tc>
        <w:tc>
          <w:tcPr>
            <w:tcW w:w="21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 w:lineRule="atLeast"/>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000000"/>
                <w:spacing w:val="0"/>
                <w:sz w:val="24"/>
                <w:szCs w:val="24"/>
                <w:bdr w:val="none" w:color="auto" w:sz="0" w:space="0"/>
              </w:rPr>
              <w:t>市自然资源和规划局</w:t>
            </w:r>
          </w:p>
        </w:tc>
        <w:tc>
          <w:tcPr>
            <w:tcW w:w="81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000000"/>
                <w:spacing w:val="0"/>
                <w:sz w:val="24"/>
                <w:szCs w:val="24"/>
                <w:bdr w:val="none" w:color="auto" w:sz="0" w:space="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845" w:hRule="atLeast"/>
        </w:trPr>
        <w:tc>
          <w:tcPr>
            <w:tcW w:w="7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000000"/>
                <w:spacing w:val="0"/>
                <w:sz w:val="24"/>
                <w:szCs w:val="24"/>
                <w:bdr w:val="none" w:color="auto" w:sz="0" w:space="0"/>
              </w:rPr>
              <w:t>8</w:t>
            </w:r>
          </w:p>
        </w:tc>
        <w:tc>
          <w:tcPr>
            <w:tcW w:w="169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 w:lineRule="atLeast"/>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000000"/>
                <w:spacing w:val="0"/>
                <w:sz w:val="24"/>
                <w:szCs w:val="24"/>
                <w:bdr w:val="none" w:color="auto" w:sz="0" w:space="0"/>
              </w:rPr>
              <w:t>耕地保护奖励资金管理和使用情况</w:t>
            </w:r>
          </w:p>
        </w:tc>
        <w:tc>
          <w:tcPr>
            <w:tcW w:w="598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 w:lineRule="atLeast"/>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000000"/>
                <w:spacing w:val="0"/>
                <w:sz w:val="24"/>
                <w:szCs w:val="24"/>
                <w:bdr w:val="none" w:color="auto" w:sz="0" w:space="0"/>
              </w:rPr>
              <w:t>（1）受到省级和市级激励的乡（镇）资金全部实现支出得5分，其余情况得分为：（实际支出资金/省级+市级奖励资金）*5分;（2）受到省级和市级激励的乡（镇）在规定范围内使用资金的得5分，其余情况为（在规定范围内使用资金/省级+市级奖励资金）*5分。</w:t>
            </w:r>
          </w:p>
        </w:tc>
        <w:tc>
          <w:tcPr>
            <w:tcW w:w="31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 w:lineRule="atLeast"/>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000000"/>
                <w:spacing w:val="0"/>
                <w:sz w:val="24"/>
                <w:szCs w:val="24"/>
                <w:bdr w:val="none" w:color="auto" w:sz="0" w:space="0"/>
              </w:rPr>
              <w:t>奖励资金拨付和使用情况</w:t>
            </w:r>
          </w:p>
        </w:tc>
        <w:tc>
          <w:tcPr>
            <w:tcW w:w="21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 w:lineRule="atLeast"/>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000000"/>
                <w:spacing w:val="0"/>
                <w:sz w:val="24"/>
                <w:szCs w:val="24"/>
                <w:bdr w:val="none" w:color="auto" w:sz="0" w:space="0"/>
              </w:rPr>
              <w:t>市财政局、市自然资源和规划局</w:t>
            </w:r>
          </w:p>
        </w:tc>
        <w:tc>
          <w:tcPr>
            <w:tcW w:w="81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000000"/>
                <w:spacing w:val="0"/>
                <w:sz w:val="24"/>
                <w:szCs w:val="24"/>
                <w:bdr w:val="none" w:color="auto" w:sz="0" w:space="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10" w:hRule="atLeast"/>
        </w:trPr>
        <w:tc>
          <w:tcPr>
            <w:tcW w:w="70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000000"/>
                <w:spacing w:val="0"/>
                <w:sz w:val="24"/>
                <w:szCs w:val="24"/>
                <w:bdr w:val="none" w:color="auto" w:sz="0" w:space="0"/>
              </w:rPr>
              <w:t>9</w:t>
            </w:r>
          </w:p>
        </w:tc>
        <w:tc>
          <w:tcPr>
            <w:tcW w:w="169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 w:lineRule="atLeast"/>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000000"/>
                <w:spacing w:val="0"/>
                <w:sz w:val="24"/>
                <w:szCs w:val="24"/>
                <w:bdr w:val="none" w:color="auto" w:sz="0" w:space="0"/>
              </w:rPr>
              <w:t>耕地保护制度建设和做法创新情况</w:t>
            </w:r>
          </w:p>
        </w:tc>
        <w:tc>
          <w:tcPr>
            <w:tcW w:w="598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 w:lineRule="atLeast"/>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000000"/>
                <w:spacing w:val="0"/>
                <w:sz w:val="24"/>
                <w:szCs w:val="24"/>
                <w:bdr w:val="none" w:color="auto" w:sz="0" w:space="0"/>
              </w:rPr>
              <w:t>建立“耕地保护补偿激励”“耕地动态监测监管”“耕作层土壤剥离再利用”等耕地保护创新机制并取得明显成效的，每项得1分，最高不超过5分。</w:t>
            </w:r>
          </w:p>
        </w:tc>
        <w:tc>
          <w:tcPr>
            <w:tcW w:w="31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 w:lineRule="atLeast"/>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000000"/>
                <w:spacing w:val="0"/>
                <w:sz w:val="24"/>
                <w:szCs w:val="24"/>
                <w:bdr w:val="none" w:color="auto" w:sz="0" w:space="0"/>
              </w:rPr>
              <w:t>各地提供的举证材料情况</w:t>
            </w:r>
          </w:p>
        </w:tc>
        <w:tc>
          <w:tcPr>
            <w:tcW w:w="21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 w:lineRule="atLeast"/>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000000"/>
                <w:spacing w:val="0"/>
                <w:sz w:val="24"/>
                <w:szCs w:val="24"/>
                <w:bdr w:val="none" w:color="auto" w:sz="0" w:space="0"/>
              </w:rPr>
              <w:t>市自然资源和规划局</w:t>
            </w:r>
          </w:p>
        </w:tc>
        <w:tc>
          <w:tcPr>
            <w:tcW w:w="81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000000"/>
                <w:spacing w:val="0"/>
                <w:sz w:val="24"/>
                <w:szCs w:val="24"/>
                <w:bdr w:val="none" w:color="auto" w:sz="0" w:space="0"/>
              </w:rPr>
              <w:t>5%</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480" w:firstLineChars="200"/>
        <w:jc w:val="left"/>
        <w:rPr>
          <w:rFonts w:hint="default" w:ascii="microsoft yahei" w:hAnsi="microsoft yahei" w:eastAsia="microsoft yahei" w:cs="microsoft yahei"/>
          <w:caps w:val="0"/>
          <w:color w:val="000000"/>
          <w:spacing w:val="0"/>
          <w:sz w:val="24"/>
          <w:szCs w:val="24"/>
        </w:rPr>
      </w:pPr>
      <w:r>
        <w:rPr>
          <w:rFonts w:hint="eastAsia" w:ascii="仿宋_GB2312" w:hAnsi="仿宋_GB2312" w:eastAsia="仿宋_GB2312" w:cs="仿宋_GB2312"/>
          <w:caps w:val="0"/>
          <w:color w:val="000000"/>
          <w:spacing w:val="0"/>
          <w:sz w:val="24"/>
          <w:szCs w:val="24"/>
          <w:bdr w:val="none" w:color="auto" w:sz="0" w:space="0"/>
          <w:shd w:val="clear" w:fill="FFFFFF"/>
        </w:rPr>
        <w:t>备注：1.按照导向明确、科学合理、凸显差异、客观公正的原则，选定9项数据指标，共计100分；2.上一年度未有省级和市级激励名额的区（市）第8项直接计10分；3.原则上按照区（市）耕地保有量所占全市耕地保有量的比例分配20个市级激励镇（街道）名额，推荐名单按照分值排名择优认定。</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 w:name="microsoft yahei">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方正宋体S-超大字符集">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Standard Symbols PS">
    <w:panose1 w:val="05050102010706020507"/>
    <w:charset w:val="00"/>
    <w:family w:val="auto"/>
    <w:pitch w:val="default"/>
    <w:sig w:usb0="00000003" w:usb1="00000000" w:usb2="00000000" w:usb3="00000000" w:csb0="00000001" w:csb1="00000000"/>
  </w:font>
  <w:font w:name="方正黑体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7AE283"/>
    <w:rsid w:val="FE7AE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2023-11-15T16:30:00Z</dcterms:created>
  <dc:creator>user</dc:creator>
  <cp:lastModifiedBy>user</cp:lastModifiedBy>
  <dcterms:modified xsi:type="dcterms:W3CDTF">2023-11-15T16:32:06Z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