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13" w:rsidRPr="006F4B13" w:rsidRDefault="006F4B13" w:rsidP="006F4B13">
      <w:pPr>
        <w:spacing w:line="54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西海岸新区强力推进制造业快速发展</w:t>
      </w:r>
    </w:p>
    <w:p w:rsidR="006F4B13" w:rsidRDefault="006F4B13" w:rsidP="006F4B13">
      <w:pPr>
        <w:overflowPunct w:val="0"/>
        <w:spacing w:line="540" w:lineRule="exact"/>
        <w:rPr>
          <w:rStyle w:val="NormalCharacter"/>
          <w:rFonts w:ascii="黑体" w:eastAsia="黑体" w:hAnsi="黑体" w:hint="eastAsia"/>
          <w:color w:val="000000"/>
          <w:sz w:val="32"/>
          <w:szCs w:val="32"/>
        </w:rPr>
      </w:pPr>
    </w:p>
    <w:p w:rsidR="006F4B13" w:rsidRPr="00D35158" w:rsidRDefault="006F4B13" w:rsidP="00D35158">
      <w:pPr>
        <w:snapToGrid w:val="0"/>
        <w:spacing w:line="54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 w:rsidRPr="00D35158">
        <w:rPr>
          <w:rFonts w:ascii="仿宋_GB2312" w:hAnsi="仿宋_GB2312" w:cs="仿宋_GB2312" w:hint="eastAsia"/>
          <w:sz w:val="32"/>
          <w:szCs w:val="32"/>
        </w:rPr>
        <w:t>去年以来，西海岸新区贯彻落实市委市政府决策部署，狠抓制造业强区战略，按照“一二三”工作法，紧紧围绕制造业这一关键，突破存量和增量两个领域，狠抓技改提升、数字化赋能、产业生态优化三项任务，全面推进制造业快速发展。2021年全区</w:t>
      </w:r>
      <w:proofErr w:type="gramStart"/>
      <w:r w:rsidRPr="00D35158">
        <w:rPr>
          <w:rFonts w:ascii="仿宋_GB2312" w:hAnsi="仿宋_GB2312" w:cs="仿宋_GB2312" w:hint="eastAsia"/>
          <w:sz w:val="32"/>
          <w:szCs w:val="32"/>
        </w:rPr>
        <w:t>规</w:t>
      </w:r>
      <w:proofErr w:type="gramEnd"/>
      <w:r w:rsidRPr="00D35158">
        <w:rPr>
          <w:rFonts w:ascii="仿宋_GB2312" w:hAnsi="仿宋_GB2312" w:cs="仿宋_GB2312" w:hint="eastAsia"/>
          <w:sz w:val="32"/>
          <w:szCs w:val="32"/>
        </w:rPr>
        <w:t>上工业完成产值4038亿元，同比增长21.6%；</w:t>
      </w:r>
      <w:proofErr w:type="gramStart"/>
      <w:r w:rsidRPr="00D35158">
        <w:rPr>
          <w:rFonts w:ascii="仿宋_GB2312" w:hAnsi="仿宋_GB2312" w:cs="仿宋_GB2312" w:hint="eastAsia"/>
          <w:sz w:val="32"/>
          <w:szCs w:val="32"/>
        </w:rPr>
        <w:t>规</w:t>
      </w:r>
      <w:proofErr w:type="gramEnd"/>
      <w:r w:rsidRPr="00D35158">
        <w:rPr>
          <w:rFonts w:ascii="仿宋_GB2312" w:hAnsi="仿宋_GB2312" w:cs="仿宋_GB2312" w:hint="eastAsia"/>
          <w:sz w:val="32"/>
          <w:szCs w:val="32"/>
        </w:rPr>
        <w:t>上工业增加值同比增长11.9%，分别高于国家、省、市平均增速2.3、2.3、3.8个百分点，占全市比重达到30%，对全市制造业增长贡献度达到35%。跻身“中国工业百强区”全国第7位、山东省第1位。他们的主要做法是：</w:t>
      </w:r>
    </w:p>
    <w:p w:rsidR="006F4B13" w:rsidRPr="00D35158" w:rsidRDefault="006F4B13" w:rsidP="00D35158">
      <w:pPr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35158">
        <w:rPr>
          <w:rFonts w:ascii="黑体" w:eastAsia="黑体" w:hAnsi="黑体" w:hint="eastAsia"/>
          <w:sz w:val="32"/>
          <w:szCs w:val="32"/>
        </w:rPr>
        <w:t>一、抓住关键，深入实施制造强区战略</w:t>
      </w:r>
    </w:p>
    <w:p w:rsidR="006F4B13" w:rsidRPr="00D35158" w:rsidRDefault="006F4B13" w:rsidP="00D35158">
      <w:pPr>
        <w:snapToGrid w:val="0"/>
        <w:spacing w:line="54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 w:rsidRPr="00D35158">
        <w:rPr>
          <w:rFonts w:ascii="仿宋_GB2312" w:hAnsi="仿宋_GB2312" w:cs="仿宋_GB2312" w:hint="eastAsia"/>
          <w:sz w:val="32"/>
          <w:szCs w:val="32"/>
        </w:rPr>
        <w:t>在工作推进过程中，西海岸新区紧紧围绕制造业这一关键，深入实施制造强区战略，强化顶层设计、坚持规划引领，全力破解制约工业用地不足瓶颈，久久为功推动工业经济高质量发展。</w:t>
      </w:r>
    </w:p>
    <w:p w:rsidR="006F4B13" w:rsidRPr="00D35158" w:rsidRDefault="006F4B13" w:rsidP="00D35158">
      <w:pPr>
        <w:snapToGrid w:val="0"/>
        <w:spacing w:line="54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 w:rsidRPr="00D35158">
        <w:rPr>
          <w:rFonts w:ascii="楷体" w:eastAsia="楷体" w:hAnsi="楷体" w:cs="楷体" w:hint="eastAsia"/>
          <w:sz w:val="32"/>
          <w:szCs w:val="32"/>
        </w:rPr>
        <w:t>一是强化顶层设计。</w:t>
      </w:r>
      <w:r w:rsidRPr="00D35158">
        <w:rPr>
          <w:rFonts w:ascii="仿宋_GB2312" w:hAnsi="仿宋_GB2312" w:cs="仿宋_GB2312" w:hint="eastAsia"/>
          <w:sz w:val="32"/>
          <w:szCs w:val="32"/>
        </w:rPr>
        <w:t>他们紧紧围绕西海岸新区发展实际和未来产业发展方向，研究制定并出台《关于加快建设国家制造业高质量发展实验区的行动方案》，</w:t>
      </w:r>
      <w:proofErr w:type="gramStart"/>
      <w:r w:rsidRPr="00D35158">
        <w:rPr>
          <w:rFonts w:ascii="仿宋_GB2312" w:hAnsi="仿宋_GB2312" w:cs="仿宋_GB2312" w:hint="eastAsia"/>
          <w:sz w:val="32"/>
          <w:szCs w:val="32"/>
        </w:rPr>
        <w:t>聚焦八</w:t>
      </w:r>
      <w:proofErr w:type="gramEnd"/>
      <w:r w:rsidRPr="00D35158">
        <w:rPr>
          <w:rFonts w:ascii="仿宋_GB2312" w:hAnsi="仿宋_GB2312" w:cs="仿宋_GB2312" w:hint="eastAsia"/>
          <w:sz w:val="32"/>
          <w:szCs w:val="32"/>
        </w:rPr>
        <w:t>大产业集群，牢固树立制造业强区鲜明导向，坚定不移把制造业高质量发展放在经济工作的首位，争取到2025年，形成智能家电、高端化工新材料、“芯屏”3个千亿级，</w:t>
      </w:r>
      <w:proofErr w:type="gramStart"/>
      <w:r w:rsidRPr="00D35158">
        <w:rPr>
          <w:rFonts w:ascii="仿宋_GB2312" w:hAnsi="仿宋_GB2312" w:cs="仿宋_GB2312" w:hint="eastAsia"/>
          <w:sz w:val="32"/>
          <w:szCs w:val="32"/>
        </w:rPr>
        <w:t>船舶海工</w:t>
      </w:r>
      <w:proofErr w:type="gramEnd"/>
      <w:r w:rsidRPr="00D35158">
        <w:rPr>
          <w:rFonts w:ascii="仿宋_GB2312" w:hAnsi="仿宋_GB2312" w:cs="仿宋_GB2312" w:hint="eastAsia"/>
          <w:sz w:val="32"/>
          <w:szCs w:val="32"/>
        </w:rPr>
        <w:t>、汽车、高端装备3个五百亿级产业集群，八大产业集群产值占比达到85%，为新区“十四五”期间制造业高质量发展提供有力指导。</w:t>
      </w:r>
    </w:p>
    <w:p w:rsidR="006F4B13" w:rsidRPr="00D35158" w:rsidRDefault="006F4B13" w:rsidP="00D35158">
      <w:pPr>
        <w:snapToGrid w:val="0"/>
        <w:spacing w:line="54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 w:rsidRPr="00D35158">
        <w:rPr>
          <w:rFonts w:ascii="楷体" w:eastAsia="楷体" w:hAnsi="楷体" w:cs="楷体" w:hint="eastAsia"/>
          <w:sz w:val="32"/>
          <w:szCs w:val="32"/>
        </w:rPr>
        <w:lastRenderedPageBreak/>
        <w:t>二是加强规划引领。</w:t>
      </w:r>
      <w:r w:rsidRPr="00D35158">
        <w:rPr>
          <w:rFonts w:ascii="仿宋_GB2312" w:hAnsi="仿宋_GB2312" w:cs="仿宋_GB2312" w:hint="eastAsia"/>
          <w:sz w:val="32"/>
          <w:szCs w:val="32"/>
        </w:rPr>
        <w:t>在出台“十四五”规划的基础上，为更加精准的指导制造业发展，新区制定了高端化工产业、高端装备、新材料等制造业5个制造业专项规划，进一步明确发展目标、方向和路径。</w:t>
      </w:r>
    </w:p>
    <w:p w:rsidR="006F4B13" w:rsidRPr="00D35158" w:rsidRDefault="006F4B13" w:rsidP="00D35158">
      <w:pPr>
        <w:snapToGrid w:val="0"/>
        <w:spacing w:line="54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 w:rsidRPr="00D35158">
        <w:rPr>
          <w:rFonts w:ascii="楷体" w:eastAsia="楷体" w:hAnsi="楷体" w:cs="楷体" w:hint="eastAsia"/>
          <w:sz w:val="32"/>
          <w:szCs w:val="32"/>
        </w:rPr>
        <w:t>三是保障工业发展空间。</w:t>
      </w:r>
      <w:r w:rsidRPr="00D35158">
        <w:rPr>
          <w:rFonts w:ascii="仿宋_GB2312" w:hAnsi="仿宋_GB2312" w:cs="仿宋_GB2312" w:hint="eastAsia"/>
          <w:sz w:val="32"/>
          <w:szCs w:val="32"/>
        </w:rPr>
        <w:t>为破解工业用地不足的现状，满足制造业项目落地土地需求，结合新区制造业发展需求，出台了《青岛西海岸新区工业用地保护线管理办法》，划定141.6平方公里工业用地保护红线和保护蓝线，规划布局49个专业产业园区，有力地保障了工业发展空间。深化“亩产效益”综合评价改革，在全市率先完成工业企业“亩产效益”综合评价，</w:t>
      </w:r>
      <w:proofErr w:type="gramStart"/>
      <w:r w:rsidRPr="00D35158">
        <w:rPr>
          <w:rFonts w:ascii="仿宋_GB2312" w:hAnsi="仿宋_GB2312" w:cs="仿宋_GB2312" w:hint="eastAsia"/>
          <w:sz w:val="32"/>
          <w:szCs w:val="32"/>
        </w:rPr>
        <w:t>规</w:t>
      </w:r>
      <w:proofErr w:type="gramEnd"/>
      <w:r w:rsidRPr="00D35158">
        <w:rPr>
          <w:rFonts w:ascii="仿宋_GB2312" w:hAnsi="仿宋_GB2312" w:cs="仿宋_GB2312" w:hint="eastAsia"/>
          <w:sz w:val="32"/>
          <w:szCs w:val="32"/>
        </w:rPr>
        <w:t>上工业亩均税收效益高于全市平均30%。</w:t>
      </w:r>
    </w:p>
    <w:p w:rsidR="006F4B13" w:rsidRPr="00D35158" w:rsidRDefault="006F4B13" w:rsidP="00D35158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D35158">
        <w:rPr>
          <w:rFonts w:ascii="黑体" w:eastAsia="黑体" w:hAnsi="黑体" w:hint="eastAsia"/>
          <w:sz w:val="32"/>
          <w:szCs w:val="32"/>
        </w:rPr>
        <w:t>二、突出重点，着力突破存量和增量两个领域</w:t>
      </w:r>
    </w:p>
    <w:p w:rsidR="006F4B13" w:rsidRPr="00D35158" w:rsidRDefault="006F4B13" w:rsidP="00D35158">
      <w:pPr>
        <w:snapToGrid w:val="0"/>
        <w:spacing w:line="54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 w:rsidRPr="00D35158">
        <w:rPr>
          <w:rFonts w:ascii="仿宋_GB2312" w:hAnsi="仿宋_GB2312" w:cs="仿宋_GB2312" w:hint="eastAsia"/>
          <w:sz w:val="32"/>
          <w:szCs w:val="32"/>
        </w:rPr>
        <w:t>坚持存量突破和增量崛起并重，以链长制为统领，着力实施存量企业倍增计划，推动新兴产业实现增量突破，统筹推进产业均衡发展。</w:t>
      </w:r>
    </w:p>
    <w:p w:rsidR="006F4B13" w:rsidRPr="00D35158" w:rsidRDefault="006F4B13" w:rsidP="00D35158">
      <w:pPr>
        <w:snapToGrid w:val="0"/>
        <w:spacing w:line="54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 w:rsidRPr="00D35158">
        <w:rPr>
          <w:rFonts w:ascii="楷体" w:eastAsia="楷体" w:hAnsi="楷体" w:cs="楷体" w:hint="eastAsia"/>
          <w:sz w:val="32"/>
          <w:szCs w:val="32"/>
        </w:rPr>
        <w:t>一是抓牢抓</w:t>
      </w:r>
      <w:proofErr w:type="gramStart"/>
      <w:r w:rsidRPr="00D35158">
        <w:rPr>
          <w:rFonts w:ascii="楷体" w:eastAsia="楷体" w:hAnsi="楷体" w:cs="楷体" w:hint="eastAsia"/>
          <w:sz w:val="32"/>
          <w:szCs w:val="32"/>
        </w:rPr>
        <w:t>实产业</w:t>
      </w:r>
      <w:proofErr w:type="gramEnd"/>
      <w:r w:rsidRPr="00D35158">
        <w:rPr>
          <w:rFonts w:ascii="楷体" w:eastAsia="楷体" w:hAnsi="楷体" w:cs="楷体" w:hint="eastAsia"/>
          <w:sz w:val="32"/>
          <w:szCs w:val="32"/>
        </w:rPr>
        <w:t>链“链长制”。</w:t>
      </w:r>
      <w:r w:rsidRPr="00D35158">
        <w:rPr>
          <w:rFonts w:ascii="仿宋_GB2312" w:hAnsi="仿宋_GB2312" w:cs="仿宋_GB2312" w:hint="eastAsia"/>
          <w:sz w:val="32"/>
          <w:szCs w:val="32"/>
        </w:rPr>
        <w:t>形成链长主抓、</w:t>
      </w:r>
      <w:proofErr w:type="gramStart"/>
      <w:r w:rsidRPr="00D35158">
        <w:rPr>
          <w:rFonts w:ascii="仿宋_GB2312" w:hAnsi="仿宋_GB2312" w:cs="仿宋_GB2312" w:hint="eastAsia"/>
          <w:sz w:val="32"/>
          <w:szCs w:val="32"/>
        </w:rPr>
        <w:t>链主企业</w:t>
      </w:r>
      <w:proofErr w:type="gramEnd"/>
      <w:r w:rsidRPr="00D35158">
        <w:rPr>
          <w:rFonts w:ascii="仿宋_GB2312" w:hAnsi="仿宋_GB2312" w:cs="仿宋_GB2312" w:hint="eastAsia"/>
          <w:sz w:val="32"/>
          <w:szCs w:val="32"/>
        </w:rPr>
        <w:t>带动、全产业链布局的工作机制，聚焦“芯屏”产业、高端化工及新材料产业链、智能家电产业链等6大重点制造业产业链，精准绘制产业链图谱，实施</w:t>
      </w:r>
      <w:proofErr w:type="gramStart"/>
      <w:r w:rsidRPr="00D35158">
        <w:rPr>
          <w:rFonts w:ascii="仿宋_GB2312" w:hAnsi="仿宋_GB2312" w:cs="仿宋_GB2312" w:hint="eastAsia"/>
          <w:sz w:val="32"/>
          <w:szCs w:val="32"/>
        </w:rPr>
        <w:t>稳链补链强链延链</w:t>
      </w:r>
      <w:proofErr w:type="gramEnd"/>
      <w:r w:rsidRPr="00D35158">
        <w:rPr>
          <w:rFonts w:ascii="仿宋_GB2312" w:hAnsi="仿宋_GB2312" w:cs="仿宋_GB2312" w:hint="eastAsia"/>
          <w:sz w:val="32"/>
          <w:szCs w:val="32"/>
        </w:rPr>
        <w:t>行动，推动存量企业锻造长板，积极引进增量项目补齐短板。2021年引进</w:t>
      </w:r>
      <w:proofErr w:type="gramStart"/>
      <w:r w:rsidRPr="00D35158">
        <w:rPr>
          <w:rFonts w:ascii="仿宋_GB2312" w:hAnsi="仿宋_GB2312" w:cs="仿宋_GB2312" w:hint="eastAsia"/>
          <w:sz w:val="32"/>
          <w:szCs w:val="32"/>
        </w:rPr>
        <w:t>潍</w:t>
      </w:r>
      <w:proofErr w:type="gramEnd"/>
      <w:r w:rsidRPr="00D35158">
        <w:rPr>
          <w:rFonts w:ascii="仿宋_GB2312" w:hAnsi="仿宋_GB2312" w:cs="仿宋_GB2312" w:hint="eastAsia"/>
          <w:sz w:val="32"/>
          <w:szCs w:val="32"/>
        </w:rPr>
        <w:t>柴动力等亿元以上项目268个、总投资2600亿元。</w:t>
      </w:r>
    </w:p>
    <w:p w:rsidR="006F4B13" w:rsidRPr="00D35158" w:rsidRDefault="006F4B13" w:rsidP="00D35158">
      <w:pPr>
        <w:snapToGrid w:val="0"/>
        <w:spacing w:line="54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 w:rsidRPr="00D35158">
        <w:rPr>
          <w:rFonts w:ascii="楷体" w:eastAsia="楷体" w:hAnsi="楷体" w:cs="楷体" w:hint="eastAsia"/>
          <w:sz w:val="32"/>
          <w:szCs w:val="32"/>
        </w:rPr>
        <w:t>二是推动存量骨干企业实施倍增计划。</w:t>
      </w:r>
      <w:r w:rsidRPr="00D35158">
        <w:rPr>
          <w:rFonts w:ascii="仿宋_GB2312" w:hAnsi="仿宋_GB2312" w:cs="仿宋_GB2312" w:hint="eastAsia"/>
          <w:sz w:val="32"/>
          <w:szCs w:val="32"/>
        </w:rPr>
        <w:t>围绕智能家电、高端装备、生物医药等先进制造业领域，建立重点企业服务专班，出</w:t>
      </w:r>
      <w:r w:rsidRPr="00D35158">
        <w:rPr>
          <w:rFonts w:ascii="仿宋_GB2312" w:hAnsi="仿宋_GB2312" w:cs="仿宋_GB2312" w:hint="eastAsia"/>
          <w:sz w:val="32"/>
          <w:szCs w:val="32"/>
        </w:rPr>
        <w:lastRenderedPageBreak/>
        <w:t>台《“四上”企业培育发展扶持奖励办法》，首批筛选双星集团、澳柯玛股份、明月海藻等8家企业鼓励实施倍增计划，2021年累计</w:t>
      </w:r>
      <w:proofErr w:type="gramStart"/>
      <w:r w:rsidRPr="00D35158">
        <w:rPr>
          <w:rFonts w:ascii="仿宋_GB2312" w:hAnsi="仿宋_GB2312" w:cs="仿宋_GB2312" w:hint="eastAsia"/>
          <w:sz w:val="32"/>
          <w:szCs w:val="32"/>
        </w:rPr>
        <w:t>拉动新区</w:t>
      </w:r>
      <w:proofErr w:type="gramEnd"/>
      <w:r w:rsidRPr="00D35158">
        <w:rPr>
          <w:rFonts w:ascii="仿宋_GB2312" w:hAnsi="仿宋_GB2312" w:cs="仿宋_GB2312" w:hint="eastAsia"/>
          <w:sz w:val="32"/>
          <w:szCs w:val="32"/>
        </w:rPr>
        <w:t>工业增长4.5个百分点以上。同时坚持重点突破，抢抓中</w:t>
      </w:r>
      <w:proofErr w:type="gramStart"/>
      <w:r w:rsidRPr="00D35158">
        <w:rPr>
          <w:rFonts w:ascii="仿宋_GB2312" w:hAnsi="仿宋_GB2312" w:cs="仿宋_GB2312" w:hint="eastAsia"/>
          <w:sz w:val="32"/>
          <w:szCs w:val="32"/>
        </w:rPr>
        <w:t>船集团央企</w:t>
      </w:r>
      <w:proofErr w:type="gramEnd"/>
      <w:r w:rsidRPr="00D35158">
        <w:rPr>
          <w:rFonts w:ascii="仿宋_GB2312" w:hAnsi="仿宋_GB2312" w:cs="仿宋_GB2312" w:hint="eastAsia"/>
          <w:sz w:val="32"/>
          <w:szCs w:val="32"/>
        </w:rPr>
        <w:t>搬迁机遇，新区工委主要领导加强与中</w:t>
      </w:r>
      <w:proofErr w:type="gramStart"/>
      <w:r w:rsidRPr="00D35158">
        <w:rPr>
          <w:rFonts w:ascii="仿宋_GB2312" w:hAnsi="仿宋_GB2312" w:cs="仿宋_GB2312" w:hint="eastAsia"/>
          <w:sz w:val="32"/>
          <w:szCs w:val="32"/>
        </w:rPr>
        <w:t>船集团</w:t>
      </w:r>
      <w:proofErr w:type="gramEnd"/>
      <w:r w:rsidRPr="00D35158">
        <w:rPr>
          <w:rFonts w:ascii="仿宋_GB2312" w:hAnsi="仿宋_GB2312" w:cs="仿宋_GB2312" w:hint="eastAsia"/>
          <w:sz w:val="32"/>
          <w:szCs w:val="32"/>
        </w:rPr>
        <w:t>高层互动，双方多次互访，洽谈推进战略合作事宜，成功推动北海船舶升级为二级单位，北海船舶实现属地纳统，全年新增产值60亿元以上，带动产业链新增产值100亿元以上。</w:t>
      </w:r>
    </w:p>
    <w:p w:rsidR="006F4B13" w:rsidRPr="00D35158" w:rsidRDefault="006F4B13" w:rsidP="00D35158">
      <w:pPr>
        <w:snapToGrid w:val="0"/>
        <w:spacing w:line="54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 w:rsidRPr="00D35158">
        <w:rPr>
          <w:rFonts w:ascii="楷体" w:eastAsia="楷体" w:hAnsi="楷体" w:cs="楷体" w:hint="eastAsia"/>
          <w:sz w:val="32"/>
          <w:szCs w:val="32"/>
        </w:rPr>
        <w:t>三是聚焦新兴产业培育发展新动能。</w:t>
      </w:r>
      <w:r w:rsidRPr="00D35158">
        <w:rPr>
          <w:rFonts w:ascii="仿宋_GB2312" w:hAnsi="仿宋_GB2312" w:cs="仿宋_GB2312" w:hint="eastAsia"/>
          <w:sz w:val="32"/>
          <w:szCs w:val="32"/>
        </w:rPr>
        <w:t>精准聚焦三大战略新兴产业集群突破发展。“芯屏”产业方面，京东方全球最大移动显示模组单体工厂花落新区，投资160亿元的光电显示新材料产业园破土动工，电子信息产业园8英寸芯片、富士康高端</w:t>
      </w:r>
      <w:proofErr w:type="gramStart"/>
      <w:r w:rsidRPr="00D35158">
        <w:rPr>
          <w:rFonts w:ascii="仿宋_GB2312" w:hAnsi="仿宋_GB2312" w:cs="仿宋_GB2312" w:hint="eastAsia"/>
          <w:sz w:val="32"/>
          <w:szCs w:val="32"/>
        </w:rPr>
        <w:t>封测成功</w:t>
      </w:r>
      <w:proofErr w:type="gramEnd"/>
      <w:r w:rsidRPr="00D35158">
        <w:rPr>
          <w:rFonts w:ascii="仿宋_GB2312" w:hAnsi="仿宋_GB2312" w:cs="仿宋_GB2312" w:hint="eastAsia"/>
          <w:sz w:val="32"/>
          <w:szCs w:val="32"/>
        </w:rPr>
        <w:t>投产，千亿级的“芯屏”产业集群已初具规模。海洋生物医药方面，全球最大海洋基因库、海藻加工基地和国内唯一的国家级海洋药物中试基地齐聚新区，2021年全区海洋生物医药产值同比增长20%。人工智能产业方面，</w:t>
      </w:r>
      <w:proofErr w:type="gramStart"/>
      <w:r w:rsidRPr="00D35158">
        <w:rPr>
          <w:rFonts w:ascii="仿宋_GB2312" w:hAnsi="仿宋_GB2312" w:cs="仿宋_GB2312" w:hint="eastAsia"/>
          <w:sz w:val="32"/>
          <w:szCs w:val="32"/>
        </w:rPr>
        <w:t>极</w:t>
      </w:r>
      <w:proofErr w:type="gramEnd"/>
      <w:r w:rsidRPr="00D35158">
        <w:rPr>
          <w:rFonts w:ascii="仿宋_GB2312" w:hAnsi="仿宋_GB2312" w:cs="仿宋_GB2312" w:hint="eastAsia"/>
          <w:sz w:val="32"/>
          <w:szCs w:val="32"/>
        </w:rPr>
        <w:t>视角、以</w:t>
      </w:r>
      <w:proofErr w:type="gramStart"/>
      <w:r w:rsidRPr="00D35158">
        <w:rPr>
          <w:rFonts w:ascii="仿宋_GB2312" w:hAnsi="仿宋_GB2312" w:cs="仿宋_GB2312" w:hint="eastAsia"/>
          <w:sz w:val="32"/>
          <w:szCs w:val="32"/>
        </w:rPr>
        <w:t>萨</w:t>
      </w:r>
      <w:proofErr w:type="gramEnd"/>
      <w:r w:rsidRPr="00D35158">
        <w:rPr>
          <w:rFonts w:ascii="仿宋_GB2312" w:hAnsi="仿宋_GB2312" w:cs="仿宋_GB2312" w:hint="eastAsia"/>
          <w:sz w:val="32"/>
          <w:szCs w:val="32"/>
        </w:rPr>
        <w:t>数据2个“独角兽”企业总部落户新区，灵犀科技大数据平台、达索融合创新中心建成运营，2021年1-11月份全区规模以上数字经济完成营业收入494.2亿元、同比增长20.1%，对全市贡献度排名居首。</w:t>
      </w:r>
    </w:p>
    <w:p w:rsidR="006F4B13" w:rsidRPr="00D35158" w:rsidRDefault="006F4B13" w:rsidP="00D3515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35158">
        <w:rPr>
          <w:rFonts w:ascii="黑体" w:eastAsia="黑体" w:hAnsi="黑体" w:hint="eastAsia"/>
          <w:sz w:val="32"/>
          <w:szCs w:val="32"/>
        </w:rPr>
        <w:t>三、强化提升，狠抓三项工作落实</w:t>
      </w:r>
    </w:p>
    <w:p w:rsidR="006F4B13" w:rsidRPr="00D35158" w:rsidRDefault="006F4B13" w:rsidP="00D35158">
      <w:pPr>
        <w:snapToGrid w:val="0"/>
        <w:spacing w:line="54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 w:rsidRPr="00D35158">
        <w:rPr>
          <w:rFonts w:ascii="仿宋_GB2312" w:hAnsi="仿宋_GB2312" w:cs="仿宋_GB2312" w:hint="eastAsia"/>
          <w:sz w:val="32"/>
          <w:szCs w:val="32"/>
        </w:rPr>
        <w:t>围绕推动产业基础高级化，打造最优的营商环境，狠抓技改提升、数字化赋能、产业生态优化三项任务，全面提升企业核心竞争能力。</w:t>
      </w:r>
    </w:p>
    <w:p w:rsidR="006F4B13" w:rsidRPr="00D35158" w:rsidRDefault="006F4B13" w:rsidP="00D35158">
      <w:pPr>
        <w:snapToGrid w:val="0"/>
        <w:spacing w:line="54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 w:rsidRPr="00D35158">
        <w:rPr>
          <w:rFonts w:ascii="楷体" w:eastAsia="楷体" w:hAnsi="楷体" w:cs="楷体" w:hint="eastAsia"/>
          <w:sz w:val="32"/>
          <w:szCs w:val="32"/>
        </w:rPr>
        <w:t>一是实施技改提升行动。</w:t>
      </w:r>
      <w:r w:rsidRPr="00D35158">
        <w:rPr>
          <w:rFonts w:ascii="仿宋_GB2312" w:hAnsi="仿宋_GB2312" w:cs="仿宋_GB2312" w:hint="eastAsia"/>
          <w:sz w:val="32"/>
          <w:szCs w:val="32"/>
        </w:rPr>
        <w:t>实施新一轮技改提升行动，牢牢抓</w:t>
      </w:r>
      <w:r w:rsidRPr="00D35158">
        <w:rPr>
          <w:rFonts w:ascii="仿宋_GB2312" w:hAnsi="仿宋_GB2312" w:cs="仿宋_GB2312" w:hint="eastAsia"/>
          <w:sz w:val="32"/>
          <w:szCs w:val="32"/>
        </w:rPr>
        <w:lastRenderedPageBreak/>
        <w:t>住技改投资占比60%的董家口和国际经济合作区2个核心制造业产业园区，通过政策拉动和重点企业“一对一”服务，打造一批智能化改造示范项目，加快推动装备换芯，促进装备数控化，推动生产换线，</w:t>
      </w:r>
      <w:proofErr w:type="gramStart"/>
      <w:r w:rsidRPr="00D35158">
        <w:rPr>
          <w:rFonts w:ascii="仿宋_GB2312" w:hAnsi="仿宋_GB2312" w:cs="仿宋_GB2312" w:hint="eastAsia"/>
          <w:sz w:val="32"/>
          <w:szCs w:val="32"/>
        </w:rPr>
        <w:t>促进产线数字化</w:t>
      </w:r>
      <w:proofErr w:type="gramEnd"/>
      <w:r w:rsidRPr="00D35158">
        <w:rPr>
          <w:rFonts w:ascii="仿宋_GB2312" w:hAnsi="仿宋_GB2312" w:cs="仿宋_GB2312" w:hint="eastAsia"/>
          <w:sz w:val="32"/>
          <w:szCs w:val="32"/>
        </w:rPr>
        <w:t>，推动机器换人，促进工厂智能化。实施“高端制造业+人工智能”试点示范项目，形成行业领域可复制推广的经验，首批总投资13.9亿元的9个“高端制造业+人工智能”项目，累计完成投资11亿元，撬动社会投资24.5亿元，2021年制造业技改投资实现了30%以上的高增长。</w:t>
      </w:r>
    </w:p>
    <w:p w:rsidR="006F4B13" w:rsidRPr="00D35158" w:rsidRDefault="006F4B13" w:rsidP="00D35158">
      <w:pPr>
        <w:snapToGrid w:val="0"/>
        <w:spacing w:line="54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 w:rsidRPr="00D35158">
        <w:rPr>
          <w:rFonts w:ascii="楷体" w:eastAsia="楷体" w:hAnsi="楷体" w:cs="楷体" w:hint="eastAsia"/>
          <w:sz w:val="32"/>
          <w:szCs w:val="32"/>
        </w:rPr>
        <w:t>二是深化数字化赋能工程。</w:t>
      </w:r>
      <w:r w:rsidRPr="00D35158">
        <w:rPr>
          <w:rFonts w:ascii="仿宋_GB2312" w:hAnsi="仿宋_GB2312" w:cs="仿宋_GB2312" w:hint="eastAsia"/>
          <w:sz w:val="32"/>
          <w:szCs w:val="32"/>
        </w:rPr>
        <w:t>印发实施《新区工业互联网推进实施方案（2020-2022年）》，实施“上云用数赋智”行动，加快推动城市千兆光纤网络和5G移动网络基础设施建设。依托海尔“卡奥斯平台”、</w:t>
      </w:r>
      <w:proofErr w:type="gramStart"/>
      <w:r w:rsidRPr="00D35158">
        <w:rPr>
          <w:rFonts w:ascii="仿宋_GB2312" w:hAnsi="仿宋_GB2312" w:cs="仿宋_GB2312" w:hint="eastAsia"/>
          <w:sz w:val="32"/>
          <w:szCs w:val="32"/>
        </w:rPr>
        <w:t>赛轮集团</w:t>
      </w:r>
      <w:proofErr w:type="gramEnd"/>
      <w:r w:rsidRPr="00D35158">
        <w:rPr>
          <w:rFonts w:ascii="仿宋_GB2312" w:hAnsi="仿宋_GB2312" w:cs="仿宋_GB2312" w:hint="eastAsia"/>
          <w:sz w:val="32"/>
          <w:szCs w:val="32"/>
        </w:rPr>
        <w:t>“</w:t>
      </w:r>
      <w:proofErr w:type="gramStart"/>
      <w:r w:rsidRPr="00D35158">
        <w:rPr>
          <w:rFonts w:ascii="仿宋_GB2312" w:hAnsi="仿宋_GB2312" w:cs="仿宋_GB2312" w:hint="eastAsia"/>
          <w:sz w:val="32"/>
          <w:szCs w:val="32"/>
        </w:rPr>
        <w:t>橡链云工业</w:t>
      </w:r>
      <w:proofErr w:type="gramEnd"/>
      <w:r w:rsidRPr="00D35158">
        <w:rPr>
          <w:rFonts w:ascii="仿宋_GB2312" w:hAnsi="仿宋_GB2312" w:cs="仿宋_GB2312" w:hint="eastAsia"/>
          <w:sz w:val="32"/>
          <w:szCs w:val="32"/>
        </w:rPr>
        <w:t>互联网平台”等工业互联网平台，深化工业互联网赋能，打造一批具有行业先进水平的智能工厂、数字化车间、自动化生产线。2021年全区新入选省智能工厂数字化车间13个、市工业互联网示范园区2个、市级工业互联网示范项目28个，新发布“工业赋能”和“未来城市”应用场景211个（累计达到455个），数量均居全市首位。</w:t>
      </w:r>
    </w:p>
    <w:p w:rsidR="005145BA" w:rsidRPr="000029F3" w:rsidRDefault="006F4B13" w:rsidP="000029F3">
      <w:pPr>
        <w:spacing w:line="54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 w:rsidRPr="00D35158">
        <w:rPr>
          <w:rFonts w:ascii="楷体" w:eastAsia="楷体" w:hAnsi="楷体" w:cs="楷体" w:hint="eastAsia"/>
          <w:sz w:val="32"/>
          <w:szCs w:val="32"/>
        </w:rPr>
        <w:t>三是持续优化产业发展生态。</w:t>
      </w:r>
      <w:r w:rsidRPr="00D35158">
        <w:rPr>
          <w:rFonts w:ascii="仿宋_GB2312" w:hAnsi="仿宋_GB2312" w:cs="仿宋_GB2312" w:hint="eastAsia"/>
          <w:sz w:val="32"/>
          <w:szCs w:val="32"/>
        </w:rPr>
        <w:t>创新体系构建实现新突破，成立科技创新委员会，激发创新创业活力，创新实施科技攻关“揭榜制”，2021年49项技术需求成功揭榜。持续深化企业服务，企业服务塑成品牌，累计开展“企业服务日”活动18场、“地产地配”活动5场，服务企业2650余家，培训企业家410余人，协调解决企业生产经营问题395项。强化政策扶持，率先探索开展</w:t>
      </w:r>
      <w:r w:rsidRPr="00D35158">
        <w:rPr>
          <w:rFonts w:ascii="仿宋_GB2312" w:hAnsi="仿宋_GB2312" w:cs="仿宋_GB2312" w:hint="eastAsia"/>
          <w:sz w:val="32"/>
          <w:szCs w:val="32"/>
        </w:rPr>
        <w:lastRenderedPageBreak/>
        <w:t>惠企政策“免申即享”试点，2021年全区兑现各级各类政策资金5.3亿元。</w:t>
      </w:r>
      <w:bookmarkStart w:id="0" w:name="_GoBack"/>
      <w:bookmarkEnd w:id="0"/>
    </w:p>
    <w:sectPr w:rsidR="005145BA" w:rsidRPr="000029F3" w:rsidSect="006F4B13">
      <w:headerReference w:type="default" r:id="rId7"/>
      <w:footerReference w:type="default" r:id="rId8"/>
      <w:pgSz w:w="11906" w:h="16838"/>
      <w:pgMar w:top="2098" w:right="1418" w:bottom="1985" w:left="1531" w:header="851" w:footer="1418" w:gutter="0"/>
      <w:pgNumType w:fmt="numberInDash"/>
      <w:cols w:space="720"/>
      <w:docGrid w:type="lines" w:linePitch="569" w:charSpace="77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1F" w:rsidRDefault="0070271F" w:rsidP="006F4B13">
      <w:r>
        <w:separator/>
      </w:r>
    </w:p>
  </w:endnote>
  <w:endnote w:type="continuationSeparator" w:id="0">
    <w:p w:rsidR="0070271F" w:rsidRDefault="0070271F" w:rsidP="006F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0271F">
    <w:pPr>
      <w:pStyle w:val="a4"/>
      <w:framePr w:wrap="around" w:vAnchor="text" w:hAnchor="margin" w:xAlign="center" w:y="1"/>
      <w:rPr>
        <w:rStyle w:val="a5"/>
        <w:rFonts w:ascii="宋体" w:eastAsia="宋体" w:hAnsi="宋体"/>
        <w:sz w:val="24"/>
        <w:szCs w:val="24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0029F3">
      <w:rPr>
        <w:rStyle w:val="a5"/>
        <w:rFonts w:ascii="宋体" w:eastAsia="宋体" w:hAnsi="宋体"/>
        <w:noProof/>
        <w:sz w:val="28"/>
        <w:szCs w:val="28"/>
      </w:rPr>
      <w:t>- 2 -</w:t>
    </w:r>
    <w:r>
      <w:rPr>
        <w:rFonts w:ascii="宋体" w:eastAsia="宋体" w:hAnsi="宋体"/>
        <w:sz w:val="28"/>
        <w:szCs w:val="28"/>
      </w:rPr>
      <w:fldChar w:fldCharType="end"/>
    </w:r>
  </w:p>
  <w:p w:rsidR="00000000" w:rsidRDefault="007027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1F" w:rsidRDefault="0070271F" w:rsidP="006F4B13">
      <w:r>
        <w:separator/>
      </w:r>
    </w:p>
  </w:footnote>
  <w:footnote w:type="continuationSeparator" w:id="0">
    <w:p w:rsidR="0070271F" w:rsidRDefault="0070271F" w:rsidP="006F4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0271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9"/>
  <w:drawingGridVerticalSpacing w:val="56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E7"/>
    <w:rsid w:val="000029F3"/>
    <w:rsid w:val="005038E7"/>
    <w:rsid w:val="005145BA"/>
    <w:rsid w:val="006F4B13"/>
    <w:rsid w:val="0070271F"/>
    <w:rsid w:val="00D35158"/>
    <w:rsid w:val="00D7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13"/>
    <w:pPr>
      <w:widowControl w:val="0"/>
      <w:jc w:val="both"/>
    </w:pPr>
    <w:rPr>
      <w:rFonts w:ascii="Calibri" w:eastAsia="仿宋_GB2312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F4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F4B13"/>
    <w:rPr>
      <w:sz w:val="18"/>
      <w:szCs w:val="18"/>
    </w:rPr>
  </w:style>
  <w:style w:type="paragraph" w:styleId="a4">
    <w:name w:val="footer"/>
    <w:basedOn w:val="a"/>
    <w:link w:val="Char0"/>
    <w:unhideWhenUsed/>
    <w:rsid w:val="006F4B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F4B13"/>
    <w:rPr>
      <w:sz w:val="18"/>
      <w:szCs w:val="18"/>
    </w:rPr>
  </w:style>
  <w:style w:type="character" w:styleId="a5">
    <w:name w:val="page number"/>
    <w:basedOn w:val="a0"/>
    <w:rsid w:val="006F4B13"/>
  </w:style>
  <w:style w:type="character" w:customStyle="1" w:styleId="NormalCharacter">
    <w:name w:val="NormalCharacter"/>
    <w:semiHidden/>
    <w:qFormat/>
    <w:rsid w:val="006F4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13"/>
    <w:pPr>
      <w:widowControl w:val="0"/>
      <w:jc w:val="both"/>
    </w:pPr>
    <w:rPr>
      <w:rFonts w:ascii="Calibri" w:eastAsia="仿宋_GB2312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F4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F4B13"/>
    <w:rPr>
      <w:sz w:val="18"/>
      <w:szCs w:val="18"/>
    </w:rPr>
  </w:style>
  <w:style w:type="paragraph" w:styleId="a4">
    <w:name w:val="footer"/>
    <w:basedOn w:val="a"/>
    <w:link w:val="Char0"/>
    <w:unhideWhenUsed/>
    <w:rsid w:val="006F4B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F4B13"/>
    <w:rPr>
      <w:sz w:val="18"/>
      <w:szCs w:val="18"/>
    </w:rPr>
  </w:style>
  <w:style w:type="character" w:styleId="a5">
    <w:name w:val="page number"/>
    <w:basedOn w:val="a0"/>
    <w:rsid w:val="006F4B13"/>
  </w:style>
  <w:style w:type="character" w:customStyle="1" w:styleId="NormalCharacter">
    <w:name w:val="NormalCharacter"/>
    <w:semiHidden/>
    <w:qFormat/>
    <w:rsid w:val="006F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366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2022-04-22T02:27:00Z</dcterms:created>
  <dcterms:modified xsi:type="dcterms:W3CDTF">2022-04-22T02:32:00Z</dcterms:modified>
</cp:coreProperties>
</file>