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37" w:rsidRDefault="00667C37" w:rsidP="00667C37">
      <w:pPr>
        <w:spacing w:line="560" w:lineRule="exact"/>
        <w:rPr>
          <w:rFonts w:ascii="黑体" w:eastAsia="黑体" w:hAnsi="黑体" w:cs="黑体"/>
          <w:szCs w:val="32"/>
        </w:rPr>
      </w:pPr>
      <w:r>
        <w:rPr>
          <w:rFonts w:ascii="黑体" w:eastAsia="黑体" w:hAnsi="黑体" w:cs="黑体"/>
          <w:szCs w:val="32"/>
        </w:rPr>
        <w:t>附</w:t>
      </w:r>
      <w:r>
        <w:rPr>
          <w:rFonts w:ascii="黑体" w:eastAsia="黑体" w:hAnsi="黑体" w:cs="黑体" w:hint="eastAsia"/>
          <w:szCs w:val="32"/>
        </w:rPr>
        <w:t>件2</w:t>
      </w:r>
    </w:p>
    <w:p w:rsidR="005B0C8C" w:rsidRDefault="005B0C8C" w:rsidP="005B0C8C">
      <w:pPr>
        <w:spacing w:afterLines="50" w:line="500" w:lineRule="exact"/>
        <w:jc w:val="center"/>
        <w:rPr>
          <w:rFonts w:ascii="方正小标宋简体" w:eastAsia="方正小标宋简体" w:hAnsi="方正小标宋简体" w:cs="方正小标宋简体" w:hint="eastAsia"/>
          <w:sz w:val="44"/>
          <w:szCs w:val="44"/>
        </w:rPr>
      </w:pPr>
      <w:bookmarkStart w:id="0" w:name="_Hlk103689535"/>
    </w:p>
    <w:p w:rsidR="00667C37" w:rsidRDefault="00667C37" w:rsidP="005B0C8C">
      <w:pPr>
        <w:spacing w:afterLines="50"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公园等级评价指标表</w:t>
      </w:r>
      <w:bookmarkEnd w:id="0"/>
    </w:p>
    <w:tbl>
      <w:tblPr>
        <w:tblStyle w:val="a9"/>
        <w:tblW w:w="13937" w:type="dxa"/>
        <w:jc w:val="center"/>
        <w:tblLook w:val="04A0"/>
      </w:tblPr>
      <w:tblGrid>
        <w:gridCol w:w="1127"/>
        <w:gridCol w:w="1162"/>
        <w:gridCol w:w="1786"/>
        <w:gridCol w:w="1975"/>
        <w:gridCol w:w="688"/>
        <w:gridCol w:w="6485"/>
        <w:gridCol w:w="714"/>
      </w:tblGrid>
      <w:tr w:rsidR="00667C37" w:rsidTr="007265BE">
        <w:trPr>
          <w:trHeight w:val="414"/>
          <w:tblHeader/>
          <w:jc w:val="center"/>
        </w:trPr>
        <w:tc>
          <w:tcPr>
            <w:tcW w:w="1127" w:type="dxa"/>
            <w:shd w:val="clear" w:color="auto" w:fill="FFFFFF" w:themeFill="background1"/>
            <w:vAlign w:val="center"/>
          </w:tcPr>
          <w:p w:rsidR="00667C37" w:rsidRDefault="00667C37" w:rsidP="007265BE">
            <w:pPr>
              <w:jc w:val="center"/>
              <w:rPr>
                <w:rFonts w:ascii="黑体" w:eastAsia="黑体" w:hAnsi="黑体" w:cs="宋体"/>
                <w:kern w:val="0"/>
              </w:rPr>
            </w:pPr>
            <w:bookmarkStart w:id="1" w:name="_Hlk89779557"/>
            <w:r>
              <w:rPr>
                <w:rFonts w:ascii="黑体" w:eastAsia="黑体" w:hAnsi="黑体" w:cs="宋体" w:hint="eastAsia"/>
                <w:kern w:val="0"/>
                <w:sz w:val="21"/>
                <w:szCs w:val="21"/>
              </w:rPr>
              <w:t>大项</w:t>
            </w:r>
          </w:p>
        </w:tc>
        <w:tc>
          <w:tcPr>
            <w:tcW w:w="1162" w:type="dxa"/>
            <w:shd w:val="clear" w:color="auto" w:fill="FFFFFF" w:themeFill="background1"/>
            <w:vAlign w:val="center"/>
          </w:tcPr>
          <w:p w:rsidR="00667C37" w:rsidRDefault="00667C37" w:rsidP="007265BE">
            <w:pPr>
              <w:jc w:val="center"/>
              <w:rPr>
                <w:rFonts w:ascii="黑体" w:eastAsia="黑体" w:hAnsi="黑体" w:cs="宋体"/>
                <w:kern w:val="0"/>
              </w:rPr>
            </w:pPr>
            <w:r>
              <w:rPr>
                <w:rFonts w:ascii="黑体" w:eastAsia="黑体" w:hAnsi="黑体" w:cs="宋体" w:hint="eastAsia"/>
                <w:kern w:val="0"/>
                <w:sz w:val="21"/>
                <w:szCs w:val="21"/>
              </w:rPr>
              <w:t>中项</w:t>
            </w:r>
          </w:p>
        </w:tc>
        <w:tc>
          <w:tcPr>
            <w:tcW w:w="1786" w:type="dxa"/>
            <w:shd w:val="clear" w:color="auto" w:fill="FFFFFF" w:themeFill="background1"/>
            <w:vAlign w:val="center"/>
          </w:tcPr>
          <w:p w:rsidR="00667C37" w:rsidRDefault="00667C37" w:rsidP="007265BE">
            <w:pPr>
              <w:jc w:val="center"/>
              <w:rPr>
                <w:rFonts w:ascii="黑体" w:eastAsia="黑体" w:hAnsi="黑体" w:cs="宋体"/>
                <w:kern w:val="0"/>
              </w:rPr>
            </w:pPr>
            <w:r>
              <w:rPr>
                <w:rFonts w:ascii="黑体" w:eastAsia="黑体" w:hAnsi="黑体" w:cs="宋体" w:hint="eastAsia"/>
                <w:kern w:val="0"/>
                <w:sz w:val="21"/>
                <w:szCs w:val="21"/>
              </w:rPr>
              <w:t>说明</w:t>
            </w:r>
          </w:p>
        </w:tc>
        <w:tc>
          <w:tcPr>
            <w:tcW w:w="1975" w:type="dxa"/>
            <w:shd w:val="clear" w:color="auto" w:fill="FFFFFF" w:themeFill="background1"/>
            <w:vAlign w:val="center"/>
          </w:tcPr>
          <w:p w:rsidR="00667C37" w:rsidRDefault="00667C37" w:rsidP="007265BE">
            <w:pPr>
              <w:jc w:val="center"/>
              <w:rPr>
                <w:rFonts w:ascii="黑体" w:eastAsia="黑体" w:hAnsi="黑体" w:cs="宋体"/>
                <w:kern w:val="0"/>
              </w:rPr>
            </w:pPr>
            <w:r>
              <w:rPr>
                <w:rFonts w:ascii="黑体" w:eastAsia="黑体" w:hAnsi="黑体" w:cs="宋体" w:hint="eastAsia"/>
                <w:kern w:val="0"/>
                <w:sz w:val="21"/>
                <w:szCs w:val="21"/>
              </w:rPr>
              <w:t>小项</w:t>
            </w:r>
          </w:p>
        </w:tc>
        <w:tc>
          <w:tcPr>
            <w:tcW w:w="688" w:type="dxa"/>
            <w:shd w:val="clear" w:color="auto" w:fill="FFFFFF" w:themeFill="background1"/>
            <w:vAlign w:val="center"/>
          </w:tcPr>
          <w:p w:rsidR="00667C37" w:rsidRDefault="00667C37" w:rsidP="007265BE">
            <w:pPr>
              <w:jc w:val="center"/>
              <w:rPr>
                <w:rFonts w:ascii="黑体" w:eastAsia="黑体" w:hAnsi="黑体" w:cs="宋体"/>
                <w:kern w:val="0"/>
              </w:rPr>
            </w:pPr>
            <w:r>
              <w:rPr>
                <w:rFonts w:ascii="黑体" w:eastAsia="黑体" w:hAnsi="黑体" w:cs="宋体" w:hint="eastAsia"/>
                <w:kern w:val="0"/>
                <w:sz w:val="21"/>
                <w:szCs w:val="21"/>
              </w:rPr>
              <w:t>分值</w:t>
            </w:r>
          </w:p>
        </w:tc>
        <w:tc>
          <w:tcPr>
            <w:tcW w:w="6485" w:type="dxa"/>
            <w:shd w:val="clear" w:color="auto" w:fill="FFFFFF" w:themeFill="background1"/>
            <w:vAlign w:val="center"/>
          </w:tcPr>
          <w:p w:rsidR="00667C37" w:rsidRDefault="00667C37" w:rsidP="007265BE">
            <w:pPr>
              <w:jc w:val="center"/>
              <w:rPr>
                <w:rFonts w:ascii="黑体" w:eastAsia="黑体" w:hAnsi="黑体" w:cs="宋体"/>
                <w:kern w:val="0"/>
              </w:rPr>
            </w:pPr>
            <w:r>
              <w:rPr>
                <w:rFonts w:ascii="黑体" w:eastAsia="黑体" w:hAnsi="黑体" w:cs="宋体" w:hint="eastAsia"/>
                <w:kern w:val="0"/>
                <w:sz w:val="21"/>
                <w:szCs w:val="21"/>
              </w:rPr>
              <w:t>评价内容及满分标准</w:t>
            </w:r>
          </w:p>
        </w:tc>
        <w:tc>
          <w:tcPr>
            <w:tcW w:w="714" w:type="dxa"/>
            <w:shd w:val="clear" w:color="auto" w:fill="FFFFFF" w:themeFill="background1"/>
            <w:vAlign w:val="center"/>
          </w:tcPr>
          <w:p w:rsidR="00667C37" w:rsidRDefault="00667C37" w:rsidP="007265BE">
            <w:pPr>
              <w:jc w:val="center"/>
              <w:rPr>
                <w:rFonts w:ascii="黑体" w:eastAsia="黑体" w:hAnsi="黑体" w:cs="宋体"/>
                <w:kern w:val="0"/>
              </w:rPr>
            </w:pPr>
            <w:r>
              <w:rPr>
                <w:rFonts w:ascii="黑体" w:eastAsia="黑体" w:hAnsi="黑体" w:cs="宋体" w:hint="eastAsia"/>
                <w:kern w:val="0"/>
                <w:sz w:val="21"/>
                <w:szCs w:val="21"/>
              </w:rPr>
              <w:t>得分</w:t>
            </w:r>
          </w:p>
        </w:tc>
      </w:tr>
      <w:tr w:rsidR="00667C37" w:rsidTr="007265BE">
        <w:trPr>
          <w:trHeight w:val="260"/>
          <w:jc w:val="center"/>
        </w:trPr>
        <w:tc>
          <w:tcPr>
            <w:tcW w:w="1127"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基本情况（30分）</w:t>
            </w:r>
          </w:p>
        </w:tc>
        <w:tc>
          <w:tcPr>
            <w:tcW w:w="1162"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区位</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（4分）</w:t>
            </w:r>
          </w:p>
        </w:tc>
        <w:tc>
          <w:tcPr>
            <w:tcW w:w="1786"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对公园区位的重要性进行评价。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区位</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4</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城市（区）重点区域或组团核心。</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390"/>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功能分区</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（2分）</w:t>
            </w:r>
          </w:p>
        </w:tc>
        <w:tc>
          <w:tcPr>
            <w:tcW w:w="1786"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对公园功能分区布局及规模进行评价。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功能分区</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功能分区布局及规模合理，可满足游人日常使用需求。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174"/>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景观品质</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（8分）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对公园景观风貌及环境品质进行评价。</w:t>
            </w:r>
          </w:p>
        </w:tc>
        <w:tc>
          <w:tcPr>
            <w:tcW w:w="1975" w:type="dxa"/>
            <w:tcBorders>
              <w:top w:val="nil"/>
              <w:left w:val="nil"/>
              <w:right w:val="single" w:sz="4" w:space="0" w:color="auto"/>
            </w:tcBorders>
            <w:shd w:val="clear" w:color="auto" w:fill="auto"/>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kern w:val="0"/>
                <w:sz w:val="21"/>
                <w:szCs w:val="21"/>
              </w:rPr>
              <w:t>空间组织、地形与水景</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空间组织有序，地形地势美观，水体形态及驳岸与环境相协调。</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88"/>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tcBorders>
              <w:top w:val="nil"/>
              <w:left w:val="nil"/>
              <w:right w:val="single" w:sz="4" w:space="0" w:color="auto"/>
            </w:tcBorders>
            <w:shd w:val="clear" w:color="auto" w:fill="auto"/>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kern w:val="0"/>
                <w:sz w:val="21"/>
                <w:szCs w:val="21"/>
              </w:rPr>
              <w:t>植物景观</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4</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植物景观优美，配置合理，色彩多样，层次丰富，注重乡土植物应用。</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174"/>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tcBorders>
              <w:top w:val="nil"/>
              <w:left w:val="nil"/>
              <w:right w:val="single" w:sz="4" w:space="0" w:color="auto"/>
            </w:tcBorders>
            <w:shd w:val="clear" w:color="auto" w:fill="auto"/>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kern w:val="0"/>
                <w:sz w:val="21"/>
                <w:szCs w:val="21"/>
              </w:rPr>
              <w:t>园林建筑及小品</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园林建筑及小品美观实用，具有文化特色，与周边环境相协调。</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设施配置</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（6分）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对公园各类设施配置水平及建设合规性进行评价。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设施布局与配建水平</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3</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游憩、服务、管理三类设施布局合理，配置符合公园性质、规模和功能承载要求，满足游人使用需求。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园路</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园路分级设置符合规范要求和功能需要，地面铺装美观整齐，游览线路顺畅，满足无障碍通行需求。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建筑设施合规性及确权情况</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建筑配套用房依法依规建设，手续齐全。</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724"/>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影响力</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（5分）</w:t>
            </w:r>
          </w:p>
        </w:tc>
        <w:tc>
          <w:tcPr>
            <w:tcW w:w="1786"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对公园的重要性及社会影响力进行评价。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重要性及社会影响</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5</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历史名园；除历史名园及市属主要公园以外的精品公园、网红打卡地上榜公园；其他公园根据价值及知名度酌减得分。</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管理机构</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（5）</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对公园管理机构及人员配置进行评价。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管理机制</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3</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公园有固定管理机构或有稳定的管理人员，各项管理工作规范有序，管理经费有保障。</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人员配置</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各岗位人员专业配置合理，职能明确，满足管理服务需求。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137"/>
          <w:jc w:val="center"/>
        </w:trPr>
        <w:tc>
          <w:tcPr>
            <w:tcW w:w="1127"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保护维护（40分）</w:t>
            </w: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资源保护</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（7分）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对公园各类资源的保护措施及效果进行评价。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绿地资源保护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3</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公园绿地资源及土壤保护工作到位，措施合理，没有违法占用绿地情况。</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古树名木及重点树木保护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古树名木保护管理符合相关法规条例要求，挂牌建档，巡检到位，复壮及时，保护率100%。公园绿地内文化价值突出，有特殊纪念意义，珍稀名贵树木或高大、具有明显景观作用的乔木保护到位，生长健壮。</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文化资源保护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对文物遗迹及红色文化等历史文化资源保护、宣传措施得力，文物占用腾退工作到位。</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湿地资源保护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公园湿地资源保护符合法律规范要求，保护工作到位，措施合理。</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野生动植物资源保护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野生动物、野生植物资源保护符合法律规范要求，保护工作到位，措施合理。</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绿地养护</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（20分）</w:t>
            </w:r>
          </w:p>
        </w:tc>
        <w:tc>
          <w:tcPr>
            <w:tcW w:w="1786"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对绿地整体养护水平进行评价。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绿地养护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20</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树木生长健壮，树冠饱满，树形整齐美观，修剪合理；</w:t>
            </w:r>
          </w:p>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无死树、枯枝，基本无病虫害、药害现象；</w:t>
            </w:r>
          </w:p>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草坪地被生长茂盛、平整，无杂草、无裸露地表，无污物、垃圾；</w:t>
            </w:r>
          </w:p>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花坛花境配置合理，观赏效果好，三季有花有景；</w:t>
            </w:r>
          </w:p>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绿篱生长旺盛，修剪整齐，无死株、缺档；</w:t>
            </w:r>
          </w:p>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达到相应等级绿地养护质量标准。</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1170"/>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设施维护</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（6分）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对公园各类设施维护水平进行评价。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游憩、服务、管理各类设施维护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4</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建筑设施检查、检测、维护、维修到位，无安全隐患，符合相关技术安全规范要求；座椅、标识、园灯、围栏、运动健身器械等设施完好无损，能正常使用，舒适安全，相关提示清晰明显，有故障及时修理或更换；活动场地及园路地面无坑洼，无破损，无安全隐患。</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基础设施维护</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园林电、气、热、水、监控等基础设施维护良好，运行正常。</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卫生保洁</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（7分）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对园容卫生进行评价。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绿地、铺装、及设施保洁</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绿地及园路铺装地面干净，无垃圾，地面无积水；各类设施外表干净、整洁，无乱贴乱画。</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水体保洁</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园内水体清洁，无异味，水质达标。</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公厕保洁</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公厕无异味，无尿垢，无蚊蝇，无乱贴广告，地面无积水；配置洗手液及厕纸。</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垃圾处理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生活垃圾分类投放、收运，日产日清；绿化废弃物清理及时。</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321"/>
          <w:jc w:val="center"/>
        </w:trPr>
        <w:tc>
          <w:tcPr>
            <w:tcW w:w="1127" w:type="dxa"/>
            <w:vMerge w:val="restart"/>
            <w:vAlign w:val="center"/>
          </w:tcPr>
          <w:p w:rsidR="00667C37" w:rsidRDefault="00667C37" w:rsidP="007265BE">
            <w:pPr>
              <w:spacing w:line="300" w:lineRule="exact"/>
              <w:jc w:val="center"/>
              <w:rPr>
                <w:rFonts w:ascii="仿宋_GB2312" w:hAnsi="仿宋_GB2312" w:cs="仿宋_GB2312"/>
              </w:rPr>
            </w:pP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服务运营（30分）</w:t>
            </w: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服务管理</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（12分）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对公园管理服务、制度建设等情况进行评价。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制度建设</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管理制度健全，有年度工作计划及总结，档案管理规范。</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321"/>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优待优惠</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按规定对特定人群实行门票减免等优待优惠政策。</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便捷服务</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有针对“一老一小”等特定游客群体的关怀服务；通过公园网站或新媒体平台发布信息及时。</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噪声管理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规定娱乐、健身等活动的区域、时段、音量，采取有效措施，避免公园内各类噪声对其他游客及周边住宅等噪声敏感建筑物产生影响。</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547"/>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导览、接待、讲解服务</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接待服务及广播系统、标识导览系统完善，专业讲解满足游客需求。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资金管理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 xml:space="preserve">年度资金使用计划合理，各项支出预算测算精细，账目清晰，专款专用，监管到位。 </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477"/>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咨询投诉</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咨询投诉机制健全，响应及时，解决高效，“接诉即办”游客满意度高。</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477"/>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安全秩序管理</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（7分）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对公园安全秩序管理措施、安全运营总体情况进行评价。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安全管理机制</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客流预警管控、防灾避险、应急保障等安全管理机制健全，责任主体明确。</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322"/>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游览秩序管理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游览秩序安全顺畅，日常安全巡检规范到位；大型活动组织有序。</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477"/>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安全生产管理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设施设备安全运行，文物古建安全隐患排查及日常巡检规范，食品安全管理监督到位，绿化作业人员作业环境安全。</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477"/>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安防系统及安全警示标志</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消防设备及火警监控、安防监控系统完善，消防通道畅通，危险地段安全防护设施及安全警示标志齐全，门区设有安全检查系统。</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477"/>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安保人员</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安保人员经过专业培训并持证上岗，日常巡检规范到位，能够有效协助维护安全文明游览秩序，人员数量满足安保要求。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文化及</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lastRenderedPageBreak/>
              <w:t>科普活动</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（5分）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lastRenderedPageBreak/>
              <w:t>对公园文化及科</w:t>
            </w:r>
            <w:r>
              <w:rPr>
                <w:rFonts w:ascii="仿宋_GB2312" w:hAnsi="仿宋_GB2312" w:cs="仿宋_GB2312" w:hint="eastAsia"/>
                <w:sz w:val="21"/>
                <w:szCs w:val="21"/>
              </w:rPr>
              <w:lastRenderedPageBreak/>
              <w:t>普教育活动组织开展情况进行评价。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lastRenderedPageBreak/>
              <w:t>活动策划举办</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文化科普活动组织频次及质量高，内容丰富，特色鲜明，品牌影响力高。</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宣传展示</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宣传渠道多元，方式多样；科教展示形式新颖，富有特色，主要游览区及特色植物挂牌。</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公众参与</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各类活动游客积极响应参与，有针对老人、中青年、儿童等不同群体的活动项目设置及参与平台。</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商业经营</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（2分）</w:t>
            </w:r>
          </w:p>
        </w:tc>
        <w:tc>
          <w:tcPr>
            <w:tcW w:w="1786"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对公园商业服务情况进行评价。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商业经营</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商品经营项目符合公益属性及公园功能定位，经营证件齐全，提供的各类商业服务能够满足游客需求。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智慧科技</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应用</w:t>
            </w:r>
          </w:p>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（4分）</w:t>
            </w:r>
          </w:p>
        </w:tc>
        <w:tc>
          <w:tcPr>
            <w:tcW w:w="1786" w:type="dxa"/>
            <w:vMerge w:val="restart"/>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对公园科技应用及智慧管理水平进行评价。</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科技应用水平</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绿化养护、土壤监测、生物防治、新优植物品种引种应用等科技成果应用程度高；园林作业机械化程度高。</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1162" w:type="dxa"/>
            <w:vMerge/>
            <w:vAlign w:val="center"/>
          </w:tcPr>
          <w:p w:rsidR="00667C37" w:rsidRDefault="00667C37" w:rsidP="007265BE">
            <w:pPr>
              <w:spacing w:line="300" w:lineRule="exact"/>
              <w:jc w:val="center"/>
              <w:rPr>
                <w:rFonts w:ascii="仿宋_GB2312" w:hAnsi="仿宋_GB2312" w:cs="仿宋_GB2312"/>
              </w:rPr>
            </w:pPr>
          </w:p>
        </w:tc>
        <w:tc>
          <w:tcPr>
            <w:tcW w:w="1786" w:type="dxa"/>
            <w:vMerge/>
            <w:vAlign w:val="center"/>
          </w:tcPr>
          <w:p w:rsidR="00667C37" w:rsidRDefault="00667C37" w:rsidP="007265BE">
            <w:pPr>
              <w:spacing w:line="300" w:lineRule="exact"/>
              <w:jc w:val="center"/>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智慧管理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公园智慧化管理程度高，智能管理维护设施应用比例高；市民游客智慧游园体验感强。</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加分项（10分）</w:t>
            </w:r>
          </w:p>
        </w:tc>
        <w:tc>
          <w:tcPr>
            <w:tcW w:w="2948" w:type="dxa"/>
            <w:gridSpan w:val="2"/>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创新管理模式（4分）</w:t>
            </w: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志愿者服务</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常态化开展志愿者服务。</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2948" w:type="dxa"/>
            <w:gridSpan w:val="2"/>
            <w:vMerge/>
            <w:vAlign w:val="center"/>
          </w:tcPr>
          <w:p w:rsidR="00667C37" w:rsidRDefault="00667C37" w:rsidP="007265BE">
            <w:pPr>
              <w:spacing w:line="300" w:lineRule="exact"/>
              <w:jc w:val="center"/>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噪声控制</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设置噪声自动监测和显示设施，防止噪声污染。</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2948" w:type="dxa"/>
            <w:gridSpan w:val="2"/>
            <w:vMerge/>
            <w:vAlign w:val="center"/>
          </w:tcPr>
          <w:p w:rsidR="00667C37" w:rsidRDefault="00667C37" w:rsidP="007265BE">
            <w:pPr>
              <w:spacing w:line="300" w:lineRule="exact"/>
              <w:jc w:val="center"/>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制度建设</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公园制定《游人守则》。</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2948" w:type="dxa"/>
            <w:gridSpan w:val="2"/>
            <w:vMerge/>
            <w:vAlign w:val="center"/>
          </w:tcPr>
          <w:p w:rsidR="00667C37" w:rsidRDefault="00667C37" w:rsidP="007265BE">
            <w:pPr>
              <w:spacing w:line="300" w:lineRule="exact"/>
              <w:jc w:val="center"/>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共治共享</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实行市民园长制等“共治”管理模式，积极参与绿地共享。</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4923" w:type="dxa"/>
            <w:gridSpan w:val="3"/>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低碳节能（2分）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2</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应用太阳能照明设施、节能节水灌溉设施、屋顶及墙面立体绿化等低碳型设施。</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398"/>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4923" w:type="dxa"/>
            <w:gridSpan w:val="3"/>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生态效益（1分）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公园建有闭环绿道(林荫路、林荫场地），生物种类丰富，生态保护措施到位，生态效益突出。</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4923" w:type="dxa"/>
            <w:gridSpan w:val="3"/>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绿化废弃物资源化处理（1分）</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绿化废弃物按照就地粉碎还田、集中堆肥等方式进行减量化、资源化处置利用。</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2948" w:type="dxa"/>
            <w:gridSpan w:val="2"/>
            <w:vMerge w:val="restart"/>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持续完善提升（2分）</w:t>
            </w:r>
          </w:p>
        </w:tc>
        <w:tc>
          <w:tcPr>
            <w:tcW w:w="197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总体规划编制修订</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及时修订或编制公园总体规划方案，完善服务功能，满足游客需求。</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jc w:val="center"/>
        </w:trPr>
        <w:tc>
          <w:tcPr>
            <w:tcW w:w="1127" w:type="dxa"/>
            <w:vMerge/>
            <w:vAlign w:val="center"/>
          </w:tcPr>
          <w:p w:rsidR="00667C37" w:rsidRDefault="00667C37" w:rsidP="007265BE">
            <w:pPr>
              <w:spacing w:line="300" w:lineRule="exact"/>
              <w:jc w:val="center"/>
              <w:rPr>
                <w:rFonts w:ascii="仿宋_GB2312" w:hAnsi="仿宋_GB2312" w:cs="仿宋_GB2312"/>
              </w:rPr>
            </w:pPr>
          </w:p>
        </w:tc>
        <w:tc>
          <w:tcPr>
            <w:tcW w:w="2948" w:type="dxa"/>
            <w:gridSpan w:val="2"/>
            <w:vMerge/>
            <w:vAlign w:val="center"/>
          </w:tcPr>
          <w:p w:rsidR="00667C37" w:rsidRDefault="00667C37" w:rsidP="007265BE">
            <w:pPr>
              <w:spacing w:line="300" w:lineRule="exact"/>
              <w:jc w:val="center"/>
              <w:rPr>
                <w:rFonts w:ascii="仿宋_GB2312" w:hAnsi="仿宋_GB2312" w:cs="仿宋_GB2312"/>
              </w:rPr>
            </w:pPr>
          </w:p>
        </w:tc>
        <w:tc>
          <w:tcPr>
            <w:tcW w:w="1975"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文创产品开发</w:t>
            </w: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w:t>
            </w:r>
          </w:p>
        </w:tc>
        <w:tc>
          <w:tcPr>
            <w:tcW w:w="6485" w:type="dxa"/>
            <w:vAlign w:val="center"/>
          </w:tcPr>
          <w:p w:rsidR="00667C37" w:rsidRDefault="00667C37" w:rsidP="007265BE">
            <w:pPr>
              <w:spacing w:line="300" w:lineRule="exact"/>
              <w:rPr>
                <w:rFonts w:ascii="仿宋_GB2312" w:hAnsi="仿宋_GB2312" w:cs="仿宋_GB2312"/>
              </w:rPr>
            </w:pPr>
            <w:r>
              <w:rPr>
                <w:rFonts w:ascii="仿宋_GB2312" w:hAnsi="仿宋_GB2312" w:cs="仿宋_GB2312" w:hint="eastAsia"/>
                <w:sz w:val="21"/>
                <w:szCs w:val="21"/>
              </w:rPr>
              <w:t>开发具有文化内涵以及功能性和实用性的公园主题性文创产品，文创产品经营管理工作机制健全。积极承办开展“公园+”系列活动。</w:t>
            </w: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412"/>
          <w:jc w:val="center"/>
        </w:trPr>
        <w:tc>
          <w:tcPr>
            <w:tcW w:w="1127"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合计</w:t>
            </w:r>
          </w:p>
        </w:tc>
        <w:tc>
          <w:tcPr>
            <w:tcW w:w="4923" w:type="dxa"/>
            <w:gridSpan w:val="3"/>
            <w:vAlign w:val="center"/>
          </w:tcPr>
          <w:p w:rsidR="00667C37" w:rsidRDefault="00667C37" w:rsidP="007265BE">
            <w:pPr>
              <w:spacing w:line="300" w:lineRule="exact"/>
              <w:jc w:val="center"/>
              <w:rPr>
                <w:rFonts w:ascii="仿宋_GB2312" w:hAnsi="仿宋_GB2312" w:cs="仿宋_GB2312"/>
              </w:rPr>
            </w:pPr>
          </w:p>
        </w:tc>
        <w:tc>
          <w:tcPr>
            <w:tcW w:w="688"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t>110</w:t>
            </w:r>
          </w:p>
        </w:tc>
        <w:tc>
          <w:tcPr>
            <w:tcW w:w="6485" w:type="dxa"/>
            <w:vAlign w:val="center"/>
          </w:tcPr>
          <w:p w:rsidR="00667C37" w:rsidRDefault="00667C37" w:rsidP="007265BE">
            <w:pPr>
              <w:spacing w:line="300" w:lineRule="exact"/>
              <w:rPr>
                <w:rFonts w:ascii="仿宋_GB2312" w:hAnsi="仿宋_GB2312" w:cs="仿宋_GB2312"/>
              </w:rPr>
            </w:pPr>
          </w:p>
        </w:tc>
        <w:tc>
          <w:tcPr>
            <w:tcW w:w="714" w:type="dxa"/>
            <w:vAlign w:val="center"/>
          </w:tcPr>
          <w:p w:rsidR="00667C37" w:rsidRDefault="00667C37" w:rsidP="007265BE">
            <w:pPr>
              <w:spacing w:line="300" w:lineRule="exact"/>
              <w:jc w:val="center"/>
              <w:rPr>
                <w:rFonts w:ascii="仿宋_GB2312" w:hAnsi="仿宋_GB2312" w:cs="仿宋_GB2312"/>
              </w:rPr>
            </w:pPr>
          </w:p>
        </w:tc>
      </w:tr>
      <w:tr w:rsidR="00667C37" w:rsidTr="007265BE">
        <w:trPr>
          <w:trHeight w:val="735"/>
          <w:jc w:val="center"/>
        </w:trPr>
        <w:tc>
          <w:tcPr>
            <w:tcW w:w="1127" w:type="dxa"/>
            <w:vAlign w:val="center"/>
          </w:tcPr>
          <w:p w:rsidR="00667C37" w:rsidRDefault="00667C37" w:rsidP="007265BE">
            <w:pPr>
              <w:spacing w:line="300" w:lineRule="exact"/>
              <w:jc w:val="center"/>
              <w:rPr>
                <w:rFonts w:ascii="仿宋_GB2312" w:hAnsi="仿宋_GB2312" w:cs="仿宋_GB2312"/>
              </w:rPr>
            </w:pPr>
            <w:r>
              <w:rPr>
                <w:rFonts w:ascii="仿宋_GB2312" w:hAnsi="仿宋_GB2312" w:cs="仿宋_GB2312" w:hint="eastAsia"/>
                <w:sz w:val="21"/>
                <w:szCs w:val="21"/>
              </w:rPr>
              <w:lastRenderedPageBreak/>
              <w:t>否决项</w:t>
            </w:r>
          </w:p>
        </w:tc>
        <w:tc>
          <w:tcPr>
            <w:tcW w:w="12810" w:type="dxa"/>
            <w:gridSpan w:val="6"/>
            <w:vAlign w:val="center"/>
          </w:tcPr>
          <w:p w:rsidR="00667C37" w:rsidRDefault="00667C37" w:rsidP="00667C37">
            <w:pPr>
              <w:pStyle w:val="a8"/>
              <w:numPr>
                <w:ilvl w:val="0"/>
                <w:numId w:val="4"/>
              </w:numPr>
              <w:spacing w:line="300" w:lineRule="exact"/>
              <w:ind w:firstLineChars="0"/>
              <w:rPr>
                <w:rFonts w:ascii="仿宋_GB2312" w:eastAsia="仿宋_GB2312" w:hAnsi="仿宋_GB2312" w:cs="仿宋_GB2312"/>
              </w:rPr>
            </w:pPr>
            <w:r>
              <w:rPr>
                <w:rFonts w:ascii="仿宋_GB2312" w:eastAsia="仿宋_GB2312" w:hAnsi="仿宋_GB2312" w:cs="仿宋_GB2312" w:hint="eastAsia"/>
                <w:szCs w:val="21"/>
              </w:rPr>
              <w:t>发生重大安全事故；②破坏文物古迹；③破坏古树名木；④违规侵占绿地；⑤违规开垦、占用湿地或者改变湿地用途；⑥违规猎捕猎杀重点保护野生动物、采挖重点保护野生植物。</w:t>
            </w:r>
          </w:p>
        </w:tc>
      </w:tr>
      <w:bookmarkEnd w:id="1"/>
    </w:tbl>
    <w:p w:rsidR="00E70B1B" w:rsidRPr="005B0C8C" w:rsidRDefault="00E70B1B" w:rsidP="005B0C8C">
      <w:pPr>
        <w:tabs>
          <w:tab w:val="left" w:pos="408"/>
          <w:tab w:val="left" w:pos="9360"/>
        </w:tabs>
        <w:autoSpaceDE w:val="0"/>
        <w:autoSpaceDN w:val="0"/>
        <w:adjustRightInd w:val="0"/>
        <w:spacing w:line="520" w:lineRule="exact"/>
        <w:rPr>
          <w:szCs w:val="32"/>
        </w:rPr>
      </w:pPr>
    </w:p>
    <w:sectPr w:rsidR="00E70B1B" w:rsidRPr="005B0C8C" w:rsidSect="005B0C8C">
      <w:footerReference w:type="even" r:id="rId7"/>
      <w:footerReference w:type="default" r:id="rId8"/>
      <w:pgSz w:w="16840" w:h="11907" w:orient="landscape"/>
      <w:pgMar w:top="1588" w:right="2098" w:bottom="1474" w:left="1985" w:header="0" w:footer="1588" w:gutter="0"/>
      <w:pgNumType w:fmt="numberInDash"/>
      <w:cols w:space="720"/>
      <w:docGrid w:type="linesAndChars" w:linePitch="579"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6FD" w:rsidRDefault="00DD26FD" w:rsidP="00D82F44">
      <w:r>
        <w:separator/>
      </w:r>
    </w:p>
  </w:endnote>
  <w:endnote w:type="continuationSeparator" w:id="0">
    <w:p w:rsidR="00DD26FD" w:rsidRDefault="00DD26FD" w:rsidP="00D82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方正仿宋简体">
    <w:altName w:val="宋体"/>
    <w:charset w:val="86"/>
    <w:family w:val="roma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1B" w:rsidRDefault="00EE1765">
    <w:pPr>
      <w:pStyle w:val="a3"/>
      <w:framePr w:wrap="around" w:vAnchor="text" w:hAnchor="margin" w:xAlign="outside" w:y="1"/>
      <w:rPr>
        <w:rStyle w:val="a6"/>
      </w:rPr>
    </w:pPr>
    <w:r>
      <w:rPr>
        <w:rStyle w:val="a6"/>
      </w:rPr>
      <w:fldChar w:fldCharType="begin"/>
    </w:r>
    <w:r w:rsidR="00E70B1B">
      <w:rPr>
        <w:rStyle w:val="a6"/>
      </w:rPr>
      <w:instrText xml:space="preserve">PAGE  </w:instrText>
    </w:r>
    <w:r>
      <w:rPr>
        <w:rStyle w:val="a6"/>
      </w:rPr>
      <w:fldChar w:fldCharType="separate"/>
    </w:r>
    <w:r w:rsidR="00E70B1B">
      <w:rPr>
        <w:rStyle w:val="a6"/>
      </w:rPr>
      <w:t>1</w:t>
    </w:r>
    <w:r>
      <w:rPr>
        <w:rStyle w:val="a6"/>
      </w:rPr>
      <w:fldChar w:fldCharType="end"/>
    </w:r>
  </w:p>
  <w:p w:rsidR="00E70B1B" w:rsidRDefault="00E70B1B">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1B" w:rsidRDefault="00EE1765">
    <w:pPr>
      <w:pStyle w:val="a3"/>
      <w:framePr w:wrap="around" w:vAnchor="text" w:hAnchor="margin" w:xAlign="outside" w:y="1"/>
      <w:rPr>
        <w:rStyle w:val="a6"/>
        <w:rFonts w:ascii="宋体" w:eastAsia="宋体" w:hAnsi="宋体"/>
        <w:sz w:val="28"/>
        <w:szCs w:val="28"/>
      </w:rPr>
    </w:pPr>
    <w:r>
      <w:rPr>
        <w:rStyle w:val="a6"/>
        <w:rFonts w:ascii="宋体" w:eastAsia="宋体" w:hAnsi="宋体"/>
        <w:sz w:val="28"/>
        <w:szCs w:val="28"/>
      </w:rPr>
      <w:fldChar w:fldCharType="begin"/>
    </w:r>
    <w:r w:rsidR="00E70B1B">
      <w:rPr>
        <w:rStyle w:val="a6"/>
        <w:rFonts w:ascii="宋体" w:eastAsia="宋体" w:hAnsi="宋体"/>
        <w:sz w:val="28"/>
        <w:szCs w:val="28"/>
      </w:rPr>
      <w:instrText xml:space="preserve">PAGE  </w:instrText>
    </w:r>
    <w:r>
      <w:rPr>
        <w:rStyle w:val="a6"/>
        <w:rFonts w:ascii="宋体" w:eastAsia="宋体" w:hAnsi="宋体"/>
        <w:sz w:val="28"/>
        <w:szCs w:val="28"/>
      </w:rPr>
      <w:fldChar w:fldCharType="separate"/>
    </w:r>
    <w:r w:rsidR="005B0C8C">
      <w:rPr>
        <w:rStyle w:val="a6"/>
        <w:rFonts w:ascii="宋体" w:eastAsia="宋体" w:hAnsi="宋体"/>
        <w:noProof/>
        <w:sz w:val="28"/>
        <w:szCs w:val="28"/>
      </w:rPr>
      <w:t>- 1 -</w:t>
    </w:r>
    <w:r>
      <w:rPr>
        <w:rStyle w:val="a6"/>
        <w:rFonts w:ascii="宋体" w:eastAsia="宋体" w:hAnsi="宋体"/>
        <w:sz w:val="28"/>
        <w:szCs w:val="28"/>
      </w:rPr>
      <w:fldChar w:fldCharType="end"/>
    </w:r>
  </w:p>
  <w:p w:rsidR="00E70B1B" w:rsidRDefault="00E70B1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6FD" w:rsidRDefault="00DD26FD" w:rsidP="00D82F44">
      <w:r>
        <w:separator/>
      </w:r>
    </w:p>
  </w:footnote>
  <w:footnote w:type="continuationSeparator" w:id="0">
    <w:p w:rsidR="00DD26FD" w:rsidRDefault="00DD26FD" w:rsidP="00D82F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36A6"/>
    <w:multiLevelType w:val="multilevel"/>
    <w:tmpl w:val="87900066"/>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nsid w:val="14F929DE"/>
    <w:multiLevelType w:val="singleLevel"/>
    <w:tmpl w:val="14F929DE"/>
    <w:lvl w:ilvl="0">
      <w:start w:val="1"/>
      <w:numFmt w:val="chineseCounting"/>
      <w:suff w:val="nothing"/>
      <w:lvlText w:val="%1、"/>
      <w:lvlJc w:val="left"/>
      <w:pPr>
        <w:ind w:left="0" w:firstLine="0"/>
      </w:pPr>
    </w:lvl>
  </w:abstractNum>
  <w:abstractNum w:abstractNumId="2">
    <w:nsid w:val="194701A8"/>
    <w:multiLevelType w:val="multilevel"/>
    <w:tmpl w:val="194701A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F377AE1"/>
    <w:multiLevelType w:val="hybridMultilevel"/>
    <w:tmpl w:val="E3141F4E"/>
    <w:lvl w:ilvl="0" w:tplc="25824F04">
      <w:start w:val="1"/>
      <w:numFmt w:val="japaneseCounting"/>
      <w:lvlText w:val="%1、"/>
      <w:lvlJc w:val="left"/>
      <w:pPr>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315"/>
  <w:drawingGridVerticalSpacing w:val="579"/>
  <w:displayHorizontalDrawingGridEvery w:val="0"/>
  <w:characterSpacingControl w:val="compressPunctuation"/>
  <w:noLineBreaksAfter w:lang="zh-CN" w:val="$([{£¥·‘“〈《「『【〔〖〝﹙﹛﹝＄（．［｛￡￥"/>
  <w:noLineBreaksBefore w:lang="zh-CN" w:val="!%),.:;&gt;?]}¢¨°·ˇˉ―‖’”…‰′″›℃∶、。〃〉》」』】〕〗〞︶︺︾﹀﹄﹚﹜﹞！＂％＇），．：；？］｀｜｝～￠"/>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05E7"/>
    <w:rsid w:val="E29F593E"/>
    <w:rsid w:val="00006EFB"/>
    <w:rsid w:val="000070A3"/>
    <w:rsid w:val="0002378A"/>
    <w:rsid w:val="000241EB"/>
    <w:rsid w:val="0002577E"/>
    <w:rsid w:val="000271F4"/>
    <w:rsid w:val="00041117"/>
    <w:rsid w:val="00045A41"/>
    <w:rsid w:val="00074022"/>
    <w:rsid w:val="00077151"/>
    <w:rsid w:val="00083979"/>
    <w:rsid w:val="00092BBE"/>
    <w:rsid w:val="00093357"/>
    <w:rsid w:val="00096D71"/>
    <w:rsid w:val="000A2A14"/>
    <w:rsid w:val="000B6D41"/>
    <w:rsid w:val="000E536E"/>
    <w:rsid w:val="000F7D68"/>
    <w:rsid w:val="0010022D"/>
    <w:rsid w:val="00104ABB"/>
    <w:rsid w:val="001120D0"/>
    <w:rsid w:val="00113EE7"/>
    <w:rsid w:val="0011758B"/>
    <w:rsid w:val="001535A6"/>
    <w:rsid w:val="00181549"/>
    <w:rsid w:val="0018341E"/>
    <w:rsid w:val="001B3FC3"/>
    <w:rsid w:val="001C63E5"/>
    <w:rsid w:val="002110C3"/>
    <w:rsid w:val="00215AA0"/>
    <w:rsid w:val="00215FCA"/>
    <w:rsid w:val="00220A19"/>
    <w:rsid w:val="002273DD"/>
    <w:rsid w:val="00250E43"/>
    <w:rsid w:val="00281A2D"/>
    <w:rsid w:val="002B6F8E"/>
    <w:rsid w:val="002C114A"/>
    <w:rsid w:val="002C46D8"/>
    <w:rsid w:val="002D56ED"/>
    <w:rsid w:val="002D61B2"/>
    <w:rsid w:val="002D65ED"/>
    <w:rsid w:val="002E66FD"/>
    <w:rsid w:val="002E761E"/>
    <w:rsid w:val="002F578F"/>
    <w:rsid w:val="00300BE5"/>
    <w:rsid w:val="00323C31"/>
    <w:rsid w:val="00323D3A"/>
    <w:rsid w:val="0032468B"/>
    <w:rsid w:val="00332769"/>
    <w:rsid w:val="0033355C"/>
    <w:rsid w:val="003366BC"/>
    <w:rsid w:val="0035023F"/>
    <w:rsid w:val="00357797"/>
    <w:rsid w:val="0036230A"/>
    <w:rsid w:val="003641BD"/>
    <w:rsid w:val="003759CD"/>
    <w:rsid w:val="00380BE7"/>
    <w:rsid w:val="00386345"/>
    <w:rsid w:val="0038684B"/>
    <w:rsid w:val="003B67E2"/>
    <w:rsid w:val="003C1C8A"/>
    <w:rsid w:val="003C61AB"/>
    <w:rsid w:val="003D0F5B"/>
    <w:rsid w:val="003D7A1C"/>
    <w:rsid w:val="003E1EC2"/>
    <w:rsid w:val="003E37F4"/>
    <w:rsid w:val="003F3EE3"/>
    <w:rsid w:val="0040411A"/>
    <w:rsid w:val="00404D39"/>
    <w:rsid w:val="00420C7D"/>
    <w:rsid w:val="00423D97"/>
    <w:rsid w:val="00443A5A"/>
    <w:rsid w:val="0047327E"/>
    <w:rsid w:val="00480884"/>
    <w:rsid w:val="00495F43"/>
    <w:rsid w:val="004A3F28"/>
    <w:rsid w:val="004B4003"/>
    <w:rsid w:val="004D22A0"/>
    <w:rsid w:val="00523D3D"/>
    <w:rsid w:val="005257A1"/>
    <w:rsid w:val="00527971"/>
    <w:rsid w:val="00527E32"/>
    <w:rsid w:val="005442A6"/>
    <w:rsid w:val="00547041"/>
    <w:rsid w:val="00562C62"/>
    <w:rsid w:val="00572749"/>
    <w:rsid w:val="00574D7F"/>
    <w:rsid w:val="005850A0"/>
    <w:rsid w:val="00586AB8"/>
    <w:rsid w:val="005A798F"/>
    <w:rsid w:val="005B0851"/>
    <w:rsid w:val="005B0C8C"/>
    <w:rsid w:val="005B34F8"/>
    <w:rsid w:val="005B4C57"/>
    <w:rsid w:val="005B5EA3"/>
    <w:rsid w:val="005C25DF"/>
    <w:rsid w:val="005C4DBC"/>
    <w:rsid w:val="005C534A"/>
    <w:rsid w:val="005E19E0"/>
    <w:rsid w:val="005E778A"/>
    <w:rsid w:val="005F5F6B"/>
    <w:rsid w:val="0060063F"/>
    <w:rsid w:val="006052C1"/>
    <w:rsid w:val="00615AF4"/>
    <w:rsid w:val="00644269"/>
    <w:rsid w:val="00647409"/>
    <w:rsid w:val="006503C5"/>
    <w:rsid w:val="00650868"/>
    <w:rsid w:val="00650D91"/>
    <w:rsid w:val="00651B2A"/>
    <w:rsid w:val="00656C93"/>
    <w:rsid w:val="00657B18"/>
    <w:rsid w:val="00667C37"/>
    <w:rsid w:val="00673496"/>
    <w:rsid w:val="006839D7"/>
    <w:rsid w:val="0068599E"/>
    <w:rsid w:val="006A644E"/>
    <w:rsid w:val="006A7795"/>
    <w:rsid w:val="006B0502"/>
    <w:rsid w:val="006B13A7"/>
    <w:rsid w:val="006B6EFB"/>
    <w:rsid w:val="006C3C16"/>
    <w:rsid w:val="006C55B0"/>
    <w:rsid w:val="006C6BA7"/>
    <w:rsid w:val="006C72B6"/>
    <w:rsid w:val="006D6518"/>
    <w:rsid w:val="006E1BF3"/>
    <w:rsid w:val="00700266"/>
    <w:rsid w:val="00712B4D"/>
    <w:rsid w:val="0071523A"/>
    <w:rsid w:val="007238CD"/>
    <w:rsid w:val="007240C7"/>
    <w:rsid w:val="00725926"/>
    <w:rsid w:val="00730090"/>
    <w:rsid w:val="00743993"/>
    <w:rsid w:val="0074640F"/>
    <w:rsid w:val="00757C82"/>
    <w:rsid w:val="00760D5E"/>
    <w:rsid w:val="00762105"/>
    <w:rsid w:val="00771110"/>
    <w:rsid w:val="007747FE"/>
    <w:rsid w:val="00787209"/>
    <w:rsid w:val="00787B04"/>
    <w:rsid w:val="0079305D"/>
    <w:rsid w:val="00796012"/>
    <w:rsid w:val="007A10F1"/>
    <w:rsid w:val="007A4BA6"/>
    <w:rsid w:val="007B44C8"/>
    <w:rsid w:val="007B73B1"/>
    <w:rsid w:val="007D3ED7"/>
    <w:rsid w:val="007E21B6"/>
    <w:rsid w:val="007E2B5F"/>
    <w:rsid w:val="007F75A6"/>
    <w:rsid w:val="00800001"/>
    <w:rsid w:val="008014E8"/>
    <w:rsid w:val="00805C04"/>
    <w:rsid w:val="00805EE0"/>
    <w:rsid w:val="0082584D"/>
    <w:rsid w:val="008311CA"/>
    <w:rsid w:val="00837A59"/>
    <w:rsid w:val="008410B9"/>
    <w:rsid w:val="008437FD"/>
    <w:rsid w:val="00854389"/>
    <w:rsid w:val="00857498"/>
    <w:rsid w:val="0086134C"/>
    <w:rsid w:val="00862B5B"/>
    <w:rsid w:val="00871C5A"/>
    <w:rsid w:val="00871DAF"/>
    <w:rsid w:val="0087323F"/>
    <w:rsid w:val="008743F4"/>
    <w:rsid w:val="00876066"/>
    <w:rsid w:val="00882D06"/>
    <w:rsid w:val="008832EE"/>
    <w:rsid w:val="00890961"/>
    <w:rsid w:val="008A006F"/>
    <w:rsid w:val="008A35DC"/>
    <w:rsid w:val="008A7444"/>
    <w:rsid w:val="008B4B80"/>
    <w:rsid w:val="008C5C0C"/>
    <w:rsid w:val="008D0B09"/>
    <w:rsid w:val="008D56A8"/>
    <w:rsid w:val="008E124B"/>
    <w:rsid w:val="008E7FCC"/>
    <w:rsid w:val="008F3A19"/>
    <w:rsid w:val="0090216B"/>
    <w:rsid w:val="00902F2D"/>
    <w:rsid w:val="00914CED"/>
    <w:rsid w:val="00935F6B"/>
    <w:rsid w:val="00974276"/>
    <w:rsid w:val="00984117"/>
    <w:rsid w:val="009A73A8"/>
    <w:rsid w:val="009B65AF"/>
    <w:rsid w:val="009C7345"/>
    <w:rsid w:val="009E07C0"/>
    <w:rsid w:val="009E173A"/>
    <w:rsid w:val="009E5DD4"/>
    <w:rsid w:val="009E5F9D"/>
    <w:rsid w:val="009F742B"/>
    <w:rsid w:val="00A07681"/>
    <w:rsid w:val="00A12F9E"/>
    <w:rsid w:val="00A177FB"/>
    <w:rsid w:val="00A305E7"/>
    <w:rsid w:val="00A30F36"/>
    <w:rsid w:val="00A32436"/>
    <w:rsid w:val="00A403E4"/>
    <w:rsid w:val="00A5774F"/>
    <w:rsid w:val="00A6027D"/>
    <w:rsid w:val="00AB2862"/>
    <w:rsid w:val="00AB5FEF"/>
    <w:rsid w:val="00AC0281"/>
    <w:rsid w:val="00AD2A61"/>
    <w:rsid w:val="00AE6A83"/>
    <w:rsid w:val="00AF4765"/>
    <w:rsid w:val="00B019E7"/>
    <w:rsid w:val="00B1474B"/>
    <w:rsid w:val="00B16493"/>
    <w:rsid w:val="00B16D7B"/>
    <w:rsid w:val="00B279BD"/>
    <w:rsid w:val="00B3747F"/>
    <w:rsid w:val="00B37B51"/>
    <w:rsid w:val="00B42ACC"/>
    <w:rsid w:val="00B445FD"/>
    <w:rsid w:val="00B53B12"/>
    <w:rsid w:val="00B5771C"/>
    <w:rsid w:val="00B6357A"/>
    <w:rsid w:val="00B72605"/>
    <w:rsid w:val="00B77ED8"/>
    <w:rsid w:val="00B93FAB"/>
    <w:rsid w:val="00B95D08"/>
    <w:rsid w:val="00BA38A4"/>
    <w:rsid w:val="00BB1145"/>
    <w:rsid w:val="00BB2FE0"/>
    <w:rsid w:val="00BC24DB"/>
    <w:rsid w:val="00BD7112"/>
    <w:rsid w:val="00BE55BB"/>
    <w:rsid w:val="00BE79C3"/>
    <w:rsid w:val="00C017EE"/>
    <w:rsid w:val="00C06755"/>
    <w:rsid w:val="00C272DB"/>
    <w:rsid w:val="00C37329"/>
    <w:rsid w:val="00C37406"/>
    <w:rsid w:val="00C434F9"/>
    <w:rsid w:val="00C446FA"/>
    <w:rsid w:val="00C6144D"/>
    <w:rsid w:val="00C6188F"/>
    <w:rsid w:val="00C629B8"/>
    <w:rsid w:val="00C6323C"/>
    <w:rsid w:val="00C802B1"/>
    <w:rsid w:val="00CA40C3"/>
    <w:rsid w:val="00CA5B15"/>
    <w:rsid w:val="00CA61F5"/>
    <w:rsid w:val="00CD40FA"/>
    <w:rsid w:val="00CE2FE3"/>
    <w:rsid w:val="00CE618C"/>
    <w:rsid w:val="00CF04CC"/>
    <w:rsid w:val="00CF0CD2"/>
    <w:rsid w:val="00D17280"/>
    <w:rsid w:val="00D1779D"/>
    <w:rsid w:val="00D216A6"/>
    <w:rsid w:val="00D22887"/>
    <w:rsid w:val="00D36D4F"/>
    <w:rsid w:val="00D62B64"/>
    <w:rsid w:val="00D62F7C"/>
    <w:rsid w:val="00D63CCF"/>
    <w:rsid w:val="00D81955"/>
    <w:rsid w:val="00D82A4E"/>
    <w:rsid w:val="00D82F44"/>
    <w:rsid w:val="00D95ED7"/>
    <w:rsid w:val="00DA1408"/>
    <w:rsid w:val="00DB4D0C"/>
    <w:rsid w:val="00DD26FD"/>
    <w:rsid w:val="00DD2CF1"/>
    <w:rsid w:val="00DD7E1A"/>
    <w:rsid w:val="00DE0B66"/>
    <w:rsid w:val="00DE6B80"/>
    <w:rsid w:val="00DF3D39"/>
    <w:rsid w:val="00E003E2"/>
    <w:rsid w:val="00E0393D"/>
    <w:rsid w:val="00E14AA9"/>
    <w:rsid w:val="00E23CC6"/>
    <w:rsid w:val="00E3518B"/>
    <w:rsid w:val="00E62058"/>
    <w:rsid w:val="00E70B1B"/>
    <w:rsid w:val="00E71DB6"/>
    <w:rsid w:val="00E7494E"/>
    <w:rsid w:val="00E80797"/>
    <w:rsid w:val="00E944EC"/>
    <w:rsid w:val="00E94B96"/>
    <w:rsid w:val="00EA2AD5"/>
    <w:rsid w:val="00EA3241"/>
    <w:rsid w:val="00ED7671"/>
    <w:rsid w:val="00EE1765"/>
    <w:rsid w:val="00EE23E6"/>
    <w:rsid w:val="00F03751"/>
    <w:rsid w:val="00F03E3D"/>
    <w:rsid w:val="00F21B70"/>
    <w:rsid w:val="00F24750"/>
    <w:rsid w:val="00F34D22"/>
    <w:rsid w:val="00F40C6E"/>
    <w:rsid w:val="00F42BE0"/>
    <w:rsid w:val="00F46C1D"/>
    <w:rsid w:val="00F64C66"/>
    <w:rsid w:val="00F70CC9"/>
    <w:rsid w:val="00F72608"/>
    <w:rsid w:val="00F72C34"/>
    <w:rsid w:val="00F84318"/>
    <w:rsid w:val="00F8556F"/>
    <w:rsid w:val="00F85950"/>
    <w:rsid w:val="00F92093"/>
    <w:rsid w:val="00FA4C0B"/>
    <w:rsid w:val="00FA4E8C"/>
    <w:rsid w:val="00FA769D"/>
    <w:rsid w:val="00FA7B05"/>
    <w:rsid w:val="00FB1226"/>
    <w:rsid w:val="00FB18A8"/>
    <w:rsid w:val="00FC101B"/>
    <w:rsid w:val="00FD464D"/>
    <w:rsid w:val="00FF100F"/>
    <w:rsid w:val="00FF1BFD"/>
    <w:rsid w:val="00FF3815"/>
    <w:rsid w:val="7F5B647F"/>
    <w:rsid w:val="7F775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qFormat="1"/>
    <w:lsdException w:name="header" w:locked="1" w:semiHidden="0" w:uiPriority="0" w:unhideWhenUsed="0"/>
    <w:lsdException w:name="footer" w:locked="1" w:semiHidden="0" w:unhideWhenUsed="0" w:qFormat="1"/>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Normal Table" w:locked="1" w:semiHidden="0" w:uiPriority="0" w:unhideWhenUsed="0"/>
    <w:lsdException w:name="Table Grid" w:locked="1"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F4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82F44"/>
    <w:pPr>
      <w:tabs>
        <w:tab w:val="center" w:pos="4153"/>
        <w:tab w:val="right" w:pos="8306"/>
      </w:tabs>
      <w:snapToGrid w:val="0"/>
      <w:jc w:val="left"/>
    </w:pPr>
    <w:rPr>
      <w:kern w:val="0"/>
      <w:sz w:val="20"/>
    </w:rPr>
  </w:style>
  <w:style w:type="character" w:customStyle="1" w:styleId="Char">
    <w:name w:val="页脚 Char"/>
    <w:link w:val="a3"/>
    <w:uiPriority w:val="99"/>
    <w:qFormat/>
    <w:locked/>
    <w:rsid w:val="00D82F44"/>
    <w:rPr>
      <w:rFonts w:ascii="Times New Roman" w:eastAsia="仿宋_GB2312" w:hAnsi="Times New Roman" w:cs="Times New Roman"/>
      <w:sz w:val="20"/>
      <w:szCs w:val="20"/>
    </w:rPr>
  </w:style>
  <w:style w:type="paragraph" w:styleId="a4">
    <w:name w:val="header"/>
    <w:basedOn w:val="a"/>
    <w:link w:val="Char0"/>
    <w:uiPriority w:val="99"/>
    <w:semiHidden/>
    <w:rsid w:val="00D82F4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semiHidden/>
    <w:locked/>
    <w:rsid w:val="00D82F44"/>
    <w:rPr>
      <w:rFonts w:ascii="Times New Roman" w:eastAsia="仿宋_GB2312" w:hAnsi="Times New Roman" w:cs="Times New Roman"/>
      <w:sz w:val="18"/>
      <w:szCs w:val="18"/>
    </w:rPr>
  </w:style>
  <w:style w:type="paragraph" w:styleId="a5">
    <w:name w:val="Normal (Web)"/>
    <w:basedOn w:val="a"/>
    <w:uiPriority w:val="99"/>
    <w:qFormat/>
    <w:rsid w:val="00D82F44"/>
    <w:pPr>
      <w:widowControl/>
      <w:spacing w:before="100" w:beforeAutospacing="1" w:after="100" w:afterAutospacing="1"/>
      <w:jc w:val="left"/>
    </w:pPr>
    <w:rPr>
      <w:rFonts w:ascii="宋体" w:eastAsia="宋体" w:hAnsi="宋体" w:cs="宋体"/>
      <w:kern w:val="0"/>
      <w:sz w:val="24"/>
      <w:szCs w:val="24"/>
    </w:rPr>
  </w:style>
  <w:style w:type="character" w:styleId="a6">
    <w:name w:val="page number"/>
    <w:uiPriority w:val="99"/>
    <w:rsid w:val="00D82F44"/>
    <w:rPr>
      <w:rFonts w:cs="Times New Roman"/>
    </w:rPr>
  </w:style>
  <w:style w:type="paragraph" w:customStyle="1" w:styleId="Normal0">
    <w:name w:val="Normal_0"/>
    <w:uiPriority w:val="99"/>
    <w:rsid w:val="00D82F44"/>
    <w:pPr>
      <w:widowControl w:val="0"/>
      <w:jc w:val="both"/>
    </w:pPr>
    <w:rPr>
      <w:rFonts w:ascii="等线" w:eastAsia="等线" w:hAnsi="等线"/>
      <w:kern w:val="2"/>
      <w:sz w:val="21"/>
      <w:szCs w:val="22"/>
    </w:rPr>
  </w:style>
  <w:style w:type="paragraph" w:styleId="a7">
    <w:name w:val="Normal Indent"/>
    <w:basedOn w:val="a"/>
    <w:uiPriority w:val="99"/>
    <w:unhideWhenUsed/>
    <w:qFormat/>
    <w:rsid w:val="002D61B2"/>
    <w:pPr>
      <w:ind w:firstLineChars="200" w:firstLine="420"/>
    </w:pPr>
    <w:rPr>
      <w:rFonts w:ascii="Calibri" w:eastAsia="宋体" w:hAnsi="Calibri"/>
      <w:sz w:val="21"/>
      <w:szCs w:val="24"/>
    </w:rPr>
  </w:style>
  <w:style w:type="paragraph" w:styleId="a8">
    <w:name w:val="List Paragraph"/>
    <w:basedOn w:val="a"/>
    <w:uiPriority w:val="34"/>
    <w:qFormat/>
    <w:rsid w:val="00E7494E"/>
    <w:pPr>
      <w:ind w:firstLineChars="200" w:firstLine="420"/>
    </w:pPr>
    <w:rPr>
      <w:rFonts w:ascii="Calibri" w:eastAsia="宋体" w:hAnsi="Calibri"/>
      <w:sz w:val="21"/>
      <w:szCs w:val="22"/>
    </w:rPr>
  </w:style>
  <w:style w:type="paragraph" w:styleId="2">
    <w:name w:val="Body Text Indent 2"/>
    <w:basedOn w:val="a"/>
    <w:link w:val="2Char"/>
    <w:uiPriority w:val="99"/>
    <w:qFormat/>
    <w:rsid w:val="008E7FCC"/>
    <w:pPr>
      <w:overflowPunct w:val="0"/>
      <w:spacing w:line="360" w:lineRule="auto"/>
      <w:ind w:firstLine="600"/>
    </w:pPr>
    <w:rPr>
      <w:rFonts w:ascii="等线" w:eastAsia="等线" w:hAnsi="等线"/>
      <w:sz w:val="24"/>
      <w:szCs w:val="22"/>
    </w:rPr>
  </w:style>
  <w:style w:type="character" w:customStyle="1" w:styleId="2Char">
    <w:name w:val="正文文本缩进 2 Char"/>
    <w:basedOn w:val="a0"/>
    <w:link w:val="2"/>
    <w:uiPriority w:val="99"/>
    <w:rsid w:val="008E7FCC"/>
    <w:rPr>
      <w:rFonts w:ascii="等线" w:eastAsia="等线" w:hAnsi="等线"/>
      <w:kern w:val="2"/>
      <w:sz w:val="24"/>
      <w:szCs w:val="22"/>
    </w:rPr>
  </w:style>
  <w:style w:type="paragraph" w:customStyle="1" w:styleId="UserStyle0">
    <w:name w:val="UserStyle_0"/>
    <w:basedOn w:val="a"/>
    <w:qFormat/>
    <w:rsid w:val="00725926"/>
    <w:pPr>
      <w:ind w:leftChars="200" w:left="420"/>
      <w:textAlignment w:val="baseline"/>
    </w:pPr>
    <w:rPr>
      <w:rFonts w:ascii="Calibri" w:eastAsia="方正仿宋简体" w:hAnsi="Calibri"/>
      <w:sz w:val="30"/>
    </w:rPr>
  </w:style>
  <w:style w:type="paragraph" w:styleId="1">
    <w:name w:val="toc 1"/>
    <w:basedOn w:val="a"/>
    <w:next w:val="a"/>
    <w:qFormat/>
    <w:locked/>
    <w:rsid w:val="00F03E3D"/>
    <w:pPr>
      <w:snapToGrid w:val="0"/>
      <w:spacing w:line="640" w:lineRule="exact"/>
      <w:ind w:firstLine="705"/>
    </w:pPr>
    <w:rPr>
      <w:rFonts w:ascii="仿宋_GB2312" w:hAnsi="Calibri"/>
      <w:color w:val="000000"/>
      <w:sz w:val="36"/>
      <w:szCs w:val="36"/>
    </w:rPr>
  </w:style>
  <w:style w:type="character" w:customStyle="1" w:styleId="fontstyle01">
    <w:name w:val="fontstyle01"/>
    <w:basedOn w:val="a0"/>
    <w:rsid w:val="00C6323C"/>
    <w:rPr>
      <w:rFonts w:ascii="新宋体" w:eastAsia="新宋体" w:hAnsi="新宋体" w:hint="eastAsia"/>
      <w:b w:val="0"/>
      <w:bCs w:val="0"/>
      <w:i w:val="0"/>
      <w:iCs w:val="0"/>
      <w:color w:val="000000"/>
      <w:sz w:val="30"/>
      <w:szCs w:val="30"/>
    </w:rPr>
  </w:style>
  <w:style w:type="table" w:styleId="a9">
    <w:name w:val="Table Grid"/>
    <w:basedOn w:val="a1"/>
    <w:uiPriority w:val="39"/>
    <w:qFormat/>
    <w:locked/>
    <w:rsid w:val="00667C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39"/>
    <w:qFormat/>
    <w:rsid w:val="00667C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qFormat="1"/>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F4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82F44"/>
    <w:pPr>
      <w:tabs>
        <w:tab w:val="center" w:pos="4153"/>
        <w:tab w:val="right" w:pos="8306"/>
      </w:tabs>
      <w:snapToGrid w:val="0"/>
      <w:jc w:val="left"/>
    </w:pPr>
    <w:rPr>
      <w:kern w:val="0"/>
      <w:sz w:val="20"/>
    </w:rPr>
  </w:style>
  <w:style w:type="character" w:customStyle="1" w:styleId="Char">
    <w:name w:val="页脚 Char"/>
    <w:link w:val="a3"/>
    <w:uiPriority w:val="99"/>
    <w:locked/>
    <w:rsid w:val="00D82F44"/>
    <w:rPr>
      <w:rFonts w:ascii="Times New Roman" w:eastAsia="仿宋_GB2312" w:hAnsi="Times New Roman" w:cs="Times New Roman"/>
      <w:sz w:val="20"/>
      <w:szCs w:val="20"/>
    </w:rPr>
  </w:style>
  <w:style w:type="paragraph" w:styleId="a4">
    <w:name w:val="header"/>
    <w:basedOn w:val="a"/>
    <w:link w:val="Char0"/>
    <w:uiPriority w:val="99"/>
    <w:semiHidden/>
    <w:rsid w:val="00D82F4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semiHidden/>
    <w:locked/>
    <w:rsid w:val="00D82F44"/>
    <w:rPr>
      <w:rFonts w:ascii="Times New Roman" w:eastAsia="仿宋_GB2312" w:hAnsi="Times New Roman" w:cs="Times New Roman"/>
      <w:sz w:val="18"/>
      <w:szCs w:val="18"/>
    </w:rPr>
  </w:style>
  <w:style w:type="paragraph" w:styleId="a5">
    <w:name w:val="Normal (Web)"/>
    <w:basedOn w:val="a"/>
    <w:uiPriority w:val="99"/>
    <w:qFormat/>
    <w:rsid w:val="00D82F44"/>
    <w:pPr>
      <w:widowControl/>
      <w:spacing w:before="100" w:beforeAutospacing="1" w:after="100" w:afterAutospacing="1"/>
      <w:jc w:val="left"/>
    </w:pPr>
    <w:rPr>
      <w:rFonts w:ascii="宋体" w:eastAsia="宋体" w:hAnsi="宋体" w:cs="宋体"/>
      <w:kern w:val="0"/>
      <w:sz w:val="24"/>
      <w:szCs w:val="24"/>
    </w:rPr>
  </w:style>
  <w:style w:type="character" w:styleId="a6">
    <w:name w:val="page number"/>
    <w:uiPriority w:val="99"/>
    <w:rsid w:val="00D82F44"/>
    <w:rPr>
      <w:rFonts w:cs="Times New Roman"/>
    </w:rPr>
  </w:style>
  <w:style w:type="paragraph" w:customStyle="1" w:styleId="Normal0">
    <w:name w:val="Normal_0"/>
    <w:uiPriority w:val="99"/>
    <w:rsid w:val="00D82F44"/>
    <w:pPr>
      <w:widowControl w:val="0"/>
      <w:jc w:val="both"/>
    </w:pPr>
    <w:rPr>
      <w:rFonts w:ascii="等线" w:eastAsia="等线" w:hAnsi="等线"/>
      <w:kern w:val="2"/>
      <w:sz w:val="21"/>
      <w:szCs w:val="22"/>
    </w:rPr>
  </w:style>
  <w:style w:type="paragraph" w:styleId="a7">
    <w:name w:val="Normal Indent"/>
    <w:basedOn w:val="a"/>
    <w:uiPriority w:val="99"/>
    <w:unhideWhenUsed/>
    <w:qFormat/>
    <w:rsid w:val="002D61B2"/>
    <w:pPr>
      <w:ind w:firstLineChars="200" w:firstLine="420"/>
    </w:pPr>
    <w:rPr>
      <w:rFonts w:ascii="Calibri" w:eastAsia="宋体" w:hAnsi="Calibri"/>
      <w:sz w:val="21"/>
      <w:szCs w:val="24"/>
    </w:rPr>
  </w:style>
  <w:style w:type="paragraph" w:styleId="a8">
    <w:name w:val="List Paragraph"/>
    <w:basedOn w:val="a"/>
    <w:uiPriority w:val="99"/>
    <w:qFormat/>
    <w:rsid w:val="00E7494E"/>
    <w:pPr>
      <w:ind w:firstLineChars="200" w:firstLine="420"/>
    </w:pPr>
    <w:rPr>
      <w:rFonts w:ascii="Calibri" w:eastAsia="宋体" w:hAnsi="Calibri"/>
      <w:sz w:val="21"/>
      <w:szCs w:val="22"/>
    </w:rPr>
  </w:style>
  <w:style w:type="paragraph" w:styleId="2">
    <w:name w:val="Body Text Indent 2"/>
    <w:basedOn w:val="a"/>
    <w:link w:val="2Char"/>
    <w:uiPriority w:val="99"/>
    <w:qFormat/>
    <w:rsid w:val="008E7FCC"/>
    <w:pPr>
      <w:overflowPunct w:val="0"/>
      <w:spacing w:line="360" w:lineRule="auto"/>
      <w:ind w:firstLine="600"/>
    </w:pPr>
    <w:rPr>
      <w:rFonts w:ascii="等线" w:eastAsia="等线" w:hAnsi="等线"/>
      <w:sz w:val="24"/>
      <w:szCs w:val="22"/>
    </w:rPr>
  </w:style>
  <w:style w:type="character" w:customStyle="1" w:styleId="2Char">
    <w:name w:val="正文文本缩进 2 Char"/>
    <w:basedOn w:val="a0"/>
    <w:link w:val="2"/>
    <w:uiPriority w:val="99"/>
    <w:rsid w:val="008E7FCC"/>
    <w:rPr>
      <w:rFonts w:ascii="等线" w:eastAsia="等线" w:hAnsi="等线"/>
      <w:kern w:val="2"/>
      <w:sz w:val="24"/>
      <w:szCs w:val="22"/>
    </w:rPr>
  </w:style>
  <w:style w:type="paragraph" w:customStyle="1" w:styleId="UserStyle0">
    <w:name w:val="UserStyle_0"/>
    <w:basedOn w:val="a"/>
    <w:qFormat/>
    <w:rsid w:val="00725926"/>
    <w:pPr>
      <w:ind w:leftChars="200" w:left="420"/>
      <w:textAlignment w:val="baseline"/>
    </w:pPr>
    <w:rPr>
      <w:rFonts w:ascii="Calibri" w:eastAsia="方正仿宋简体" w:hAnsi="Calibri"/>
      <w:sz w:val="30"/>
    </w:rPr>
  </w:style>
  <w:style w:type="paragraph" w:styleId="1">
    <w:name w:val="toc 1"/>
    <w:basedOn w:val="a"/>
    <w:next w:val="a"/>
    <w:qFormat/>
    <w:locked/>
    <w:rsid w:val="00F03E3D"/>
    <w:pPr>
      <w:snapToGrid w:val="0"/>
      <w:spacing w:line="640" w:lineRule="exact"/>
      <w:ind w:firstLine="705"/>
    </w:pPr>
    <w:rPr>
      <w:rFonts w:ascii="仿宋_GB2312" w:hAnsi="Calibri"/>
      <w:color w:val="000000"/>
      <w:sz w:val="36"/>
      <w:szCs w:val="36"/>
    </w:rPr>
  </w:style>
  <w:style w:type="character" w:customStyle="1" w:styleId="fontstyle01">
    <w:name w:val="fontstyle01"/>
    <w:basedOn w:val="a0"/>
    <w:rsid w:val="00C6323C"/>
    <w:rPr>
      <w:rFonts w:ascii="新宋体" w:eastAsia="新宋体" w:hAnsi="新宋体" w:hint="eastAsia"/>
      <w:b w:val="0"/>
      <w:bCs w:val="0"/>
      <w:i w:val="0"/>
      <w:iCs w:val="0"/>
      <w:color w:val="000000"/>
      <w:sz w:val="30"/>
      <w:szCs w:val="30"/>
    </w:rPr>
  </w:style>
</w:styles>
</file>

<file path=word/webSettings.xml><?xml version="1.0" encoding="utf-8"?>
<w:webSettings xmlns:r="http://schemas.openxmlformats.org/officeDocument/2006/relationships" xmlns:w="http://schemas.openxmlformats.org/wordprocessingml/2006/main">
  <w:divs>
    <w:div w:id="109591784">
      <w:bodyDiv w:val="1"/>
      <w:marLeft w:val="0"/>
      <w:marRight w:val="0"/>
      <w:marTop w:val="0"/>
      <w:marBottom w:val="0"/>
      <w:divBdr>
        <w:top w:val="none" w:sz="0" w:space="0" w:color="auto"/>
        <w:left w:val="none" w:sz="0" w:space="0" w:color="auto"/>
        <w:bottom w:val="none" w:sz="0" w:space="0" w:color="auto"/>
        <w:right w:val="none" w:sz="0" w:space="0" w:color="auto"/>
      </w:divBdr>
    </w:div>
    <w:div w:id="148442991">
      <w:bodyDiv w:val="1"/>
      <w:marLeft w:val="0"/>
      <w:marRight w:val="0"/>
      <w:marTop w:val="0"/>
      <w:marBottom w:val="0"/>
      <w:divBdr>
        <w:top w:val="none" w:sz="0" w:space="0" w:color="auto"/>
        <w:left w:val="none" w:sz="0" w:space="0" w:color="auto"/>
        <w:bottom w:val="none" w:sz="0" w:space="0" w:color="auto"/>
        <w:right w:val="none" w:sz="0" w:space="0" w:color="auto"/>
      </w:divBdr>
    </w:div>
    <w:div w:id="237450147">
      <w:bodyDiv w:val="1"/>
      <w:marLeft w:val="0"/>
      <w:marRight w:val="0"/>
      <w:marTop w:val="0"/>
      <w:marBottom w:val="0"/>
      <w:divBdr>
        <w:top w:val="none" w:sz="0" w:space="0" w:color="auto"/>
        <w:left w:val="none" w:sz="0" w:space="0" w:color="auto"/>
        <w:bottom w:val="none" w:sz="0" w:space="0" w:color="auto"/>
        <w:right w:val="none" w:sz="0" w:space="0" w:color="auto"/>
      </w:divBdr>
    </w:div>
    <w:div w:id="439420451">
      <w:bodyDiv w:val="1"/>
      <w:marLeft w:val="0"/>
      <w:marRight w:val="0"/>
      <w:marTop w:val="0"/>
      <w:marBottom w:val="0"/>
      <w:divBdr>
        <w:top w:val="none" w:sz="0" w:space="0" w:color="auto"/>
        <w:left w:val="none" w:sz="0" w:space="0" w:color="auto"/>
        <w:bottom w:val="none" w:sz="0" w:space="0" w:color="auto"/>
        <w:right w:val="none" w:sz="0" w:space="0" w:color="auto"/>
      </w:divBdr>
    </w:div>
    <w:div w:id="1459714426">
      <w:bodyDiv w:val="1"/>
      <w:marLeft w:val="0"/>
      <w:marRight w:val="0"/>
      <w:marTop w:val="0"/>
      <w:marBottom w:val="0"/>
      <w:divBdr>
        <w:top w:val="none" w:sz="0" w:space="0" w:color="auto"/>
        <w:left w:val="none" w:sz="0" w:space="0" w:color="auto"/>
        <w:bottom w:val="none" w:sz="0" w:space="0" w:color="auto"/>
        <w:right w:val="none" w:sz="0" w:space="0" w:color="auto"/>
      </w:divBdr>
    </w:div>
    <w:div w:id="1712799998">
      <w:bodyDiv w:val="1"/>
      <w:marLeft w:val="0"/>
      <w:marRight w:val="0"/>
      <w:marTop w:val="0"/>
      <w:marBottom w:val="0"/>
      <w:divBdr>
        <w:top w:val="none" w:sz="0" w:space="0" w:color="auto"/>
        <w:left w:val="none" w:sz="0" w:space="0" w:color="auto"/>
        <w:bottom w:val="none" w:sz="0" w:space="0" w:color="auto"/>
        <w:right w:val="none" w:sz="0" w:space="0" w:color="auto"/>
      </w:divBdr>
    </w:div>
    <w:div w:id="1866560085">
      <w:bodyDiv w:val="1"/>
      <w:marLeft w:val="0"/>
      <w:marRight w:val="0"/>
      <w:marTop w:val="0"/>
      <w:marBottom w:val="0"/>
      <w:divBdr>
        <w:top w:val="none" w:sz="0" w:space="0" w:color="auto"/>
        <w:left w:val="none" w:sz="0" w:space="0" w:color="auto"/>
        <w:bottom w:val="none" w:sz="0" w:space="0" w:color="auto"/>
        <w:right w:val="none" w:sz="0" w:space="0" w:color="auto"/>
      </w:divBdr>
    </w:div>
    <w:div w:id="20252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493</Words>
  <Characters>2812</Characters>
  <Application>Microsoft Office Word</Application>
  <DocSecurity>0</DocSecurity>
  <Lines>23</Lines>
  <Paragraphs>6</Paragraphs>
  <ScaleCrop>false</ScaleCrop>
  <Company>china</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cp:lastModifiedBy>
  <cp:revision>8</cp:revision>
  <cp:lastPrinted>2022-12-09T07:06:00Z</cp:lastPrinted>
  <dcterms:created xsi:type="dcterms:W3CDTF">2024-05-27T10:04:00Z</dcterms:created>
  <dcterms:modified xsi:type="dcterms:W3CDTF">2024-09-02T06:51:00Z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