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BF" w:rsidRPr="00FC3BBF" w:rsidRDefault="00FC3BBF" w:rsidP="00FC3BBF">
      <w:pPr>
        <w:widowControl/>
        <w:shd w:val="clear" w:color="auto" w:fill="FFFFFF"/>
        <w:spacing w:line="560" w:lineRule="exact"/>
        <w:jc w:val="center"/>
        <w:textAlignment w:val="center"/>
        <w:rPr>
          <w:rFonts w:ascii="方正小标宋_GBK" w:eastAsia="方正小标宋_GBK" w:hAnsi="inherit" w:cs="Helvetica" w:hint="eastAsia"/>
          <w:color w:val="333333"/>
          <w:kern w:val="0"/>
          <w:sz w:val="44"/>
          <w:szCs w:val="44"/>
          <w:lang w:eastAsia="zh-Hans"/>
        </w:rPr>
      </w:pPr>
      <w:r w:rsidRPr="00FC3BBF">
        <w:rPr>
          <w:rFonts w:ascii="方正小标宋_GBK" w:eastAsia="方正小标宋_GBK" w:hAnsi="inherit" w:cs="Helvetica" w:hint="eastAsia"/>
          <w:color w:val="333333"/>
          <w:kern w:val="0"/>
          <w:sz w:val="44"/>
          <w:szCs w:val="44"/>
          <w:lang w:eastAsia="zh-Hans"/>
        </w:rPr>
        <w:t>《青岛市统计行政处罚裁量基准》的政策解读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  <w:t>一、《青岛市统计行政处罚裁量基准》的制定目的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为依法履行统计行政执法职责，规范对统计违法行为行政处罚的自由裁量权，保障能够依据违法事实、性质、情节、危害性等相关因素进行统计行政处罚，使统计执法更加公正、公平、客观、合理，提高统计行政执法公信力，认真贯彻落实新修订的《中华人民共和国行政处罚法》，根据《中华人民共和国统计法》有关法律法规规章，以及《山东省统计行政处罚裁量基准》，市统计局制定了《青岛市统计行政处罚裁量基准》（以下简称《裁量基准》）。</w:t>
      </w:r>
      <w:bookmarkStart w:id="0" w:name="_GoBack"/>
      <w:bookmarkEnd w:id="0"/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  <w:t>二、《青岛市统计行政处罚裁量基准》的制定依据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主要依据《中华人民共和国统计法》《中华人民共和国行政处罚法》《统计法实施条例》和《国家统计局统计行政处罚裁量基准》《省统计局统计行政处罚裁量基准》等法律法规规章，结合权责清单及统计工作实际，制定本《裁量基准》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  <w:t xml:space="preserve">三、《青岛市统计行政处罚裁量基准》的主要内容 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(一)本《裁量基准》共26条。明确了制定目的和适用范围，规定了行使行政处罚自由裁量权应当遵循的原则和步骤，细化了违法行为裁量档次和处罚标准，规范了基本裁量规则等。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lastRenderedPageBreak/>
        <w:t>(二)本《裁量基准》将《统计法》规定的统计调查对象的主要违法现象分为8种统计违法行为，并分别划分了轻微、一般、严重2-3个裁量档次，细化了处罚标准（见青岛市统计局行政处罚裁量基准表）。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1、拒绝提供统计资料或者经催报后仍未按时提供统计资料（第六条）。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2、提供不真实统计资料的（第七条）。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3、提供不完整统计资料的（第七条）。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4、拒绝答复或者不如实答复统计检查查询书的（第八条）。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5、拒绝、阻碍统计调查、统计检查的（第九条）。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6、转移、隐匿、篡改、毁弃或者拒绝提供原始记录和凭证、统计台账、统计调查表及其他相关证明和资料的（第十条）。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7、迟报统计资料（第十一条）。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8、未按照国家有关规定设置原始记录、统计台账（第十二条）。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(三)为保护法人和其他组织的权利和利益，本《裁量基准》规定了一些不予行政处罚和可以不予行政处罚（第十五条）、应当依法从轻或者减轻处罚（第十六条）、可以从轻或者减轻处罚（第十七条）等具体违法情节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lastRenderedPageBreak/>
        <w:t>(四)为维护法律的严肃性，本《裁量基准》还规定了可以从重处罚的具体违法情节（第十八条）。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(五)为提高行政效率、降低执法成本，本《裁量基准》还规定了可以适用简易程序，当场作出行政处罚的情节（第二十条）。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黑体" w:eastAsia="黑体" w:hAnsi="黑体" w:cs="Helvetica" w:hint="eastAsia"/>
          <w:color w:val="333333"/>
          <w:kern w:val="0"/>
          <w:sz w:val="32"/>
          <w:szCs w:val="32"/>
          <w:lang w:eastAsia="zh-Hans"/>
        </w:rPr>
        <w:t>四、《青岛市统计行政处罚裁量基准》的施行日期</w:t>
      </w:r>
    </w:p>
    <w:p w:rsidR="00FC3BBF" w:rsidRPr="00FC3BBF" w:rsidRDefault="00FC3BBF" w:rsidP="00FC3BBF">
      <w:pPr>
        <w:widowControl/>
        <w:shd w:val="clear" w:color="auto" w:fill="FFFFFF"/>
        <w:spacing w:line="560" w:lineRule="exact"/>
        <w:ind w:firstLineChars="200" w:firstLine="640"/>
        <w:jc w:val="left"/>
        <w:textAlignment w:val="center"/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</w:pPr>
      <w:r w:rsidRPr="00FC3BBF">
        <w:rPr>
          <w:rFonts w:ascii="仿宋_GB2312" w:eastAsia="仿宋_GB2312" w:hAnsi="inherit" w:cs="Helvetica" w:hint="eastAsia"/>
          <w:color w:val="333333"/>
          <w:kern w:val="0"/>
          <w:sz w:val="32"/>
          <w:szCs w:val="32"/>
          <w:lang w:eastAsia="zh-Hans"/>
        </w:rPr>
        <w:t>自2022年10月28日实行，有效期至2027年10月27日。</w:t>
      </w:r>
    </w:p>
    <w:sectPr w:rsidR="00FC3BBF" w:rsidRPr="00FC3BBF" w:rsidSect="00FC3BB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103" w:rsidRDefault="00774103" w:rsidP="006C18F1">
      <w:r>
        <w:separator/>
      </w:r>
    </w:p>
  </w:endnote>
  <w:endnote w:type="continuationSeparator" w:id="0">
    <w:p w:rsidR="00774103" w:rsidRDefault="00774103" w:rsidP="006C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103" w:rsidRDefault="00774103" w:rsidP="006C18F1">
      <w:r>
        <w:separator/>
      </w:r>
    </w:p>
  </w:footnote>
  <w:footnote w:type="continuationSeparator" w:id="0">
    <w:p w:rsidR="00774103" w:rsidRDefault="00774103" w:rsidP="006C1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0F"/>
    <w:rsid w:val="000029FA"/>
    <w:rsid w:val="00006551"/>
    <w:rsid w:val="0001370F"/>
    <w:rsid w:val="00026783"/>
    <w:rsid w:val="00045536"/>
    <w:rsid w:val="00060FC9"/>
    <w:rsid w:val="00065FEA"/>
    <w:rsid w:val="00095316"/>
    <w:rsid w:val="000E646B"/>
    <w:rsid w:val="000F6903"/>
    <w:rsid w:val="00127554"/>
    <w:rsid w:val="00134639"/>
    <w:rsid w:val="00165681"/>
    <w:rsid w:val="00165E08"/>
    <w:rsid w:val="0017189E"/>
    <w:rsid w:val="00172A23"/>
    <w:rsid w:val="001B3499"/>
    <w:rsid w:val="001D7C05"/>
    <w:rsid w:val="001E37DE"/>
    <w:rsid w:val="00213090"/>
    <w:rsid w:val="002753D4"/>
    <w:rsid w:val="002C6AA4"/>
    <w:rsid w:val="002D5775"/>
    <w:rsid w:val="00332685"/>
    <w:rsid w:val="00334913"/>
    <w:rsid w:val="00344174"/>
    <w:rsid w:val="003A26CD"/>
    <w:rsid w:val="004146FA"/>
    <w:rsid w:val="00415366"/>
    <w:rsid w:val="00422430"/>
    <w:rsid w:val="00453AC1"/>
    <w:rsid w:val="004A2B03"/>
    <w:rsid w:val="004F389B"/>
    <w:rsid w:val="005B042A"/>
    <w:rsid w:val="005C79D2"/>
    <w:rsid w:val="005E4CB1"/>
    <w:rsid w:val="00604BE1"/>
    <w:rsid w:val="006164A0"/>
    <w:rsid w:val="0062080D"/>
    <w:rsid w:val="00624F8F"/>
    <w:rsid w:val="006327C6"/>
    <w:rsid w:val="006C08B5"/>
    <w:rsid w:val="006C18F1"/>
    <w:rsid w:val="006E4716"/>
    <w:rsid w:val="006E65A9"/>
    <w:rsid w:val="006F245F"/>
    <w:rsid w:val="0070057F"/>
    <w:rsid w:val="007034D9"/>
    <w:rsid w:val="00704A8F"/>
    <w:rsid w:val="007363AE"/>
    <w:rsid w:val="00744623"/>
    <w:rsid w:val="00756B95"/>
    <w:rsid w:val="007632F6"/>
    <w:rsid w:val="00774103"/>
    <w:rsid w:val="007A3E25"/>
    <w:rsid w:val="007B17A1"/>
    <w:rsid w:val="0083082B"/>
    <w:rsid w:val="00844C90"/>
    <w:rsid w:val="00860C37"/>
    <w:rsid w:val="00866F2A"/>
    <w:rsid w:val="008765FF"/>
    <w:rsid w:val="008C18CD"/>
    <w:rsid w:val="00903816"/>
    <w:rsid w:val="009070B2"/>
    <w:rsid w:val="00914609"/>
    <w:rsid w:val="009258FF"/>
    <w:rsid w:val="00960ACA"/>
    <w:rsid w:val="00962D5B"/>
    <w:rsid w:val="009702EF"/>
    <w:rsid w:val="00984C7A"/>
    <w:rsid w:val="009865EF"/>
    <w:rsid w:val="009B1227"/>
    <w:rsid w:val="009C4E6D"/>
    <w:rsid w:val="009F32FC"/>
    <w:rsid w:val="00A06EC9"/>
    <w:rsid w:val="00A714D7"/>
    <w:rsid w:val="00A75095"/>
    <w:rsid w:val="00AD0F75"/>
    <w:rsid w:val="00AD1691"/>
    <w:rsid w:val="00AD3056"/>
    <w:rsid w:val="00AD7A4F"/>
    <w:rsid w:val="00B32C5D"/>
    <w:rsid w:val="00B3683A"/>
    <w:rsid w:val="00B45DD1"/>
    <w:rsid w:val="00B623C6"/>
    <w:rsid w:val="00B72800"/>
    <w:rsid w:val="00BA09EA"/>
    <w:rsid w:val="00BD4F4B"/>
    <w:rsid w:val="00BD5E7B"/>
    <w:rsid w:val="00C520B5"/>
    <w:rsid w:val="00C532F7"/>
    <w:rsid w:val="00C53602"/>
    <w:rsid w:val="00C6723B"/>
    <w:rsid w:val="00C67BDA"/>
    <w:rsid w:val="00C777B7"/>
    <w:rsid w:val="00C91C3A"/>
    <w:rsid w:val="00C941B5"/>
    <w:rsid w:val="00CB2950"/>
    <w:rsid w:val="00CE09F1"/>
    <w:rsid w:val="00CE7DAF"/>
    <w:rsid w:val="00D13CFD"/>
    <w:rsid w:val="00D54A32"/>
    <w:rsid w:val="00D630B7"/>
    <w:rsid w:val="00D741D4"/>
    <w:rsid w:val="00D80BE3"/>
    <w:rsid w:val="00D93A44"/>
    <w:rsid w:val="00D96E57"/>
    <w:rsid w:val="00DA6D3C"/>
    <w:rsid w:val="00DF5B3C"/>
    <w:rsid w:val="00E04C1F"/>
    <w:rsid w:val="00E10D81"/>
    <w:rsid w:val="00E207D1"/>
    <w:rsid w:val="00ED23CF"/>
    <w:rsid w:val="00F31BC1"/>
    <w:rsid w:val="00F42319"/>
    <w:rsid w:val="00F7545D"/>
    <w:rsid w:val="00F92ED4"/>
    <w:rsid w:val="00FB1E88"/>
    <w:rsid w:val="00FC3BBF"/>
    <w:rsid w:val="00FF2EE3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47B48B-54C1-4DCC-B5E0-D3568855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5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18F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1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18F1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C91C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24F8F"/>
    <w:rPr>
      <w:color w:val="0563C1" w:themeColor="hyperlink"/>
      <w:u w:val="single"/>
    </w:rPr>
  </w:style>
  <w:style w:type="paragraph" w:styleId="a8">
    <w:name w:val="Body Text"/>
    <w:basedOn w:val="a"/>
    <w:link w:val="Char1"/>
    <w:uiPriority w:val="1"/>
    <w:qFormat/>
    <w:rsid w:val="00C53602"/>
    <w:pPr>
      <w:autoSpaceDE w:val="0"/>
      <w:autoSpaceDN w:val="0"/>
      <w:ind w:left="111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C53602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9">
    <w:name w:val="Balloon Text"/>
    <w:basedOn w:val="a"/>
    <w:link w:val="Char2"/>
    <w:uiPriority w:val="99"/>
    <w:semiHidden/>
    <w:unhideWhenUsed/>
    <w:rsid w:val="00B32C5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32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9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157</Words>
  <Characters>896</Characters>
  <Application>Microsoft Office Word</Application>
  <DocSecurity>0</DocSecurity>
  <Lines>7</Lines>
  <Paragraphs>2</Paragraphs>
  <ScaleCrop>false</ScaleCrop>
  <Company>国家统计局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郑遵昌</dc:creator>
  <cp:keywords/>
  <dc:description/>
  <cp:lastModifiedBy>刘生:</cp:lastModifiedBy>
  <cp:revision>15</cp:revision>
  <cp:lastPrinted>2022-09-29T01:28:00Z</cp:lastPrinted>
  <dcterms:created xsi:type="dcterms:W3CDTF">2021-11-03T07:26:00Z</dcterms:created>
  <dcterms:modified xsi:type="dcterms:W3CDTF">2022-09-30T05:56:00Z</dcterms:modified>
</cp:coreProperties>
</file>