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仿宋_GB2312" w:hAnsi="Times New Roman" w:eastAsia="仿宋_GB2312"/>
          <w:sz w:val="32"/>
          <w:szCs w:val="20"/>
        </w:rPr>
      </w:pPr>
    </w:p>
    <w:p>
      <w:pPr>
        <w:spacing w:line="570" w:lineRule="exact"/>
        <w:jc w:val="center"/>
        <w:rPr>
          <w:rFonts w:ascii="仿宋_GB2312" w:hAnsi="Times New Roman" w:eastAsia="仿宋_GB2312"/>
          <w:sz w:val="32"/>
          <w:szCs w:val="20"/>
        </w:rPr>
      </w:pPr>
    </w:p>
    <w:p>
      <w:pPr>
        <w:spacing w:line="570" w:lineRule="exact"/>
        <w:jc w:val="center"/>
        <w:rPr>
          <w:rFonts w:ascii="仿宋_GB2312" w:hAnsi="Times New Roman" w:eastAsia="仿宋_GB2312"/>
          <w:sz w:val="32"/>
          <w:szCs w:val="20"/>
        </w:rPr>
      </w:pPr>
    </w:p>
    <w:p>
      <w:pPr>
        <w:tabs>
          <w:tab w:val="left" w:pos="5250"/>
        </w:tabs>
        <w:spacing w:line="1600" w:lineRule="exact"/>
        <w:jc w:val="distribute"/>
        <w:rPr>
          <w:rFonts w:ascii="方正小标宋_GBK" w:hAnsi="宋体" w:eastAsia="方正小标宋_GBK"/>
          <w:color w:val="FF0000"/>
          <w:spacing w:val="10"/>
          <w:w w:val="72"/>
          <w:sz w:val="120"/>
          <w:szCs w:val="120"/>
        </w:rPr>
      </w:pPr>
      <w:r>
        <w:rPr>
          <w:rFonts w:hint="eastAsia" w:ascii="方正小标宋_GBK" w:hAnsi="宋体" w:eastAsia="方正小标宋_GBK"/>
          <w:color w:val="FF0000"/>
          <w:spacing w:val="10"/>
          <w:w w:val="72"/>
          <w:sz w:val="120"/>
          <w:szCs w:val="120"/>
        </w:rPr>
        <w:t>青岛市统计局文件</w:t>
      </w:r>
    </w:p>
    <w:p>
      <w:pPr>
        <w:spacing w:line="370" w:lineRule="exact"/>
        <w:jc w:val="center"/>
        <w:rPr>
          <w:rFonts w:ascii="仿宋_GB2312" w:hAnsi="Times New Roman" w:eastAsia="仿宋_GB2312"/>
          <w:sz w:val="32"/>
          <w:szCs w:val="20"/>
        </w:rPr>
      </w:pPr>
    </w:p>
    <w:p>
      <w:pPr>
        <w:spacing w:line="370" w:lineRule="exact"/>
        <w:jc w:val="center"/>
        <w:rPr>
          <w:rFonts w:ascii="仿宋_GB2312" w:hAnsi="Times New Roman" w:eastAsia="仿宋_GB2312"/>
          <w:sz w:val="32"/>
          <w:szCs w:val="20"/>
        </w:rPr>
      </w:pPr>
    </w:p>
    <w:p>
      <w:pPr>
        <w:spacing w:line="560" w:lineRule="exact"/>
        <w:jc w:val="center"/>
        <w:rPr>
          <w:rFonts w:ascii="楷体_GB2312" w:hAnsi="Times New Roman" w:eastAsia="楷体_GB2312"/>
          <w:sz w:val="32"/>
          <w:szCs w:val="20"/>
        </w:rPr>
      </w:pPr>
      <w:r>
        <w:rPr>
          <w:rFonts w:hint="eastAsia" w:ascii="仿宋_GB2312" w:hAnsi="Times New Roman" w:eastAsia="仿宋_GB2312"/>
          <w:sz w:val="32"/>
          <w:szCs w:val="20"/>
        </w:rPr>
        <w:t>青统字〔</w:t>
      </w:r>
      <w:r>
        <w:rPr>
          <w:rFonts w:ascii="仿宋_GB2312" w:hAnsi="Times New Roman" w:eastAsia="仿宋_GB2312"/>
          <w:sz w:val="32"/>
          <w:szCs w:val="20"/>
        </w:rPr>
        <w:t>20</w:t>
      </w:r>
      <w:r>
        <w:rPr>
          <w:rFonts w:hint="eastAsia" w:ascii="仿宋_GB2312" w:hAnsi="Times New Roman" w:eastAsia="仿宋_GB2312"/>
          <w:sz w:val="32"/>
          <w:szCs w:val="20"/>
        </w:rPr>
        <w:t>21〕</w:t>
      </w:r>
      <w:r>
        <w:rPr>
          <w:rFonts w:hint="eastAsia" w:ascii="仿宋_GB2312" w:hAnsi="Times New Roman" w:eastAsia="仿宋_GB2312"/>
          <w:sz w:val="32"/>
          <w:szCs w:val="20"/>
          <w:lang w:val="en-US" w:eastAsia="zh-CN"/>
        </w:rPr>
        <w:t>23</w:t>
      </w:r>
      <w:r>
        <w:rPr>
          <w:rFonts w:hint="eastAsia" w:ascii="仿宋_GB2312" w:hAnsi="Times New Roman" w:eastAsia="仿宋_GB2312"/>
          <w:sz w:val="32"/>
          <w:szCs w:val="20"/>
        </w:rPr>
        <w:t>号</w:t>
      </w:r>
    </w:p>
    <w:p>
      <w:pPr>
        <w:spacing w:line="540" w:lineRule="exact"/>
        <w:rPr>
          <w:rFonts w:ascii="方正大标宋简体" w:hAnsi="Times New Roman" w:eastAsia="方正大标宋简体"/>
          <w:sz w:val="44"/>
          <w:szCs w:val="20"/>
        </w:rPr>
      </w:pPr>
      <w:r>
        <w:pict>
          <v:line id="直接连接符 1" o:spid="_x0000_s1026" o:spt="20" style="position:absolute;left:0pt;margin-left:0pt;margin-top:11.3pt;height:0pt;width:441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1MA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">
            <v:path arrowok="t"/>
            <v:fill focussize="0,0"/>
            <v:stroke weight="1.5pt" color="#FF0000"/>
            <v:imagedata o:title=""/>
            <o:lock v:ext="edit"/>
          </v:line>
        </w:pic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微软雅黑" w:eastAsia="方正小标宋_GBK" w:cs="宋体"/>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_GBK" w:hAnsi="微软雅黑" w:eastAsia="方正小标宋_GBK" w:cs="宋体"/>
          <w:kern w:val="0"/>
          <w:sz w:val="44"/>
          <w:szCs w:val="44"/>
        </w:rPr>
      </w:pPr>
      <w:r>
        <w:rPr>
          <w:rFonts w:hint="eastAsia" w:ascii="方正小标宋_GBK" w:hAnsi="微软雅黑" w:eastAsia="方正小标宋_GBK" w:cs="宋体"/>
          <w:kern w:val="0"/>
          <w:sz w:val="44"/>
          <w:szCs w:val="44"/>
        </w:rPr>
        <w:t>青岛市统计局</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_GBK" w:hAnsi="Times New Roman" w:eastAsia="方正小标宋_GBK" w:cs="Times New Roman"/>
          <w:spacing w:val="-12"/>
          <w:w w:val="95"/>
          <w:sz w:val="44"/>
          <w:szCs w:val="44"/>
        </w:rPr>
      </w:pPr>
      <w:r>
        <w:rPr>
          <w:rFonts w:hint="eastAsia" w:ascii="方正小标宋_GBK" w:hAnsi="Times New Roman" w:eastAsia="方正小标宋_GBK" w:cs="Times New Roman"/>
          <w:w w:val="95"/>
          <w:sz w:val="44"/>
          <w:szCs w:val="44"/>
          <w:lang w:val="en-US" w:eastAsia="zh-CN"/>
        </w:rPr>
        <w:t xml:space="preserve"> </w:t>
      </w:r>
      <w:r>
        <w:rPr>
          <w:rFonts w:hint="eastAsia" w:ascii="方正小标宋_GBK" w:hAnsi="Times New Roman" w:eastAsia="方正小标宋_GBK" w:cs="Times New Roman"/>
          <w:w w:val="95"/>
          <w:sz w:val="44"/>
          <w:szCs w:val="44"/>
        </w:rPr>
        <w:t>关于印发</w:t>
      </w:r>
      <w:r>
        <w:rPr>
          <w:rFonts w:hint="eastAsia" w:ascii="方正小标宋_GBK" w:hAnsi="Times New Roman" w:eastAsia="方正小标宋_GBK" w:cs="Times New Roman"/>
          <w:spacing w:val="-12"/>
          <w:w w:val="95"/>
          <w:sz w:val="44"/>
          <w:szCs w:val="44"/>
        </w:rPr>
        <w:t>《青岛市统计系统“双随机、一公开”</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_GBK" w:hAnsi="Times New Roman" w:eastAsia="方正小标宋_GBK" w:cs="Times New Roman"/>
          <w:spacing w:val="-12"/>
          <w:w w:val="95"/>
          <w:sz w:val="44"/>
          <w:szCs w:val="44"/>
        </w:rPr>
      </w:pPr>
      <w:r>
        <w:rPr>
          <w:rFonts w:hint="eastAsia" w:ascii="方正小标宋_GBK" w:hAnsi="Times New Roman" w:eastAsia="方正小标宋_GBK" w:cs="Times New Roman"/>
          <w:spacing w:val="-12"/>
          <w:w w:val="95"/>
          <w:sz w:val="44"/>
          <w:szCs w:val="44"/>
        </w:rPr>
        <w:t>监管工作规范</w:t>
      </w:r>
      <w:r>
        <w:rPr>
          <w:rFonts w:ascii="方正小标宋_GBK" w:hAnsi="Times New Roman" w:eastAsia="方正小标宋_GBK" w:cs="Times New Roman"/>
          <w:spacing w:val="-12"/>
          <w:w w:val="95"/>
          <w:sz w:val="44"/>
          <w:szCs w:val="44"/>
        </w:rPr>
        <w:t>(</w:t>
      </w:r>
      <w:r>
        <w:rPr>
          <w:rFonts w:hint="eastAsia" w:ascii="方正小标宋_GBK" w:hAnsi="Times New Roman" w:eastAsia="方正小标宋_GBK" w:cs="Times New Roman"/>
          <w:spacing w:val="-12"/>
          <w:w w:val="95"/>
          <w:sz w:val="44"/>
          <w:szCs w:val="44"/>
        </w:rPr>
        <w:t>Q/QD</w:t>
      </w:r>
      <w:r>
        <w:rPr>
          <w:rFonts w:ascii="方正小标宋_GBK" w:hAnsi="Times New Roman" w:eastAsia="方正小标宋_GBK" w:cs="Times New Roman"/>
          <w:spacing w:val="-12"/>
          <w:w w:val="95"/>
          <w:sz w:val="44"/>
          <w:szCs w:val="44"/>
        </w:rPr>
        <w:t xml:space="preserve">MSB </w:t>
      </w:r>
      <w:r>
        <w:rPr>
          <w:rFonts w:hint="eastAsia" w:ascii="方正小标宋_GBK" w:hAnsi="Times New Roman" w:eastAsia="方正小标宋_GBK" w:cs="Times New Roman"/>
          <w:spacing w:val="-12"/>
          <w:w w:val="95"/>
          <w:sz w:val="44"/>
          <w:szCs w:val="44"/>
        </w:rPr>
        <w:t>000</w:t>
      </w:r>
      <w:r>
        <w:rPr>
          <w:rFonts w:ascii="方正小标宋_GBK" w:hAnsi="Times New Roman" w:eastAsia="方正小标宋_GBK" w:cs="Times New Roman"/>
          <w:spacing w:val="-12"/>
          <w:w w:val="95"/>
          <w:sz w:val="44"/>
          <w:szCs w:val="44"/>
        </w:rPr>
        <w:t>1</w:t>
      </w:r>
      <w:r>
        <w:rPr>
          <w:rFonts w:hint="eastAsia" w:ascii="方正小标宋_GBK" w:hAnsi="Times New Roman" w:eastAsia="方正小标宋_GBK" w:cs="Times New Roman"/>
          <w:spacing w:val="-12"/>
          <w:w w:val="95"/>
          <w:sz w:val="44"/>
          <w:szCs w:val="44"/>
        </w:rPr>
        <w:t>—202</w:t>
      </w:r>
      <w:r>
        <w:rPr>
          <w:rFonts w:ascii="方正小标宋_GBK" w:hAnsi="Times New Roman" w:eastAsia="方正小标宋_GBK" w:cs="Times New Roman"/>
          <w:spacing w:val="-12"/>
          <w:w w:val="95"/>
          <w:sz w:val="44"/>
          <w:szCs w:val="44"/>
        </w:rPr>
        <w:t>1</w:t>
      </w:r>
      <w:r>
        <w:rPr>
          <w:rFonts w:hint="eastAsia" w:ascii="方正小标宋_GBK" w:hAnsi="Times New Roman" w:eastAsia="方正小标宋_GBK" w:cs="Times New Roman"/>
          <w:spacing w:val="-12"/>
          <w:w w:val="95"/>
          <w:sz w:val="44"/>
          <w:szCs w:val="44"/>
        </w:rPr>
        <w:t>)》的通知</w:t>
      </w:r>
    </w:p>
    <w:p>
      <w:pPr>
        <w:keepNext w:val="0"/>
        <w:keepLines w:val="0"/>
        <w:pageBreakBefore w:val="0"/>
        <w:kinsoku/>
        <w:wordWrap/>
        <w:overflowPunct/>
        <w:topLinePunct w:val="0"/>
        <w:autoSpaceDE/>
        <w:autoSpaceDN/>
        <w:bidi w:val="0"/>
        <w:adjustRightInd/>
        <w:spacing w:line="560" w:lineRule="exact"/>
        <w:textAlignment w:val="auto"/>
        <w:rPr>
          <w:rFonts w:ascii="仿宋_GB2312"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各区（市）统计局，西海岸</w:t>
      </w:r>
      <w:r>
        <w:rPr>
          <w:rFonts w:ascii="仿宋_GB2312" w:hAnsi="Times New Roman" w:eastAsia="仿宋_GB2312" w:cs="Times New Roman"/>
          <w:sz w:val="32"/>
          <w:szCs w:val="32"/>
        </w:rPr>
        <w:t>新区统计局，</w:t>
      </w:r>
      <w:r>
        <w:rPr>
          <w:rFonts w:hint="eastAsia" w:ascii="仿宋_GB2312" w:hAnsi="Times New Roman" w:eastAsia="仿宋_GB2312" w:cs="Times New Roman"/>
          <w:sz w:val="32"/>
          <w:szCs w:val="32"/>
        </w:rPr>
        <w:t>自贸片区统计与发展研究中心、高新区经济发展部，局内各处室（中心）：</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现将《青岛市统计系统“双随机、一公开”监管工作规范(Q/</w:t>
      </w:r>
      <w:r>
        <w:rPr>
          <w:rFonts w:ascii="仿宋_GB2312" w:hAnsi="Times New Roman" w:eastAsia="仿宋_GB2312" w:cs="Times New Roman"/>
          <w:sz w:val="32"/>
          <w:szCs w:val="32"/>
        </w:rPr>
        <w:t>QDMSB 0001-2021)</w:t>
      </w:r>
      <w:r>
        <w:rPr>
          <w:rFonts w:hint="eastAsia" w:ascii="仿宋_GB2312" w:hAnsi="Times New Roman" w:eastAsia="仿宋_GB2312" w:cs="Times New Roman"/>
          <w:sz w:val="32"/>
          <w:szCs w:val="32"/>
        </w:rPr>
        <w:t>》印发你们，请认真贯彻执行。</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附件：</w:t>
      </w:r>
      <w:r>
        <w:rPr>
          <w:rFonts w:hint="eastAsia" w:ascii="仿宋_GB2312" w:hAnsi="Times New Roman" w:eastAsia="仿宋_GB2312" w:cs="Times New Roman"/>
          <w:sz w:val="32"/>
          <w:szCs w:val="32"/>
          <w:lang w:val="en-US" w:eastAsia="zh-CN"/>
        </w:rPr>
        <w:t>1.青岛市统计局“双随机、一公开”监管工作规范</w:t>
      </w:r>
    </w:p>
    <w:p>
      <w:pPr>
        <w:keepNext w:val="0"/>
        <w:keepLines w:val="0"/>
        <w:pageBreakBefore w:val="0"/>
        <w:kinsoku/>
        <w:wordWrap/>
        <w:overflowPunct/>
        <w:topLinePunct w:val="0"/>
        <w:autoSpaceDE/>
        <w:autoSpaceDN/>
        <w:bidi w:val="0"/>
        <w:adjustRightInd/>
        <w:spacing w:line="560" w:lineRule="exact"/>
        <w:ind w:firstLine="1622" w:firstLineChars="507"/>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2.青岛市统计系统一般检查事项“双随机、一公开”</w:t>
      </w:r>
    </w:p>
    <w:p>
      <w:pPr>
        <w:keepNext w:val="0"/>
        <w:keepLines w:val="0"/>
        <w:pageBreakBefore w:val="0"/>
        <w:kinsoku/>
        <w:wordWrap/>
        <w:overflowPunct/>
        <w:topLinePunct w:val="0"/>
        <w:autoSpaceDE/>
        <w:autoSpaceDN/>
        <w:bidi w:val="0"/>
        <w:adjustRightInd/>
        <w:spacing w:line="560" w:lineRule="exact"/>
        <w:ind w:firstLine="1942" w:firstLineChars="607"/>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监管工作规范</w:t>
      </w:r>
    </w:p>
    <w:p>
      <w:pPr>
        <w:rPr>
          <w:rFonts w:hint="eastAsia"/>
          <w:lang w:val="en-US" w:eastAsia="zh-CN"/>
        </w:rPr>
        <w:sectPr>
          <w:footerReference r:id="rId4" w:type="first"/>
          <w:footerReference r:id="rId3" w:type="default"/>
          <w:pgSz w:w="11906" w:h="16838"/>
          <w:pgMar w:top="2098" w:right="1474" w:bottom="1984" w:left="1587" w:header="397" w:footer="1134" w:gutter="284"/>
          <w:pgNumType w:fmt="numberInDash"/>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（此页无正文）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pacing w:line="560" w:lineRule="exact"/>
        <w:ind w:firstLine="435"/>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青岛市统计局</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ascii="仿宋_GB2312" w:hAnsi="宋体" w:eastAsia="宋体" w:cs="宋体"/>
          <w:kern w:val="0"/>
          <w:sz w:val="24"/>
          <w:szCs w:val="32"/>
        </w:rPr>
      </w:pPr>
      <w:r>
        <w:rPr>
          <w:rFonts w:hint="eastAsia" w:ascii="仿宋_GB2312" w:hAnsi="宋体" w:eastAsia="宋体" w:cs="宋体"/>
          <w:kern w:val="0"/>
          <w:sz w:val="24"/>
          <w:szCs w:val="32"/>
        </w:rPr>
        <w:t xml:space="preserve">                       </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2021年9月26日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sectPr>
          <w:footerReference r:id="rId6" w:type="first"/>
          <w:footerReference r:id="rId5" w:type="default"/>
          <w:pgSz w:w="11906" w:h="16838"/>
          <w:pgMar w:top="2098" w:right="1474" w:bottom="1984" w:left="1587" w:header="0" w:footer="1134" w:gutter="284"/>
          <w:pgNumType w:fmt="numberInDash"/>
          <w:cols w:space="720" w:num="1"/>
          <w:titlePg/>
          <w:docGrid w:linePitch="312" w:charSpace="0"/>
        </w:sectPr>
      </w:pPr>
    </w:p>
    <w:p>
      <w:pPr>
        <w:pStyle w:val="217"/>
        <w:framePr w:w="9639" w:h="624" w:hRule="exact" w:hSpace="181" w:vSpace="181" w:vAnchor="page" w:hAnchor="page" w:x="1305" w:y="2269"/>
        <w:jc w:val="distribute"/>
        <w:rPr>
          <w:rFonts w:hint="eastAsia" w:ascii="黑体" w:hAnsi="Times New Roman" w:eastAsia="黑体" w:cs="Times New Roman"/>
          <w:b w:val="0"/>
          <w:bCs w:val="0"/>
          <w:w w:val="100"/>
          <w:sz w:val="48"/>
          <w:szCs w:val="48"/>
        </w:rPr>
      </w:pPr>
      <w:bookmarkStart w:id="0" w:name="_Hlk26473981"/>
      <w:r>
        <w:rPr>
          <w:rFonts w:hint="eastAsia" w:ascii="黑体" w:hAnsi="Times New Roman" w:eastAsia="黑体" w:cs="Times New Roman"/>
          <w:b w:val="0"/>
          <w:w w:val="100"/>
          <w:sz w:val="48"/>
        </w:rPr>
        <w:t>青岛市统计</w:t>
      </w:r>
      <w:r>
        <w:rPr>
          <w:rFonts w:hint="eastAsia" w:ascii="黑体" w:hAnsi="Times New Roman" w:eastAsia="黑体" w:cs="Times New Roman"/>
          <w:b w:val="0"/>
          <w:bCs w:val="0"/>
          <w:w w:val="100"/>
          <w:sz w:val="48"/>
          <w:szCs w:val="48"/>
        </w:rPr>
        <w:t>标准</w:t>
      </w:r>
    </w:p>
    <w:bookmarkEnd w:id="0"/>
    <w:p>
      <w:pPr>
        <w:pStyle w:val="218"/>
        <w:rPr>
          <w:rFonts w:hAnsi="Times New Roman" w:cs="Times New Roman"/>
        </w:rPr>
      </w:pPr>
      <w:r>
        <w:rPr>
          <w:rFonts w:hAnsi="Times New Roman" w:cs="Times New Roman"/>
        </w:rPr>
        <w:t>Q/QDMSB 0001—2021</w:t>
      </w:r>
    </w:p>
    <w:p>
      <w:pPr>
        <w:adjustRightInd w:val="0"/>
        <w:spacing w:line="240" w:lineRule="auto"/>
        <w:rPr>
          <w:rFonts w:hint="eastAsia" w:ascii="黑体" w:eastAsia="黑体"/>
          <w:kern w:val="0"/>
          <w:sz w:val="10"/>
          <w:szCs w:val="10"/>
        </w:rPr>
      </w:pPr>
      <w:r>
        <w:rPr>
          <w:rFonts w:hint="eastAsia" w:ascii="黑体" w:eastAsia="黑体"/>
          <w:kern w:val="0"/>
          <w:sz w:val="10"/>
          <w:szCs w:val="10"/>
        </w:rPr>
        <w:pict>
          <v:line id="直接连接符 73" o:spid="_x0000_s1029" o:spt="20" style="position:absolute;left:0pt;margin-left:70.9pt;margin-top:212.65pt;height:0pt;width:481.9pt;mso-position-horizontal-relative:page;mso-position-vertical-relative:page;z-index:251661312;mso-width-relative:page;mso-height-relative:page;" filled="f" stroked="t" coordsize="21600,21600" o:allowoverlap="f">
            <v:path arrowok="t"/>
            <v:fill on="f" focussize="0,0"/>
            <v:stroke/>
            <v:imagedata o:title=""/>
            <o:lock v:ext="edit"/>
          </v:line>
        </w:pict>
      </w:r>
    </w:p>
    <w:p>
      <w:pPr>
        <w:pStyle w:val="217"/>
        <w:framePr w:w="9639" w:h="5101" w:hRule="exact" w:vAnchor="page" w:hAnchor="page" w:y="6408"/>
        <w:jc w:val="center"/>
        <w:rPr>
          <w:rFonts w:hint="eastAsia" w:ascii="黑体" w:hAnsi="Times New Roman" w:eastAsia="黑体" w:cs="Times New Roman"/>
          <w:b w:val="0"/>
          <w:bCs w:val="0"/>
          <w:w w:val="100"/>
        </w:rPr>
      </w:pPr>
    </w:p>
    <w:p>
      <w:pPr>
        <w:pStyle w:val="220"/>
        <w:framePr w:w="8514" w:h="3099" w:hRule="exact" w:x="1688" w:y="6335" w:anchorLock="1"/>
        <w:ind w:firstLine="2340" w:firstLineChars="450"/>
        <w:jc w:val="left"/>
        <w:rPr>
          <w:rFonts w:hAnsi="Times New Roman" w:cs="Times New Roman"/>
        </w:rPr>
      </w:pPr>
      <w:r>
        <w:rPr>
          <w:rFonts w:hint="eastAsia" w:hAnsi="Times New Roman" w:cs="Times New Roman"/>
        </w:rPr>
        <w:t>青岛市统计系统</w:t>
      </w:r>
    </w:p>
    <w:p>
      <w:pPr>
        <w:pStyle w:val="220"/>
        <w:framePr w:w="8514" w:h="3099" w:hRule="exact" w:x="1688" w:y="6335" w:anchorLock="1"/>
        <w:ind w:left="2600" w:hanging="2600" w:hangingChars="500"/>
        <w:jc w:val="left"/>
        <w:rPr>
          <w:rFonts w:hAnsi="Times New Roman" w:cs="Times New Roman"/>
        </w:rPr>
      </w:pPr>
      <w:r>
        <w:rPr>
          <w:rFonts w:hint="eastAsia" w:hAnsi="Times New Roman" w:cs="Times New Roman"/>
        </w:rPr>
        <w:t>“双随机、一公开</w:t>
      </w:r>
      <w:r>
        <w:rPr>
          <w:rFonts w:hint="eastAsia" w:cs="Times New Roman"/>
          <w:lang w:eastAsia="zh-CN"/>
        </w:rPr>
        <w:t>”</w:t>
      </w:r>
      <w:r>
        <w:rPr>
          <w:rFonts w:hint="eastAsia" w:hAnsi="Times New Roman" w:cs="Times New Roman"/>
        </w:rPr>
        <w:t>监管工作规范</w:t>
      </w:r>
    </w:p>
    <w:p>
      <w:pPr>
        <w:framePr w:w="8514" w:h="3099" w:hRule="exact" w:wrap="around" w:vAnchor="page" w:hAnchor="page" w:x="1688" w:y="6335" w:anchorLock="1"/>
        <w:adjustRightInd w:val="0"/>
        <w:spacing w:line="400" w:lineRule="exact"/>
        <w:ind w:left="-1418"/>
        <w:jc w:val="left"/>
        <w:rPr>
          <w:szCs w:val="21"/>
        </w:rPr>
      </w:pPr>
    </w:p>
    <w:p>
      <w:pPr>
        <w:pStyle w:val="221"/>
        <w:framePr w:hSpace="0" w:wrap="auto" w:x="1411" w:y="13267" w:anchorLock="0"/>
        <w:rPr>
          <w:rFonts w:ascii="Times New Roman" w:hAnsi="Times New Roman" w:cs="Times New Roman"/>
        </w:rPr>
      </w:pPr>
      <w:r>
        <w:rPr>
          <w:rFonts w:hint="eastAsia" w:ascii="黑体" w:hAnsi="Times New Roman" w:cs="Times New Roman"/>
        </w:rPr>
        <w:t>2021</w:t>
      </w:r>
      <w:r>
        <w:rPr>
          <w:rFonts w:ascii="Times New Roman" w:hAnsi="Times New Roman" w:cs="Times New Roman"/>
        </w:rPr>
        <w:t xml:space="preserve"> </w:t>
      </w:r>
      <w:r>
        <w:rPr>
          <w:rFonts w:hint="eastAsia" w:ascii="黑体" w:hAnsi="Times New Roman" w:cs="Times New Roman"/>
        </w:rPr>
        <w:t>-</w:t>
      </w:r>
      <w:r>
        <w:rPr>
          <w:rFonts w:ascii="黑体" w:hAnsi="Times New Roman" w:cs="Times New Roman"/>
        </w:rPr>
        <w:t xml:space="preserve"> 9</w:t>
      </w:r>
      <w:r>
        <w:rPr>
          <w:rFonts w:hint="eastAsia" w:ascii="黑体" w:hAnsi="Times New Roman" w:cs="Times New Roman"/>
        </w:rPr>
        <w:t>–</w:t>
      </w:r>
      <w:r>
        <w:rPr>
          <w:rFonts w:ascii="Times New Roman" w:hAnsi="Times New Roman" w:cs="Times New Roman"/>
        </w:rPr>
        <w:t>26</w:t>
      </w:r>
      <w:r>
        <w:rPr>
          <w:rFonts w:hint="eastAsia" w:ascii="Times New Roman" w:hAnsi="Times New Roman" w:cs="Times New Roman"/>
        </w:rPr>
        <w:t>发布</w:t>
      </w:r>
    </w:p>
    <w:p>
      <w:pPr>
        <w:pStyle w:val="223"/>
        <w:framePr w:x="6630" w:y="13301"/>
        <w:rPr>
          <w:rFonts w:ascii="Times New Roman" w:hAnsi="Times New Roman" w:cs="Times New Roman"/>
        </w:rPr>
      </w:pPr>
      <w:r>
        <w:rPr>
          <w:rFonts w:hint="eastAsia" w:ascii="黑体" w:hAnsi="Times New Roman" w:cs="Times New Roman"/>
        </w:rPr>
        <w:t>2021</w:t>
      </w:r>
      <w:r>
        <w:rPr>
          <w:rFonts w:ascii="Times New Roman" w:hAnsi="Times New Roman" w:cs="Times New Roman"/>
        </w:rPr>
        <w:t xml:space="preserve"> </w:t>
      </w:r>
      <w:r>
        <w:rPr>
          <w:rFonts w:hint="eastAsia" w:ascii="黑体" w:hAnsi="Times New Roman" w:cs="Times New Roman"/>
        </w:rPr>
        <w:t>-</w:t>
      </w:r>
      <w:r>
        <w:rPr>
          <w:rFonts w:ascii="Times New Roman" w:hAnsi="Times New Roman" w:cs="Times New Roman"/>
        </w:rPr>
        <w:t xml:space="preserve"> </w:t>
      </w:r>
      <w:r>
        <w:rPr>
          <w:rFonts w:hint="eastAsia" w:ascii="黑体" w:hAnsi="Times New Roman" w:cs="Times New Roman"/>
        </w:rPr>
        <w:t>1</w:t>
      </w:r>
      <w:r>
        <w:rPr>
          <w:rFonts w:ascii="黑体" w:hAnsi="Times New Roman" w:cs="Times New Roman"/>
        </w:rPr>
        <w:t>0</w:t>
      </w:r>
      <w:r>
        <w:rPr>
          <w:rFonts w:ascii="Times New Roman" w:hAnsi="Times New Roman" w:cs="Times New Roman"/>
        </w:rPr>
        <w:t xml:space="preserve"> </w:t>
      </w:r>
      <w:r>
        <w:rPr>
          <w:rFonts w:ascii="黑体" w:hAnsi="Times New Roman" w:cs="Times New Roman"/>
        </w:rPr>
        <w:t>-</w:t>
      </w:r>
      <w:r>
        <w:rPr>
          <w:rFonts w:ascii="Times New Roman" w:hAnsi="Times New Roman" w:cs="Times New Roman"/>
        </w:rPr>
        <w:t xml:space="preserve"> </w:t>
      </w:r>
      <w:r>
        <w:rPr>
          <w:rFonts w:hint="eastAsia" w:ascii="黑体" w:hAnsi="Times New Roman" w:cs="Times New Roman"/>
        </w:rPr>
        <w:t>1</w:t>
      </w:r>
      <w:r>
        <w:rPr>
          <w:rFonts w:ascii="黑体" w:hAnsi="Times New Roman" w:cs="Times New Roman"/>
        </w:rPr>
        <w:t xml:space="preserve">5 </w:t>
      </w:r>
      <w:r>
        <w:rPr>
          <w:rFonts w:hint="eastAsia" w:ascii="Times New Roman" w:hAnsi="Times New Roman" w:cs="Times New Roman"/>
        </w:rPr>
        <w:t>实施</w:t>
      </w:r>
    </w:p>
    <w:p>
      <w:pPr>
        <w:pStyle w:val="225"/>
        <w:framePr w:h="584" w:hRule="exact" w:hSpace="181" w:vSpace="181" w:vAnchor="page" w:hAnchor="page" w:x="2311" w:y="14067"/>
        <w:rPr>
          <w:rFonts w:hAnsi="Times New Roman" w:cs="Times New Roman"/>
        </w:rPr>
      </w:pPr>
      <w:r>
        <w:rPr>
          <w:rFonts w:hint="eastAsia" w:hAnsi="Times New Roman" w:cs="Times New Roman"/>
          <w:w w:val="100"/>
          <w:sz w:val="28"/>
        </w:rPr>
        <w:t>青岛市统计局</w:t>
      </w:r>
      <w:r>
        <w:rPr>
          <w:rFonts w:ascii="Times New Roman" w:hAnsi="Times New Roman" w:cs="Times New Roman"/>
          <w:w w:val="100"/>
          <w:sz w:val="28"/>
        </w:rPr>
        <w:t>  </w:t>
      </w:r>
      <w:r>
        <w:rPr>
          <w:rStyle w:val="227"/>
          <w:rFonts w:hint="eastAsia" w:hAnsi="Times New Roman" w:cs="Times New Roman"/>
          <w:position w:val="0"/>
        </w:rPr>
        <w:t>发</w:t>
      </w:r>
      <w:r>
        <w:rPr>
          <w:rStyle w:val="227"/>
          <w:rFonts w:hint="eastAsia" w:hAnsi="Times New Roman" w:cs="Times New Roman"/>
          <w:spacing w:val="0"/>
          <w:position w:val="0"/>
        </w:rPr>
        <w:t>布</w:t>
      </w:r>
    </w:p>
    <w:p>
      <w:pPr>
        <w:rPr>
          <w:rFonts w:hint="eastAsia" w:ascii="宋体"/>
          <w:sz w:val="28"/>
          <w:szCs w:val="28"/>
        </w:rPr>
        <w:sectPr>
          <w:footerReference r:id="rId8" w:type="first"/>
          <w:footerReference r:id="rId7" w:type="default"/>
          <w:pgSz w:w="11906" w:h="16838"/>
          <w:pgMar w:top="2098" w:right="1474" w:bottom="1984" w:left="1587" w:header="0" w:footer="1134" w:gutter="284"/>
          <w:pgNumType w:fmt="numberInDash"/>
          <w:cols w:space="720" w:num="1"/>
          <w:titlePg/>
          <w:docGrid w:linePitch="312" w:charSpace="0"/>
        </w:sectPr>
      </w:pPr>
      <w:r>
        <w:rPr>
          <w:rFonts w:hint="eastAsia" w:ascii="宋体"/>
          <w:sz w:val="28"/>
          <w:szCs w:val="28"/>
        </w:rPr>
        <w:pict>
          <v:line id="直接连接符 5" o:spid="_x0000_s1030" o:spt="20" style="position:absolute;left:0pt;margin-left:62.55pt;margin-top:693.15pt;height:0pt;width:481.9pt;mso-position-horizontal-relative:page;mso-position-vertical-relative:page;z-index:251662336;mso-width-relative:page;mso-height-relative:page;" filled="f" stroked="t" coordsize="21600,21600">
            <v:path arrowok="t"/>
            <v:fill on="f" focussize="0,0"/>
            <v:stroke/>
            <v:imagedata o:title=""/>
            <o:lock v:ext="edit"/>
            <w10:anchorlock/>
          </v:line>
        </w:pict>
      </w:r>
    </w:p>
    <w:p>
      <w:pPr>
        <w:pStyle w:val="228"/>
        <w:spacing w:after="468" w:afterLines="0"/>
        <w:ind w:left="425" w:hanging="425"/>
        <w:rPr>
          <w:rFonts w:hAnsi="Times New Roman" w:cs="Times New Roman"/>
        </w:rPr>
      </w:pPr>
      <w:bookmarkStart w:id="1" w:name="BookMark2"/>
      <w:r>
        <w:rPr>
          <w:rFonts w:hAnsi="Times New Roman" w:cs="Times New Roman"/>
          <w:spacing w:val="320"/>
        </w:rPr>
        <w:t>前</w:t>
      </w:r>
      <w:r>
        <w:rPr>
          <w:rFonts w:hAnsi="Times New Roman" w:cs="Times New Roman"/>
        </w:rPr>
        <w:t>言</w:t>
      </w:r>
    </w:p>
    <w:p>
      <w:pPr>
        <w:pStyle w:val="219"/>
        <w:ind w:firstLine="420"/>
        <w:rPr>
          <w:rFonts w:hAnsi="Times New Roman" w:eastAsia="宋体" w:cs="Times New Roman"/>
        </w:rPr>
      </w:pPr>
      <w:r>
        <w:rPr>
          <w:rFonts w:hint="eastAsia" w:hAnsi="Times New Roman" w:eastAsia="宋体" w:cs="Times New Roman"/>
        </w:rPr>
        <w:t>本文件按照GB/T 1.1—2020《标准化工作导则  第1部分：标准化文件的结构和起草规则》的规定起草。</w:t>
      </w:r>
    </w:p>
    <w:p>
      <w:pPr>
        <w:pStyle w:val="219"/>
        <w:ind w:firstLine="420"/>
        <w:rPr>
          <w:rFonts w:hAnsi="Times New Roman" w:eastAsia="宋体" w:cs="Times New Roman"/>
        </w:rPr>
      </w:pPr>
      <w:r>
        <w:rPr>
          <w:rFonts w:hint="eastAsia" w:hAnsi="Times New Roman" w:eastAsia="宋体" w:cs="Times New Roman"/>
        </w:rPr>
        <w:t>本文件由青岛市统计局提出并归口。</w:t>
      </w:r>
    </w:p>
    <w:p>
      <w:pPr>
        <w:pStyle w:val="219"/>
        <w:ind w:firstLine="420"/>
        <w:rPr>
          <w:rFonts w:hAnsi="Times New Roman" w:eastAsia="宋体" w:cs="Times New Roman"/>
        </w:rPr>
      </w:pPr>
      <w:r>
        <w:rPr>
          <w:rFonts w:hint="eastAsia" w:hAnsi="Times New Roman" w:eastAsia="宋体" w:cs="Times New Roman"/>
        </w:rPr>
        <w:t>本文件起草单位：</w:t>
      </w:r>
      <w:r>
        <w:rPr>
          <w:rFonts w:hAnsi="Times New Roman" w:eastAsia="宋体" w:cs="Times New Roman"/>
        </w:rPr>
        <w:t xml:space="preserve"> 青岛市统计局</w:t>
      </w:r>
    </w:p>
    <w:p>
      <w:pPr>
        <w:pStyle w:val="219"/>
        <w:ind w:firstLine="420"/>
        <w:rPr>
          <w:rFonts w:hAnsi="Times New Roman" w:eastAsia="宋体" w:cs="Times New Roman"/>
        </w:rPr>
      </w:pPr>
      <w:r>
        <w:rPr>
          <w:rFonts w:hint="eastAsia" w:hAnsi="Times New Roman" w:eastAsia="宋体" w:cs="Times New Roman"/>
        </w:rPr>
        <w:t>本文件主要起草人：刘红健</w:t>
      </w:r>
      <w:r>
        <w:rPr>
          <w:rFonts w:hAnsi="Times New Roman" w:eastAsia="宋体" w:cs="Times New Roman"/>
        </w:rPr>
        <w:t xml:space="preserve"> </w:t>
      </w:r>
    </w:p>
    <w:p>
      <w:pPr>
        <w:pStyle w:val="219"/>
        <w:ind w:firstLine="420"/>
        <w:rPr>
          <w:rFonts w:hAnsi="Times New Roman" w:eastAsia="宋体" w:cs="Times New Roman"/>
        </w:rPr>
      </w:pPr>
    </w:p>
    <w:p>
      <w:pPr>
        <w:pStyle w:val="219"/>
        <w:ind w:firstLine="420"/>
        <w:sectPr>
          <w:headerReference r:id="rId9" w:type="default"/>
          <w:footerReference r:id="rId11" w:type="default"/>
          <w:headerReference r:id="rId10" w:type="even"/>
          <w:pgSz w:w="11906" w:h="16838"/>
          <w:pgMar w:top="1871" w:right="1134" w:bottom="1134" w:left="1134" w:header="1134" w:footer="1134" w:gutter="284"/>
          <w:pgNumType w:fmt="numberInDash" w:start="1"/>
          <w:cols w:space="720" w:num="1"/>
          <w:formProt w:val="0"/>
          <w:docGrid w:type="lines" w:linePitch="312" w:charSpace="0"/>
        </w:sectPr>
      </w:pPr>
    </w:p>
    <w:bookmarkEnd w:id="1"/>
    <w:p>
      <w:pPr>
        <w:adjustRightInd w:val="0"/>
        <w:spacing w:line="20" w:lineRule="exact"/>
        <w:jc w:val="center"/>
        <w:rPr>
          <w:rFonts w:hint="eastAsia" w:ascii="黑体" w:eastAsia="黑体"/>
          <w:sz w:val="32"/>
          <w:szCs w:val="32"/>
        </w:rPr>
      </w:pPr>
      <w:bookmarkStart w:id="2" w:name="BookMark4"/>
    </w:p>
    <w:p>
      <w:pPr>
        <w:adjustRightInd w:val="0"/>
        <w:spacing w:line="20" w:lineRule="exact"/>
        <w:jc w:val="center"/>
        <w:rPr>
          <w:rFonts w:hint="eastAsia" w:ascii="黑体" w:eastAsia="黑体"/>
          <w:sz w:val="32"/>
          <w:szCs w:val="32"/>
        </w:rPr>
      </w:pPr>
    </w:p>
    <w:p>
      <w:pPr>
        <w:pStyle w:val="229"/>
        <w:spacing w:before="567" w:beforeLines="182" w:after="686" w:afterLines="220"/>
        <w:rPr>
          <w:rFonts w:hAnsi="Times New Roman" w:cs="Times New Roman"/>
        </w:rPr>
      </w:pPr>
      <w:bookmarkStart w:id="3" w:name="NEW_STAND_NAME"/>
      <w:r>
        <w:rPr>
          <w:rFonts w:hint="eastAsia" w:hAnsi="Times New Roman" w:cs="Times New Roman"/>
        </w:rPr>
        <w:t>青岛市统计系统“双随机、一公开”监管工作规范</w:t>
      </w:r>
      <w:bookmarkEnd w:id="3"/>
    </w:p>
    <w:p>
      <w:pPr>
        <w:pStyle w:val="230"/>
        <w:spacing w:before="312" w:beforeLines="0" w:after="312" w:afterLines="0"/>
        <w:ind w:left="0" w:firstLine="0"/>
        <w:rPr>
          <w:rFonts w:hAnsi="Times New Roman" w:cs="Times New Roman"/>
        </w:rPr>
      </w:pPr>
      <w:bookmarkStart w:id="4" w:name="_Toc26986530"/>
      <w:bookmarkStart w:id="5" w:name="_Toc26718930"/>
      <w:bookmarkStart w:id="6" w:name="_Toc17233333"/>
      <w:bookmarkStart w:id="7" w:name="_Toc26648465"/>
      <w:bookmarkStart w:id="8" w:name="_Toc24884218"/>
      <w:bookmarkStart w:id="9" w:name="_Toc24884211"/>
      <w:bookmarkStart w:id="10" w:name="_Toc17233325"/>
      <w:bookmarkStart w:id="11" w:name="_Toc26986771"/>
      <w:r>
        <w:rPr>
          <w:rFonts w:hint="eastAsia" w:hAnsi="Times New Roman" w:cs="Times New Roman"/>
        </w:rPr>
        <w:t>范围</w:t>
      </w:r>
      <w:bookmarkEnd w:id="4"/>
      <w:bookmarkEnd w:id="5"/>
      <w:bookmarkEnd w:id="6"/>
      <w:bookmarkEnd w:id="7"/>
      <w:bookmarkEnd w:id="8"/>
      <w:bookmarkEnd w:id="9"/>
      <w:bookmarkEnd w:id="10"/>
      <w:bookmarkEnd w:id="11"/>
    </w:p>
    <w:p>
      <w:pPr>
        <w:pStyle w:val="219"/>
        <w:ind w:firstLine="420"/>
        <w:rPr>
          <w:rFonts w:hAnsi="Times New Roman" w:eastAsia="宋体" w:cs="Times New Roman"/>
        </w:rPr>
      </w:pPr>
      <w:bookmarkStart w:id="12" w:name="_Toc24884212"/>
      <w:bookmarkStart w:id="13" w:name="_Toc17233326"/>
      <w:bookmarkStart w:id="14" w:name="_Toc17233334"/>
      <w:bookmarkStart w:id="15" w:name="_Toc26648466"/>
      <w:bookmarkStart w:id="16" w:name="_Toc24884219"/>
      <w:r>
        <w:rPr>
          <w:rFonts w:hint="eastAsia" w:hAnsi="Times New Roman" w:eastAsia="宋体" w:cs="Times New Roman"/>
        </w:rPr>
        <w:t>本文件规定了青岛市统计系统“双随机、一公开”监管工作的机构职责、基本原则、实施主体、“一单两库”建设、抽查工作计划制定、抽查实施、后续处理、检查证据、监督管理及分则。</w:t>
      </w:r>
    </w:p>
    <w:p>
      <w:pPr>
        <w:pStyle w:val="219"/>
        <w:ind w:firstLine="420"/>
        <w:rPr>
          <w:rFonts w:hAnsi="Times New Roman" w:eastAsia="宋体" w:cs="Times New Roman"/>
        </w:rPr>
      </w:pPr>
      <w:r>
        <w:rPr>
          <w:rFonts w:hint="eastAsia" w:hAnsi="Times New Roman" w:eastAsia="宋体" w:cs="Times New Roman"/>
        </w:rPr>
        <w:t>本文件适用于青岛市统计系统的“双随机、一公开”监管工作。</w:t>
      </w:r>
    </w:p>
    <w:p>
      <w:pPr>
        <w:pStyle w:val="230"/>
        <w:spacing w:before="312" w:beforeLines="0" w:after="312" w:afterLines="0"/>
        <w:ind w:left="0" w:firstLine="0"/>
        <w:rPr>
          <w:rFonts w:hAnsi="Times New Roman" w:cs="Times New Roman"/>
        </w:rPr>
      </w:pPr>
      <w:bookmarkStart w:id="17" w:name="_Toc26986531"/>
      <w:bookmarkStart w:id="18" w:name="_Toc26986772"/>
      <w:bookmarkStart w:id="19" w:name="_Toc26718931"/>
      <w:r>
        <w:rPr>
          <w:rFonts w:hint="eastAsia" w:hAnsi="Times New Roman" w:cs="Times New Roman"/>
        </w:rPr>
        <w:t>规范性引用文件</w:t>
      </w:r>
      <w:bookmarkEnd w:id="12"/>
      <w:bookmarkEnd w:id="13"/>
      <w:bookmarkEnd w:id="14"/>
      <w:bookmarkEnd w:id="15"/>
      <w:bookmarkEnd w:id="16"/>
      <w:bookmarkEnd w:id="17"/>
      <w:bookmarkEnd w:id="18"/>
      <w:bookmarkEnd w:id="19"/>
    </w:p>
    <w:p>
      <w:pPr>
        <w:pStyle w:val="219"/>
        <w:ind w:firstLine="420"/>
        <w:rPr>
          <w:rFonts w:hAnsi="Times New Roman" w:eastAsia="宋体" w:cs="Times New Roman"/>
        </w:rPr>
      </w:pPr>
      <w:r>
        <w:rPr>
          <w:rFonts w:hint="eastAsia" w:hAnsi="Times New Roman" w:eastAsia="宋体" w:cs="Times New Roman"/>
        </w:rPr>
        <w:t>本文件没有规范性引用文件。</w:t>
      </w:r>
    </w:p>
    <w:p>
      <w:pPr>
        <w:pStyle w:val="230"/>
        <w:spacing w:before="312" w:beforeLines="0" w:after="312" w:afterLines="0"/>
        <w:ind w:left="0" w:firstLine="0"/>
        <w:rPr>
          <w:rFonts w:hAnsi="Times New Roman" w:cs="Times New Roman"/>
        </w:rPr>
      </w:pPr>
      <w:r>
        <w:rPr>
          <w:rFonts w:hint="eastAsia" w:hAnsi="Times New Roman" w:cs="Times New Roman"/>
          <w:szCs w:val="21"/>
        </w:rPr>
        <w:t>术语和定义</w:t>
      </w:r>
    </w:p>
    <w:p>
      <w:pPr>
        <w:pStyle w:val="219"/>
        <w:spacing w:after="156" w:afterLines="50"/>
        <w:ind w:firstLine="420"/>
        <w:rPr>
          <w:rFonts w:hAnsi="Times New Roman" w:eastAsia="宋体" w:cs="Times New Roman"/>
        </w:rPr>
      </w:pPr>
      <w:bookmarkStart w:id="20" w:name="_Toc26986532"/>
      <w:bookmarkEnd w:id="20"/>
      <w:r>
        <w:rPr>
          <w:rFonts w:hAnsi="Times New Roman" w:eastAsia="宋体" w:cs="Times New Roman"/>
        </w:rPr>
        <w:t>下列术语和定义适用于本文件。</w:t>
      </w:r>
    </w:p>
    <w:p>
      <w:pPr>
        <w:pStyle w:val="231"/>
        <w:ind w:left="420" w:hanging="420" w:hangingChars="200"/>
        <w:rPr>
          <w:rFonts w:hAnsi="Times New Roman" w:cs="Times New Roman"/>
        </w:rPr>
      </w:pPr>
      <w:r>
        <w:rPr>
          <w:rFonts w:hint="eastAsia" w:ascii="黑体" w:hAnsi="Times New Roman" w:eastAsia="黑体" w:cs="Times New Roman"/>
        </w:rPr>
        <w:t>统计系统“双随机、一公开”监管</w:t>
      </w:r>
    </w:p>
    <w:p>
      <w:pPr>
        <w:pStyle w:val="219"/>
        <w:ind w:firstLine="420"/>
        <w:rPr>
          <w:rFonts w:hAnsi="Times New Roman" w:eastAsia="宋体" w:cs="Times New Roman"/>
        </w:rPr>
      </w:pPr>
      <w:r>
        <w:rPr>
          <w:rFonts w:hint="eastAsia" w:hAnsi="Times New Roman" w:eastAsia="宋体" w:cs="Times New Roman"/>
        </w:rPr>
        <w:t>青岛市、区（市）两级统计部门根据发布的抽查事项清单和年度抽查工作计划，按规定的抽查比例，在规定的抽查时限内，通过山东省政府部门联合“双随机、一公开”监管平台从被监管对象库中随机抽取被检查对象，从执法检查人员库中随机抽取执法检查人员，随机匹配确定检查与被检查关系，采取资料比对、现场检查、网络监测等各种方式，依法对监管对象实施抽查检查，并依法公开抽查检查结果。</w:t>
      </w:r>
    </w:p>
    <w:p>
      <w:pPr>
        <w:pStyle w:val="231"/>
        <w:ind w:left="420" w:hanging="420" w:hangingChars="200"/>
        <w:rPr>
          <w:rFonts w:hAnsi="Times New Roman" w:cs="Times New Roman"/>
        </w:rPr>
      </w:pPr>
      <w:r>
        <w:rPr>
          <w:rFonts w:hint="eastAsia" w:ascii="黑体" w:hAnsi="Times New Roman" w:eastAsia="黑体" w:cs="Times New Roman"/>
        </w:rPr>
        <w:t>省政府工作平台</w:t>
      </w:r>
    </w:p>
    <w:p>
      <w:pPr>
        <w:pStyle w:val="219"/>
        <w:ind w:firstLine="420"/>
        <w:rPr>
          <w:rFonts w:hAnsi="Times New Roman" w:eastAsia="宋体" w:cs="Times New Roman"/>
        </w:rPr>
      </w:pPr>
      <w:r>
        <w:rPr>
          <w:rFonts w:hint="eastAsia" w:hAnsi="Times New Roman" w:eastAsia="宋体" w:cs="Times New Roman"/>
        </w:rPr>
        <w:t>山东省政府部门联合“双随机、一公开”监管平台的规范简称，是青岛市市、区（市）两级统计部门开展“双随机、一公开”监管工作的唯一平台，通过该平台发起抽查任务、随机抽取被检查对象、随机匹配执法检查人员、录入抽查检查结果。</w:t>
      </w:r>
    </w:p>
    <w:p>
      <w:pPr>
        <w:pStyle w:val="219"/>
        <w:ind w:firstLine="420"/>
        <w:rPr>
          <w:rFonts w:hAnsi="Times New Roman" w:eastAsia="宋体" w:cs="Times New Roman"/>
        </w:rPr>
      </w:pPr>
      <w:r>
        <w:rPr>
          <w:rFonts w:hint="eastAsia" w:hAnsi="Times New Roman" w:eastAsia="宋体" w:cs="Times New Roman"/>
        </w:rPr>
        <w:t>省政府工作平台地址：http://59.206.216.164:8080/succezbi。</w:t>
      </w:r>
    </w:p>
    <w:p>
      <w:pPr>
        <w:pStyle w:val="231"/>
        <w:ind w:left="420" w:hanging="420" w:hangingChars="200"/>
        <w:rPr>
          <w:rFonts w:hAnsi="Times New Roman" w:cs="Times New Roman"/>
        </w:rPr>
      </w:pPr>
      <w:r>
        <w:rPr>
          <w:rFonts w:hint="eastAsia" w:ascii="黑体" w:hAnsi="Times New Roman" w:eastAsia="黑体" w:cs="Times New Roman"/>
        </w:rPr>
        <w:t>监管对象</w:t>
      </w:r>
    </w:p>
    <w:p>
      <w:pPr>
        <w:pStyle w:val="219"/>
        <w:ind w:firstLine="420"/>
        <w:rPr>
          <w:rFonts w:hAnsi="Times New Roman" w:eastAsia="宋体" w:cs="Times New Roman"/>
        </w:rPr>
      </w:pPr>
      <w:r>
        <w:rPr>
          <w:rFonts w:hint="eastAsia" w:hAnsi="Times New Roman" w:eastAsia="宋体" w:cs="Times New Roman"/>
        </w:rPr>
        <w:t>以统计一套表联网直报单位为主，包括规模以上工业、限额以上批发和零售业、限额以上住宿和餐饮业、有资质的建筑业、有开发经营活动的全部房地产开发经营业、规模以上服务业、其他有5000万元及以上在建项目法人单位和其他调查单位的5</w:t>
      </w:r>
      <w:r>
        <w:rPr>
          <w:rFonts w:hAnsi="Times New Roman" w:eastAsia="宋体" w:cs="Times New Roman"/>
        </w:rPr>
        <w:t>00万元及以上固定资产</w:t>
      </w:r>
      <w:r>
        <w:rPr>
          <w:rFonts w:hint="eastAsia" w:hAnsi="Times New Roman" w:eastAsia="宋体" w:cs="Times New Roman"/>
        </w:rPr>
        <w:t>投资</w:t>
      </w:r>
      <w:r>
        <w:rPr>
          <w:rFonts w:hAnsi="Times New Roman" w:eastAsia="宋体" w:cs="Times New Roman"/>
        </w:rPr>
        <w:t>项目中有能力目录</w:t>
      </w:r>
      <w:r>
        <w:rPr>
          <w:rFonts w:hint="eastAsia" w:hAnsi="Times New Roman" w:eastAsia="宋体" w:cs="Times New Roman"/>
        </w:rPr>
        <w:t>的项目。</w:t>
      </w:r>
    </w:p>
    <w:p>
      <w:pPr>
        <w:pStyle w:val="231"/>
        <w:ind w:left="420" w:hanging="420" w:hangingChars="200"/>
        <w:rPr>
          <w:rFonts w:hAnsi="Times New Roman" w:cs="Times New Roman"/>
        </w:rPr>
      </w:pPr>
      <w:r>
        <w:rPr>
          <w:rFonts w:hint="eastAsia" w:ascii="黑体" w:hAnsi="Times New Roman" w:eastAsia="黑体" w:cs="Times New Roman"/>
        </w:rPr>
        <w:t>检查证据</w:t>
      </w:r>
    </w:p>
    <w:p>
      <w:pPr>
        <w:pStyle w:val="219"/>
        <w:ind w:firstLine="420"/>
        <w:rPr>
          <w:rFonts w:hAnsi="Times New Roman" w:eastAsia="宋体" w:cs="Times New Roman"/>
        </w:rPr>
      </w:pPr>
      <w:r>
        <w:rPr>
          <w:rFonts w:hint="eastAsia" w:hAnsi="Times New Roman" w:eastAsia="宋体" w:cs="Times New Roman"/>
        </w:rPr>
        <w:t>执法检查人员在实施抽查检查过程中收集的、并据以作出抽查检查结论的书面资料、音视听资料等各类材料。</w:t>
      </w:r>
    </w:p>
    <w:p>
      <w:pPr>
        <w:pStyle w:val="230"/>
        <w:spacing w:before="312" w:beforeLines="0" w:after="312" w:afterLines="0"/>
        <w:ind w:left="0" w:firstLine="0"/>
        <w:rPr>
          <w:rFonts w:hAnsi="Times New Roman" w:cs="Times New Roman"/>
        </w:rPr>
      </w:pPr>
      <w:r>
        <w:rPr>
          <w:rFonts w:hint="eastAsia" w:hAnsi="Times New Roman" w:cs="Times New Roman"/>
        </w:rPr>
        <w:t>机构职责</w:t>
      </w:r>
    </w:p>
    <w:p>
      <w:pPr>
        <w:pStyle w:val="233"/>
        <w:spacing w:before="156" w:beforeLines="0" w:after="156" w:afterLines="0"/>
        <w:ind w:left="0" w:firstLine="0"/>
        <w:rPr>
          <w:rFonts w:hAnsi="Times New Roman" w:cs="Times New Roman"/>
        </w:rPr>
      </w:pPr>
      <w:r>
        <w:rPr>
          <w:rFonts w:hint="eastAsia" w:hAnsi="Times New Roman" w:cs="Times New Roman"/>
        </w:rPr>
        <w:t>牵头</w:t>
      </w:r>
      <w:r>
        <w:rPr>
          <w:rFonts w:hAnsi="Times New Roman" w:cs="Times New Roman"/>
        </w:rPr>
        <w:t>机构</w:t>
      </w:r>
    </w:p>
    <w:p>
      <w:pPr>
        <w:pStyle w:val="234"/>
        <w:ind w:left="0" w:firstLine="0"/>
        <w:rPr>
          <w:rFonts w:hAnsi="Times New Roman" w:cs="Times New Roman"/>
        </w:rPr>
      </w:pPr>
      <w:r>
        <w:rPr>
          <w:rFonts w:hint="eastAsia" w:hAnsi="Times New Roman" w:cs="Times New Roman"/>
        </w:rPr>
        <w:t>市</w:t>
      </w:r>
      <w:r>
        <w:rPr>
          <w:rFonts w:hAnsi="Times New Roman" w:cs="Times New Roman"/>
        </w:rPr>
        <w:t>、区（市）两级统计部门</w:t>
      </w:r>
      <w:r>
        <w:rPr>
          <w:rFonts w:hint="eastAsia" w:hAnsi="Times New Roman" w:cs="Times New Roman"/>
        </w:rPr>
        <w:t>执法监督</w:t>
      </w:r>
      <w:r>
        <w:rPr>
          <w:rFonts w:hAnsi="Times New Roman" w:cs="Times New Roman"/>
        </w:rPr>
        <w:t>机构</w:t>
      </w:r>
      <w:r>
        <w:rPr>
          <w:rFonts w:hint="eastAsia" w:hAnsi="Times New Roman" w:cs="Times New Roman"/>
        </w:rPr>
        <w:t>牵头</w:t>
      </w:r>
      <w:r>
        <w:rPr>
          <w:rFonts w:hAnsi="Times New Roman" w:cs="Times New Roman"/>
        </w:rPr>
        <w:t>本单位</w:t>
      </w:r>
      <w:r>
        <w:rPr>
          <w:rFonts w:hint="eastAsia" w:hAnsi="Times New Roman" w:cs="Times New Roman"/>
        </w:rPr>
        <w:t>“双随机、一公开”监管</w:t>
      </w:r>
      <w:r>
        <w:rPr>
          <w:rFonts w:hAnsi="Times New Roman" w:cs="Times New Roman"/>
        </w:rPr>
        <w:t>工作</w:t>
      </w:r>
      <w:r>
        <w:rPr>
          <w:rFonts w:hint="eastAsia" w:hAnsi="Times New Roman" w:cs="Times New Roman"/>
        </w:rPr>
        <w:t>。</w:t>
      </w:r>
    </w:p>
    <w:p>
      <w:pPr>
        <w:pStyle w:val="234"/>
        <w:ind w:left="0" w:firstLine="0"/>
        <w:rPr>
          <w:rFonts w:hAnsi="Times New Roman" w:cs="Times New Roman"/>
        </w:rPr>
      </w:pPr>
      <w:r>
        <w:rPr>
          <w:rFonts w:hint="eastAsia" w:hAnsi="Times New Roman" w:cs="Times New Roman"/>
        </w:rPr>
        <w:t>牵头</w:t>
      </w:r>
      <w:r>
        <w:rPr>
          <w:rFonts w:hAnsi="Times New Roman" w:cs="Times New Roman"/>
        </w:rPr>
        <w:t>机构职责</w:t>
      </w:r>
      <w:r>
        <w:rPr>
          <w:rFonts w:hint="eastAsia" w:hAnsi="Times New Roman" w:cs="Times New Roman"/>
        </w:rPr>
        <w:t>包括：</w:t>
      </w:r>
    </w:p>
    <w:p>
      <w:pPr>
        <w:pStyle w:val="236"/>
        <w:ind w:left="851" w:hanging="426"/>
        <w:rPr>
          <w:rFonts w:hAnsi="Times New Roman" w:eastAsia="宋体" w:cs="Times New Roman"/>
        </w:rPr>
      </w:pPr>
      <w:r>
        <w:rPr>
          <w:rFonts w:hint="eastAsia" w:hAnsi="Times New Roman" w:eastAsia="宋体" w:cs="Times New Roman"/>
        </w:rPr>
        <w:t>牵头制定并动态调整全局“双随机、一公开”抽查事项清单；</w:t>
      </w:r>
    </w:p>
    <w:p>
      <w:pPr>
        <w:pStyle w:val="236"/>
        <w:ind w:left="851" w:hanging="426"/>
        <w:rPr>
          <w:rFonts w:hAnsi="Times New Roman" w:eastAsia="宋体" w:cs="Times New Roman"/>
        </w:rPr>
      </w:pPr>
      <w:r>
        <w:rPr>
          <w:rFonts w:hint="eastAsia" w:hAnsi="Times New Roman" w:eastAsia="宋体" w:cs="Times New Roman"/>
        </w:rPr>
        <w:t>牵头制定并动态调整全局“双随机、一公开”年度抽查计划；</w:t>
      </w:r>
    </w:p>
    <w:p>
      <w:pPr>
        <w:pStyle w:val="236"/>
        <w:ind w:left="851" w:hanging="426"/>
        <w:rPr>
          <w:rFonts w:hAnsi="Times New Roman" w:eastAsia="宋体" w:cs="Times New Roman"/>
        </w:rPr>
      </w:pPr>
      <w:r>
        <w:rPr>
          <w:rFonts w:hint="eastAsia" w:hAnsi="Times New Roman" w:eastAsia="宋体" w:cs="Times New Roman"/>
        </w:rPr>
        <w:t>负责全局“双随机、一公开”监管统筹、协调、调度等日常工作；</w:t>
      </w:r>
    </w:p>
    <w:p>
      <w:pPr>
        <w:pStyle w:val="236"/>
        <w:ind w:left="851" w:hanging="426"/>
        <w:rPr>
          <w:rFonts w:hAnsi="Times New Roman" w:eastAsia="宋体" w:cs="Times New Roman"/>
        </w:rPr>
      </w:pPr>
      <w:r>
        <w:rPr>
          <w:rFonts w:hint="eastAsia" w:hAnsi="Times New Roman" w:eastAsia="宋体" w:cs="Times New Roman"/>
        </w:rPr>
        <w:t xml:space="preserve">负责全局“双随机、一公开”监管总结、考核等工作。    </w:t>
      </w:r>
      <w:r>
        <w:rPr>
          <w:rFonts w:hAnsi="Times New Roman" w:eastAsia="宋体" w:cs="Times New Roman"/>
        </w:rPr>
        <w:t xml:space="preserve"> </w:t>
      </w:r>
    </w:p>
    <w:p>
      <w:pPr>
        <w:pStyle w:val="233"/>
        <w:spacing w:before="156" w:beforeLines="0" w:after="156" w:afterLines="0"/>
        <w:ind w:left="0" w:firstLine="0"/>
        <w:rPr>
          <w:rFonts w:hAnsi="Times New Roman" w:cs="Times New Roman"/>
        </w:rPr>
      </w:pPr>
      <w:r>
        <w:rPr>
          <w:rFonts w:hint="eastAsia" w:hAnsi="Times New Roman" w:cs="Times New Roman"/>
        </w:rPr>
        <w:t>实施</w:t>
      </w:r>
      <w:r>
        <w:rPr>
          <w:rFonts w:hAnsi="Times New Roman" w:cs="Times New Roman"/>
        </w:rPr>
        <w:t>机构</w:t>
      </w:r>
    </w:p>
    <w:p>
      <w:pPr>
        <w:pStyle w:val="234"/>
        <w:ind w:left="0" w:firstLine="0"/>
        <w:rPr>
          <w:rFonts w:hAnsi="Times New Roman" w:cs="Times New Roman"/>
        </w:rPr>
      </w:pPr>
      <w:r>
        <w:rPr>
          <w:rFonts w:hint="eastAsia" w:hAnsi="Times New Roman" w:cs="Times New Roman"/>
        </w:rPr>
        <w:t>市、区（市）两级统计部门各业务处（科</w:t>
      </w:r>
      <w:r>
        <w:rPr>
          <w:rFonts w:hAnsi="Times New Roman" w:cs="Times New Roman"/>
        </w:rPr>
        <w:t>）</w:t>
      </w:r>
      <w:r>
        <w:rPr>
          <w:rFonts w:hint="eastAsia" w:hAnsi="Times New Roman" w:cs="Times New Roman"/>
        </w:rPr>
        <w:t>室负责本专业“双随机、一公开”监管的具体实施工作。</w:t>
      </w:r>
    </w:p>
    <w:p>
      <w:pPr>
        <w:pStyle w:val="234"/>
        <w:ind w:left="0" w:firstLine="0"/>
        <w:rPr>
          <w:rFonts w:hAnsi="Times New Roman" w:cs="Times New Roman"/>
        </w:rPr>
      </w:pPr>
      <w:r>
        <w:rPr>
          <w:rFonts w:hint="eastAsia" w:hAnsi="Times New Roman" w:cs="Times New Roman"/>
        </w:rPr>
        <w:t>实施</w:t>
      </w:r>
      <w:r>
        <w:rPr>
          <w:rFonts w:hAnsi="Times New Roman" w:cs="Times New Roman"/>
        </w:rPr>
        <w:t>机构职责</w:t>
      </w:r>
      <w:r>
        <w:rPr>
          <w:rFonts w:hint="eastAsia" w:hAnsi="Times New Roman" w:cs="Times New Roman"/>
        </w:rPr>
        <w:t>包括：</w:t>
      </w:r>
    </w:p>
    <w:p>
      <w:pPr>
        <w:pStyle w:val="236"/>
        <w:numPr>
          <w:ilvl w:val="0"/>
          <w:numId w:val="7"/>
        </w:numPr>
        <w:ind w:left="851" w:hanging="426"/>
        <w:rPr>
          <w:rFonts w:hAnsi="Times New Roman" w:eastAsia="宋体" w:cs="Times New Roman"/>
        </w:rPr>
      </w:pPr>
      <w:r>
        <w:rPr>
          <w:rFonts w:hint="eastAsia" w:hAnsi="Times New Roman" w:eastAsia="宋体" w:cs="Times New Roman"/>
        </w:rPr>
        <w:t>梳理本专业青岛市新增的监管事项，制定并动态调整本专业“双随机、一公开”抽查事项清单；</w:t>
      </w:r>
    </w:p>
    <w:p>
      <w:pPr>
        <w:pStyle w:val="236"/>
        <w:ind w:left="851" w:hanging="426"/>
        <w:rPr>
          <w:rFonts w:hAnsi="Times New Roman" w:eastAsia="宋体" w:cs="Times New Roman"/>
        </w:rPr>
      </w:pPr>
      <w:r>
        <w:rPr>
          <w:rFonts w:hint="eastAsia" w:hAnsi="Times New Roman" w:eastAsia="宋体" w:cs="Times New Roman"/>
        </w:rPr>
        <w:t>根据山东省统计局制定的年度抽查计划，制定并动态调整本专业“双随机、一公开”年度抽查计划；</w:t>
      </w:r>
    </w:p>
    <w:p>
      <w:pPr>
        <w:pStyle w:val="236"/>
        <w:ind w:left="851" w:hanging="426"/>
        <w:rPr>
          <w:rFonts w:hAnsi="Times New Roman" w:eastAsia="宋体" w:cs="Times New Roman"/>
        </w:rPr>
      </w:pPr>
      <w:r>
        <w:rPr>
          <w:rFonts w:hint="eastAsia" w:hAnsi="Times New Roman" w:eastAsia="宋体" w:cs="Times New Roman"/>
        </w:rPr>
        <w:t>根据年度抽查计划或上级派发的抽查任务，组织实施本专业“双随机、一公开”抽查活动；</w:t>
      </w:r>
    </w:p>
    <w:p>
      <w:pPr>
        <w:pStyle w:val="236"/>
        <w:ind w:left="851" w:hanging="426"/>
        <w:rPr>
          <w:rFonts w:hAnsi="Times New Roman" w:eastAsia="宋体" w:cs="Times New Roman"/>
        </w:rPr>
      </w:pPr>
      <w:r>
        <w:rPr>
          <w:rFonts w:hint="eastAsia" w:hAnsi="Times New Roman" w:eastAsia="宋体" w:cs="Times New Roman"/>
        </w:rPr>
        <w:t>按要求对本专业“双随机、一公开”抽查计划执行情况进行总结，提交考核材料。</w:t>
      </w:r>
    </w:p>
    <w:p>
      <w:pPr>
        <w:pStyle w:val="230"/>
        <w:spacing w:before="312" w:beforeLines="0" w:after="312" w:afterLines="0"/>
        <w:ind w:left="0" w:firstLine="0"/>
        <w:rPr>
          <w:rFonts w:hAnsi="Times New Roman" w:cs="Times New Roman"/>
        </w:rPr>
      </w:pPr>
      <w:r>
        <w:rPr>
          <w:rFonts w:hint="eastAsia" w:hAnsi="Times New Roman" w:cs="Times New Roman"/>
        </w:rPr>
        <w:t>基本原则</w:t>
      </w:r>
    </w:p>
    <w:p>
      <w:pPr>
        <w:pStyle w:val="233"/>
        <w:spacing w:before="156" w:beforeLines="0" w:after="156" w:afterLines="0"/>
        <w:ind w:left="0" w:firstLine="0"/>
        <w:rPr>
          <w:rFonts w:hAnsi="Times New Roman" w:cs="Times New Roman"/>
        </w:rPr>
      </w:pPr>
      <w:r>
        <w:rPr>
          <w:rFonts w:hint="eastAsia" w:hAnsi="Times New Roman" w:cs="Times New Roman"/>
        </w:rPr>
        <w:t>依法抽查</w:t>
      </w:r>
    </w:p>
    <w:p>
      <w:pPr>
        <w:pStyle w:val="219"/>
        <w:ind w:firstLine="420"/>
        <w:rPr>
          <w:rFonts w:hAnsi="Times New Roman" w:eastAsia="宋体" w:cs="Times New Roman"/>
        </w:rPr>
      </w:pPr>
      <w:r>
        <w:rPr>
          <w:rFonts w:hint="eastAsia" w:hAnsi="Times New Roman" w:eastAsia="宋体" w:cs="Times New Roman"/>
        </w:rPr>
        <w:t>所有的随机抽查事项均应于法有据，严格按照随机抽查事项清单组织实施，不得在清单之外设立或实施抽查检查事项。将“双随机、一公开”监管作为对统计调查</w:t>
      </w:r>
      <w:r>
        <w:rPr>
          <w:rFonts w:hAnsi="Times New Roman" w:eastAsia="宋体" w:cs="Times New Roman"/>
        </w:rPr>
        <w:t>对象</w:t>
      </w:r>
      <w:r>
        <w:rPr>
          <w:rFonts w:hint="eastAsia" w:hAnsi="Times New Roman" w:eastAsia="宋体" w:cs="Times New Roman"/>
        </w:rPr>
        <w:t>监管的基本手段和方式，原则上所有抽查检查都应通过双随机检查的方式进行。</w:t>
      </w:r>
    </w:p>
    <w:p>
      <w:pPr>
        <w:pStyle w:val="233"/>
        <w:spacing w:before="156" w:beforeLines="0" w:after="156" w:afterLines="0"/>
        <w:ind w:left="0" w:firstLine="0"/>
        <w:rPr>
          <w:rFonts w:hAnsi="Times New Roman" w:cs="Times New Roman"/>
        </w:rPr>
      </w:pPr>
      <w:r>
        <w:rPr>
          <w:rFonts w:hint="eastAsia" w:hAnsi="Times New Roman" w:cs="Times New Roman"/>
        </w:rPr>
        <w:t>权责明确</w:t>
      </w:r>
    </w:p>
    <w:p>
      <w:pPr>
        <w:pStyle w:val="219"/>
        <w:ind w:firstLine="420"/>
        <w:rPr>
          <w:rFonts w:hAnsi="Times New Roman" w:eastAsia="宋体" w:cs="Times New Roman"/>
        </w:rPr>
      </w:pPr>
      <w:r>
        <w:rPr>
          <w:rFonts w:hint="eastAsia" w:hAnsi="Times New Roman" w:eastAsia="宋体" w:cs="Times New Roman"/>
        </w:rPr>
        <w:t>参加执法检查的人员对具体检查过程、检查结果、公示结果依法负责，对随机抽查中发现的问题按规定移交相关部门，依法实施后续监管，防止监管脱节。</w:t>
      </w:r>
    </w:p>
    <w:p>
      <w:pPr>
        <w:pStyle w:val="233"/>
        <w:spacing w:before="156" w:beforeLines="0" w:after="156" w:afterLines="0"/>
        <w:ind w:left="0" w:firstLine="0"/>
        <w:rPr>
          <w:rFonts w:hAnsi="Times New Roman" w:cs="Times New Roman"/>
        </w:rPr>
      </w:pPr>
      <w:r>
        <w:rPr>
          <w:rFonts w:hint="eastAsia" w:hAnsi="Times New Roman" w:cs="Times New Roman"/>
        </w:rPr>
        <w:t>公开透明</w:t>
      </w:r>
    </w:p>
    <w:p>
      <w:pPr>
        <w:pStyle w:val="219"/>
        <w:ind w:firstLine="420"/>
        <w:rPr>
          <w:rFonts w:hAnsi="Times New Roman" w:eastAsia="宋体" w:cs="Times New Roman"/>
        </w:rPr>
      </w:pPr>
      <w:r>
        <w:rPr>
          <w:rFonts w:hint="eastAsia" w:hAnsi="Times New Roman" w:eastAsia="宋体" w:cs="Times New Roman"/>
        </w:rPr>
        <w:t>除法律法规明确规定外，抽查清单、抽查计划、抽取结果、抽查检查及处理结果等均应当及时、准确、规范地向社会公开，实行“阳光监管”。</w:t>
      </w:r>
    </w:p>
    <w:p>
      <w:pPr>
        <w:pStyle w:val="230"/>
        <w:spacing w:before="312" w:beforeLines="0" w:after="312" w:afterLines="0"/>
        <w:ind w:left="0" w:firstLine="0"/>
        <w:rPr>
          <w:rFonts w:hAnsi="Times New Roman" w:cs="Times New Roman"/>
        </w:rPr>
      </w:pPr>
      <w:r>
        <w:rPr>
          <w:rFonts w:hint="eastAsia" w:hAnsi="Times New Roman" w:cs="Times New Roman"/>
        </w:rPr>
        <w:t>实施方式</w:t>
      </w:r>
    </w:p>
    <w:p>
      <w:pPr>
        <w:pStyle w:val="233"/>
        <w:spacing w:before="156" w:beforeLines="0" w:after="156" w:afterLines="0"/>
        <w:ind w:left="0" w:firstLine="0"/>
        <w:rPr>
          <w:rFonts w:hAnsi="Times New Roman" w:cs="Times New Roman"/>
        </w:rPr>
      </w:pPr>
      <w:r>
        <w:rPr>
          <w:rFonts w:hint="eastAsia" w:hAnsi="Times New Roman" w:cs="Times New Roman"/>
        </w:rPr>
        <w:t>总则</w:t>
      </w:r>
    </w:p>
    <w:p>
      <w:pPr>
        <w:pStyle w:val="219"/>
        <w:ind w:firstLine="420"/>
        <w:rPr>
          <w:rFonts w:hAnsi="Times New Roman" w:eastAsia="宋体" w:cs="Times New Roman"/>
        </w:rPr>
      </w:pPr>
      <w:r>
        <w:rPr>
          <w:rFonts w:hint="eastAsia" w:hAnsi="Times New Roman" w:eastAsia="宋体" w:cs="Times New Roman"/>
        </w:rPr>
        <w:t>“双随机、一公开”监管实行属地实施、专业实施、管辖实施和综合实施相结合的方式。</w:t>
      </w:r>
    </w:p>
    <w:p>
      <w:pPr>
        <w:pStyle w:val="233"/>
        <w:spacing w:before="156" w:beforeLines="0" w:after="156" w:afterLines="0"/>
        <w:ind w:left="0" w:firstLine="0"/>
        <w:rPr>
          <w:rFonts w:hAnsi="Times New Roman" w:cs="Times New Roman"/>
        </w:rPr>
      </w:pPr>
      <w:r>
        <w:rPr>
          <w:rFonts w:hint="eastAsia" w:hAnsi="Times New Roman" w:cs="Times New Roman"/>
        </w:rPr>
        <w:t>属地实施</w:t>
      </w:r>
    </w:p>
    <w:p>
      <w:pPr>
        <w:pStyle w:val="219"/>
        <w:ind w:firstLine="420"/>
        <w:rPr>
          <w:rFonts w:hAnsi="Times New Roman" w:eastAsia="宋体" w:cs="Times New Roman"/>
        </w:rPr>
      </w:pPr>
      <w:r>
        <w:rPr>
          <w:rFonts w:hint="eastAsia" w:hAnsi="Times New Roman" w:eastAsia="宋体" w:cs="Times New Roman"/>
        </w:rPr>
        <w:t>根据登记注册管理规定，“双随机、一公开”监管由监管对象所在地统计部门负责实施抽查检查及结果录入等。</w:t>
      </w:r>
    </w:p>
    <w:p>
      <w:pPr>
        <w:pStyle w:val="233"/>
        <w:spacing w:before="156" w:beforeLines="0" w:after="156" w:afterLines="0"/>
        <w:ind w:left="0" w:firstLine="0"/>
        <w:rPr>
          <w:rFonts w:hAnsi="Times New Roman" w:cs="Times New Roman"/>
        </w:rPr>
      </w:pPr>
      <w:r>
        <w:rPr>
          <w:rFonts w:hint="eastAsia" w:hAnsi="Times New Roman" w:cs="Times New Roman"/>
        </w:rPr>
        <w:t>专业实施</w:t>
      </w:r>
    </w:p>
    <w:p>
      <w:pPr>
        <w:pStyle w:val="219"/>
        <w:ind w:firstLine="420"/>
        <w:rPr>
          <w:rFonts w:hAnsi="Times New Roman" w:eastAsia="宋体" w:cs="Times New Roman"/>
        </w:rPr>
      </w:pPr>
      <w:r>
        <w:rPr>
          <w:rFonts w:hint="eastAsia" w:hAnsi="Times New Roman" w:eastAsia="宋体" w:cs="Times New Roman"/>
        </w:rPr>
        <w:t>统计系统各专业的抽查检查事项，由各专业按照自上而下、统一组织、分层实施等方式自行组织开展。</w:t>
      </w:r>
    </w:p>
    <w:p>
      <w:pPr>
        <w:pStyle w:val="233"/>
        <w:spacing w:before="156" w:beforeLines="0" w:after="156" w:afterLines="0"/>
        <w:ind w:left="0" w:firstLine="0"/>
        <w:rPr>
          <w:rFonts w:hAnsi="Times New Roman" w:cs="Times New Roman"/>
        </w:rPr>
      </w:pPr>
      <w:r>
        <w:rPr>
          <w:rFonts w:hint="eastAsia" w:hAnsi="Times New Roman" w:cs="Times New Roman"/>
        </w:rPr>
        <w:t>管辖实施</w:t>
      </w:r>
    </w:p>
    <w:p>
      <w:pPr>
        <w:pStyle w:val="219"/>
        <w:ind w:firstLine="420"/>
        <w:rPr>
          <w:rFonts w:hAnsi="Times New Roman" w:eastAsia="宋体" w:cs="Times New Roman"/>
        </w:rPr>
      </w:pPr>
      <w:r>
        <w:rPr>
          <w:rFonts w:hint="eastAsia" w:hAnsi="Times New Roman" w:eastAsia="宋体" w:cs="Times New Roman"/>
        </w:rPr>
        <w:t>有关法律、法规、规章对管辖权限有明确规定的，由管辖权所规定的主体实施“双随机、一公开”监管。</w:t>
      </w:r>
    </w:p>
    <w:p>
      <w:pPr>
        <w:pStyle w:val="233"/>
        <w:spacing w:before="156" w:beforeLines="0" w:after="156" w:afterLines="0"/>
        <w:ind w:left="0" w:firstLine="0"/>
        <w:rPr>
          <w:rFonts w:hAnsi="Times New Roman" w:cs="Times New Roman"/>
        </w:rPr>
      </w:pPr>
      <w:r>
        <w:rPr>
          <w:rFonts w:hint="eastAsia" w:hAnsi="Times New Roman" w:cs="Times New Roman"/>
        </w:rPr>
        <w:t>综合实施</w:t>
      </w:r>
    </w:p>
    <w:p>
      <w:pPr>
        <w:pStyle w:val="219"/>
        <w:ind w:firstLine="420"/>
        <w:rPr>
          <w:rFonts w:hAnsi="Times New Roman" w:eastAsia="宋体" w:cs="Times New Roman"/>
        </w:rPr>
      </w:pPr>
      <w:r>
        <w:rPr>
          <w:rFonts w:hint="eastAsia" w:hAnsi="Times New Roman" w:eastAsia="宋体" w:cs="Times New Roman"/>
        </w:rPr>
        <w:t>根据上级机关统一部署，对于涉及统计系统多个专业的“双随机、一公开”抽查，由统计系统执法监督机构统一制定实施方案，从统计系统抽调执法检查人员，组成执法检查组，对监管的</w:t>
      </w:r>
      <w:r>
        <w:rPr>
          <w:rFonts w:hAnsi="Times New Roman" w:eastAsia="宋体" w:cs="Times New Roman"/>
        </w:rPr>
        <w:t>统计调查</w:t>
      </w:r>
      <w:r>
        <w:rPr>
          <w:rFonts w:hint="eastAsia" w:hAnsi="Times New Roman" w:eastAsia="宋体" w:cs="Times New Roman"/>
        </w:rPr>
        <w:t>对象实施抽查检查，并由各执法检查组分别录入抽查检查结果。</w:t>
      </w:r>
    </w:p>
    <w:p>
      <w:pPr>
        <w:pStyle w:val="230"/>
        <w:spacing w:before="312" w:beforeLines="0" w:after="312" w:afterLines="0"/>
        <w:ind w:left="0" w:firstLine="0"/>
        <w:rPr>
          <w:rFonts w:hAnsi="Times New Roman" w:cs="Times New Roman"/>
        </w:rPr>
      </w:pPr>
      <w:r>
        <w:rPr>
          <w:rFonts w:hint="eastAsia" w:hAnsi="Times New Roman" w:cs="Times New Roman"/>
        </w:rPr>
        <w:t>“一单两库”建设</w:t>
      </w:r>
    </w:p>
    <w:p>
      <w:pPr>
        <w:pStyle w:val="233"/>
        <w:spacing w:before="156" w:beforeLines="0" w:after="156" w:afterLines="0"/>
        <w:ind w:left="0" w:firstLine="0"/>
        <w:rPr>
          <w:rFonts w:hAnsi="Times New Roman" w:cs="Times New Roman"/>
        </w:rPr>
      </w:pPr>
      <w:r>
        <w:rPr>
          <w:rFonts w:hint="eastAsia" w:hAnsi="Times New Roman" w:cs="Times New Roman"/>
        </w:rPr>
        <w:t>抽查</w:t>
      </w:r>
      <w:r>
        <w:rPr>
          <w:rFonts w:hAnsi="Times New Roman" w:cs="Times New Roman"/>
        </w:rPr>
        <w:t>事项清单</w:t>
      </w:r>
    </w:p>
    <w:p>
      <w:pPr>
        <w:pStyle w:val="235"/>
        <w:spacing w:before="156" w:beforeLines="0" w:after="156" w:afterLines="0"/>
        <w:ind w:left="0" w:firstLine="0"/>
        <w:rPr>
          <w:rFonts w:hAnsi="Times New Roman" w:cs="Times New Roman"/>
        </w:rPr>
      </w:pPr>
      <w:r>
        <w:rPr>
          <w:rFonts w:hint="eastAsia" w:hAnsi="Times New Roman" w:cs="Times New Roman"/>
        </w:rPr>
        <w:t>全省</w:t>
      </w:r>
      <w:r>
        <w:rPr>
          <w:rFonts w:hAnsi="Times New Roman" w:cs="Times New Roman"/>
        </w:rPr>
        <w:t>统一的抽查事项清单</w:t>
      </w:r>
    </w:p>
    <w:p>
      <w:pPr>
        <w:pStyle w:val="219"/>
        <w:ind w:firstLine="420"/>
        <w:rPr>
          <w:rFonts w:hAnsi="Times New Roman" w:eastAsia="宋体" w:cs="Times New Roman"/>
        </w:rPr>
      </w:pPr>
      <w:r>
        <w:rPr>
          <w:rFonts w:hint="eastAsia" w:hAnsi="Times New Roman" w:eastAsia="宋体" w:cs="Times New Roman"/>
        </w:rPr>
        <w:t>严格</w:t>
      </w:r>
      <w:r>
        <w:rPr>
          <w:rFonts w:hAnsi="Times New Roman" w:eastAsia="宋体" w:cs="Times New Roman"/>
        </w:rPr>
        <w:t>执行</w:t>
      </w:r>
      <w:r>
        <w:rPr>
          <w:rFonts w:hint="eastAsia" w:hAnsi="Times New Roman" w:eastAsia="宋体" w:cs="Times New Roman"/>
        </w:rPr>
        <w:t>山东</w:t>
      </w:r>
      <w:r>
        <w:rPr>
          <w:rFonts w:hAnsi="Times New Roman" w:eastAsia="宋体" w:cs="Times New Roman"/>
        </w:rPr>
        <w:t>省统计局统一制定的双随机抽查事项清单</w:t>
      </w:r>
      <w:r>
        <w:rPr>
          <w:rFonts w:hint="eastAsia" w:hAnsi="Times New Roman" w:eastAsia="宋体" w:cs="Times New Roman"/>
        </w:rPr>
        <w:t>。</w:t>
      </w:r>
    </w:p>
    <w:p>
      <w:pPr>
        <w:pStyle w:val="235"/>
        <w:spacing w:before="156" w:beforeLines="0" w:after="156" w:afterLines="0"/>
        <w:ind w:left="0" w:firstLine="0"/>
        <w:rPr>
          <w:rFonts w:hAnsi="Times New Roman" w:cs="Times New Roman"/>
        </w:rPr>
      </w:pPr>
      <w:r>
        <w:rPr>
          <w:rFonts w:hint="eastAsia" w:hAnsi="Times New Roman" w:cs="Times New Roman"/>
        </w:rPr>
        <w:t>青岛市</w:t>
      </w:r>
      <w:r>
        <w:rPr>
          <w:rFonts w:hAnsi="Times New Roman" w:cs="Times New Roman"/>
        </w:rPr>
        <w:t>抽查事项清单</w:t>
      </w:r>
    </w:p>
    <w:p>
      <w:pPr>
        <w:pStyle w:val="219"/>
        <w:ind w:firstLine="420"/>
        <w:rPr>
          <w:rFonts w:hAnsi="Times New Roman" w:eastAsia="宋体" w:cs="Times New Roman"/>
        </w:rPr>
      </w:pPr>
      <w:r>
        <w:rPr>
          <w:rFonts w:hint="eastAsia" w:hAnsi="Times New Roman" w:eastAsia="宋体" w:cs="Times New Roman"/>
        </w:rPr>
        <w:t>青岛市</w:t>
      </w:r>
      <w:r>
        <w:rPr>
          <w:rFonts w:hAnsi="Times New Roman" w:eastAsia="宋体" w:cs="Times New Roman"/>
        </w:rPr>
        <w:t>统计局</w:t>
      </w:r>
      <w:r>
        <w:rPr>
          <w:rFonts w:hint="eastAsia" w:hAnsi="Times New Roman" w:eastAsia="宋体" w:cs="Times New Roman"/>
        </w:rPr>
        <w:t>各</w:t>
      </w:r>
      <w:r>
        <w:rPr>
          <w:rFonts w:hAnsi="Times New Roman" w:eastAsia="宋体" w:cs="Times New Roman"/>
        </w:rPr>
        <w:t>专业应当梳理</w:t>
      </w:r>
      <w:r>
        <w:rPr>
          <w:rFonts w:hint="eastAsia" w:hAnsi="Times New Roman" w:eastAsia="宋体" w:cs="Times New Roman"/>
        </w:rPr>
        <w:t>本专业</w:t>
      </w:r>
      <w:r>
        <w:rPr>
          <w:rFonts w:hAnsi="Times New Roman" w:eastAsia="宋体" w:cs="Times New Roman"/>
        </w:rPr>
        <w:t>有关的地方性法规、</w:t>
      </w:r>
      <w:r>
        <w:rPr>
          <w:rFonts w:hint="eastAsia" w:hAnsi="Times New Roman" w:eastAsia="宋体" w:cs="Times New Roman"/>
        </w:rPr>
        <w:t>政府</w:t>
      </w:r>
      <w:r>
        <w:rPr>
          <w:rFonts w:hAnsi="Times New Roman" w:eastAsia="宋体" w:cs="Times New Roman"/>
        </w:rPr>
        <w:t>规章，针对新增的</w:t>
      </w:r>
      <w:r>
        <w:rPr>
          <w:rFonts w:hint="eastAsia" w:hAnsi="Times New Roman" w:eastAsia="宋体" w:cs="Times New Roman"/>
        </w:rPr>
        <w:t>监管</w:t>
      </w:r>
      <w:r>
        <w:rPr>
          <w:rFonts w:hAnsi="Times New Roman" w:eastAsia="宋体" w:cs="Times New Roman"/>
        </w:rPr>
        <w:t>事项</w:t>
      </w:r>
      <w:r>
        <w:rPr>
          <w:rFonts w:hint="eastAsia" w:hAnsi="Times New Roman" w:eastAsia="宋体" w:cs="Times New Roman"/>
        </w:rPr>
        <w:t>提出</w:t>
      </w:r>
      <w:r>
        <w:rPr>
          <w:rFonts w:hAnsi="Times New Roman" w:eastAsia="宋体" w:cs="Times New Roman"/>
        </w:rPr>
        <w:t>监管事项清单</w:t>
      </w:r>
      <w:r>
        <w:rPr>
          <w:rFonts w:hint="eastAsia" w:hAnsi="Times New Roman" w:eastAsia="宋体" w:cs="Times New Roman"/>
        </w:rPr>
        <w:t>，汇总</w:t>
      </w:r>
      <w:r>
        <w:rPr>
          <w:rFonts w:hAnsi="Times New Roman" w:eastAsia="宋体" w:cs="Times New Roman"/>
        </w:rPr>
        <w:t>形成青岛市</w:t>
      </w:r>
      <w:r>
        <w:rPr>
          <w:rFonts w:hint="eastAsia" w:hAnsi="Times New Roman" w:eastAsia="宋体" w:cs="Times New Roman"/>
        </w:rPr>
        <w:t>市级</w:t>
      </w:r>
      <w:r>
        <w:rPr>
          <w:rFonts w:hAnsi="Times New Roman" w:eastAsia="宋体" w:cs="Times New Roman"/>
        </w:rPr>
        <w:t>抽查事项</w:t>
      </w:r>
      <w:r>
        <w:rPr>
          <w:rFonts w:hint="eastAsia" w:hAnsi="Times New Roman" w:eastAsia="宋体" w:cs="Times New Roman"/>
        </w:rPr>
        <w:t>清单</w:t>
      </w:r>
      <w:r>
        <w:rPr>
          <w:rFonts w:hAnsi="Times New Roman" w:eastAsia="宋体" w:cs="Times New Roman"/>
        </w:rPr>
        <w:t>。</w:t>
      </w:r>
    </w:p>
    <w:p>
      <w:pPr>
        <w:pStyle w:val="235"/>
        <w:spacing w:before="156" w:beforeLines="0" w:after="156" w:afterLines="0"/>
        <w:ind w:left="0" w:firstLine="0"/>
        <w:rPr>
          <w:rFonts w:hAnsi="Times New Roman" w:cs="Times New Roman"/>
        </w:rPr>
      </w:pPr>
      <w:r>
        <w:rPr>
          <w:rFonts w:hint="eastAsia" w:hAnsi="Times New Roman" w:cs="Times New Roman"/>
        </w:rPr>
        <w:t>动态</w:t>
      </w:r>
      <w:r>
        <w:rPr>
          <w:rFonts w:hAnsi="Times New Roman" w:cs="Times New Roman"/>
        </w:rPr>
        <w:t>调整</w:t>
      </w:r>
    </w:p>
    <w:p>
      <w:pPr>
        <w:pStyle w:val="219"/>
        <w:ind w:firstLine="420"/>
        <w:rPr>
          <w:rFonts w:hAnsi="Times New Roman" w:eastAsia="宋体" w:cs="Times New Roman"/>
        </w:rPr>
      </w:pPr>
      <w:r>
        <w:rPr>
          <w:rFonts w:hint="eastAsia" w:hAnsi="Times New Roman" w:eastAsia="宋体" w:cs="Times New Roman"/>
        </w:rPr>
        <w:t>青岛市抽查事项清单应当根据工作实际进行动态调整。</w:t>
      </w:r>
    </w:p>
    <w:p>
      <w:pPr>
        <w:pStyle w:val="235"/>
        <w:spacing w:before="156" w:beforeLines="0" w:after="156" w:afterLines="0"/>
        <w:ind w:left="0" w:firstLine="0"/>
        <w:rPr>
          <w:rFonts w:hAnsi="Times New Roman" w:cs="Times New Roman"/>
        </w:rPr>
      </w:pPr>
      <w:r>
        <w:rPr>
          <w:rFonts w:hint="eastAsia" w:hAnsi="Times New Roman" w:cs="Times New Roman"/>
        </w:rPr>
        <w:t>清单</w:t>
      </w:r>
      <w:r>
        <w:rPr>
          <w:rFonts w:hAnsi="Times New Roman" w:cs="Times New Roman"/>
        </w:rPr>
        <w:t>实施</w:t>
      </w:r>
    </w:p>
    <w:p>
      <w:pPr>
        <w:pStyle w:val="219"/>
        <w:ind w:firstLine="420"/>
        <w:rPr>
          <w:rFonts w:hAnsi="Times New Roman" w:eastAsia="宋体" w:cs="Times New Roman"/>
        </w:rPr>
      </w:pPr>
      <w:r>
        <w:rPr>
          <w:rFonts w:hint="eastAsia" w:hAnsi="Times New Roman" w:eastAsia="宋体" w:cs="Times New Roman"/>
        </w:rPr>
        <w:t>严格按照抽查事项清单组织实施双随机抽查工作，不得在清单之外设立或者实施抽查检查事项。</w:t>
      </w:r>
    </w:p>
    <w:p>
      <w:pPr>
        <w:pStyle w:val="233"/>
        <w:spacing w:before="156" w:beforeLines="0" w:after="156" w:afterLines="0"/>
        <w:ind w:left="0" w:firstLine="0"/>
        <w:rPr>
          <w:rFonts w:hAnsi="Times New Roman" w:cs="Times New Roman"/>
        </w:rPr>
      </w:pPr>
      <w:r>
        <w:rPr>
          <w:rFonts w:hint="eastAsia" w:hAnsi="Times New Roman" w:cs="Times New Roman"/>
        </w:rPr>
        <w:t>检查</w:t>
      </w:r>
      <w:r>
        <w:rPr>
          <w:rFonts w:hAnsi="Times New Roman" w:cs="Times New Roman"/>
        </w:rPr>
        <w:t>对象</w:t>
      </w:r>
      <w:r>
        <w:rPr>
          <w:rFonts w:hint="eastAsia" w:hAnsi="Times New Roman" w:cs="Times New Roman"/>
        </w:rPr>
        <w:t>名录</w:t>
      </w:r>
      <w:r>
        <w:rPr>
          <w:rFonts w:hAnsi="Times New Roman" w:cs="Times New Roman"/>
        </w:rPr>
        <w:t>库</w:t>
      </w:r>
    </w:p>
    <w:p>
      <w:pPr>
        <w:pStyle w:val="235"/>
        <w:spacing w:before="156" w:beforeLines="0" w:after="156" w:afterLines="0"/>
        <w:ind w:left="0" w:firstLine="0"/>
        <w:rPr>
          <w:rFonts w:hAnsi="Times New Roman" w:cs="Times New Roman"/>
        </w:rPr>
      </w:pPr>
      <w:r>
        <w:rPr>
          <w:rFonts w:hint="eastAsia" w:hAnsi="Times New Roman" w:cs="Times New Roman"/>
        </w:rPr>
        <w:t>建立</w:t>
      </w:r>
      <w:r>
        <w:rPr>
          <w:rFonts w:hAnsi="Times New Roman" w:cs="Times New Roman"/>
        </w:rPr>
        <w:t>检查对象</w:t>
      </w:r>
      <w:r>
        <w:rPr>
          <w:rFonts w:hint="eastAsia" w:hAnsi="Times New Roman" w:cs="Times New Roman"/>
        </w:rPr>
        <w:t>名录</w:t>
      </w:r>
      <w:r>
        <w:rPr>
          <w:rFonts w:hAnsi="Times New Roman" w:cs="Times New Roman"/>
        </w:rPr>
        <w:t>库</w:t>
      </w:r>
    </w:p>
    <w:p>
      <w:pPr>
        <w:pStyle w:val="219"/>
        <w:ind w:firstLine="420"/>
        <w:rPr>
          <w:rFonts w:hAnsi="Times New Roman" w:eastAsia="宋体" w:cs="Times New Roman"/>
        </w:rPr>
      </w:pPr>
      <w:r>
        <w:rPr>
          <w:rFonts w:hint="eastAsia" w:hAnsi="Times New Roman" w:eastAsia="宋体" w:cs="Times New Roman"/>
        </w:rPr>
        <w:t>全国人口普查、全国经济普查、全国农业普查的所有普查对象；全国1</w:t>
      </w:r>
      <w:r>
        <w:rPr>
          <w:rFonts w:hAnsi="Times New Roman" w:eastAsia="宋体" w:cs="Times New Roman"/>
        </w:rPr>
        <w:t>%人口抽样调查、全国投入产出调查、全国科学与试验发展（R&amp;D）资源清查等重大国家统计调查的所有调查对象；国家常规统计调查、部门统计调查、地方统计调查的所有调查对象；所有取得国家统计局和省级统计局涉外统计调查许可的涉外统计调查机构；以上统计调查对象均录入检查对象名录库。</w:t>
      </w:r>
    </w:p>
    <w:p>
      <w:pPr>
        <w:pStyle w:val="219"/>
        <w:ind w:firstLine="420"/>
        <w:rPr>
          <w:rFonts w:hint="eastAsia" w:hAnsi="Times New Roman" w:eastAsia="宋体" w:cs="Times New Roman"/>
        </w:rPr>
      </w:pPr>
      <w:r>
        <w:rPr>
          <w:rFonts w:hint="eastAsia" w:hAnsi="Times New Roman" w:eastAsia="宋体" w:cs="Times New Roman"/>
        </w:rPr>
        <w:t>以统计一套表联网直报单位为主，包括规模以上工业、限额以上批发和零售业、限额以上住宿和餐饮业、有资质的建筑业、有开发经营活动的全部房地产开发经营业、规模以上服务业、其他有5000万元及以上在建项目法人单位和其他调查单位的500万元及以上固定资产投资项目中有能力目录的项目。</w:t>
      </w:r>
    </w:p>
    <w:p>
      <w:pPr>
        <w:pStyle w:val="235"/>
        <w:spacing w:before="156" w:beforeLines="0" w:after="156" w:afterLines="0"/>
        <w:ind w:left="0" w:firstLine="0"/>
        <w:rPr>
          <w:rFonts w:hAnsi="Times New Roman" w:cs="Times New Roman"/>
        </w:rPr>
      </w:pPr>
      <w:r>
        <w:rPr>
          <w:rFonts w:hint="eastAsia" w:hAnsi="Times New Roman" w:cs="Times New Roman"/>
        </w:rPr>
        <w:t>动态</w:t>
      </w:r>
      <w:r>
        <w:rPr>
          <w:rFonts w:hAnsi="Times New Roman" w:cs="Times New Roman"/>
        </w:rPr>
        <w:t>更新</w:t>
      </w:r>
    </w:p>
    <w:p>
      <w:pPr>
        <w:pStyle w:val="219"/>
        <w:ind w:firstLine="420"/>
        <w:rPr>
          <w:rFonts w:hAnsi="Times New Roman" w:eastAsia="宋体" w:cs="Times New Roman"/>
        </w:rPr>
      </w:pPr>
      <w:r>
        <w:rPr>
          <w:rFonts w:hint="eastAsia" w:hAnsi="Times New Roman" w:eastAsia="宋体" w:cs="Times New Roman"/>
        </w:rPr>
        <w:t>本</w:t>
      </w:r>
      <w:r>
        <w:rPr>
          <w:rFonts w:hAnsi="Times New Roman" w:eastAsia="宋体" w:cs="Times New Roman"/>
        </w:rPr>
        <w:t>专业监管对象发生变动时</w:t>
      </w:r>
      <w:r>
        <w:rPr>
          <w:rFonts w:hint="eastAsia" w:hAnsi="Times New Roman" w:eastAsia="宋体" w:cs="Times New Roman"/>
        </w:rPr>
        <w:t>，</w:t>
      </w:r>
      <w:r>
        <w:rPr>
          <w:rFonts w:hAnsi="Times New Roman" w:eastAsia="宋体" w:cs="Times New Roman"/>
        </w:rPr>
        <w:t>应当自发现变动之日起</w:t>
      </w:r>
      <w:r>
        <w:rPr>
          <w:rFonts w:hint="eastAsia" w:hAnsi="Times New Roman" w:eastAsia="宋体" w:cs="Times New Roman"/>
        </w:rPr>
        <w:t>五</w:t>
      </w:r>
      <w:r>
        <w:rPr>
          <w:rFonts w:hAnsi="Times New Roman" w:eastAsia="宋体" w:cs="Times New Roman"/>
        </w:rPr>
        <w:t>个工作日内</w:t>
      </w:r>
      <w:r>
        <w:rPr>
          <w:rFonts w:hint="eastAsia" w:hAnsi="Times New Roman" w:eastAsia="宋体" w:cs="Times New Roman"/>
        </w:rPr>
        <w:t>，对</w:t>
      </w:r>
      <w:r>
        <w:rPr>
          <w:rFonts w:hAnsi="Times New Roman" w:eastAsia="宋体" w:cs="Times New Roman"/>
        </w:rPr>
        <w:t>检查对象名录</w:t>
      </w:r>
      <w:r>
        <w:rPr>
          <w:rFonts w:hint="eastAsia" w:hAnsi="Times New Roman" w:eastAsia="宋体" w:cs="Times New Roman"/>
        </w:rPr>
        <w:t>库</w:t>
      </w:r>
      <w:r>
        <w:rPr>
          <w:rFonts w:hAnsi="Times New Roman" w:eastAsia="宋体" w:cs="Times New Roman"/>
        </w:rPr>
        <w:t>进行调整</w:t>
      </w:r>
      <w:r>
        <w:rPr>
          <w:rFonts w:hint="eastAsia" w:hAnsi="Times New Roman" w:eastAsia="宋体" w:cs="Times New Roman"/>
        </w:rPr>
        <w:t>更新。</w:t>
      </w:r>
    </w:p>
    <w:p>
      <w:pPr>
        <w:pStyle w:val="233"/>
        <w:spacing w:before="156" w:beforeLines="0" w:after="156" w:afterLines="0"/>
        <w:ind w:left="0" w:firstLine="0"/>
        <w:rPr>
          <w:rFonts w:hAnsi="Times New Roman" w:cs="Times New Roman"/>
        </w:rPr>
      </w:pPr>
      <w:r>
        <w:rPr>
          <w:rFonts w:hint="eastAsia" w:hAnsi="Times New Roman" w:cs="Times New Roman"/>
        </w:rPr>
        <w:t>执法</w:t>
      </w:r>
      <w:r>
        <w:rPr>
          <w:rFonts w:hAnsi="Times New Roman" w:cs="Times New Roman"/>
        </w:rPr>
        <w:t>人员名录库</w:t>
      </w:r>
    </w:p>
    <w:p>
      <w:pPr>
        <w:pStyle w:val="235"/>
        <w:spacing w:before="156" w:beforeLines="0" w:after="156" w:afterLines="0"/>
        <w:ind w:left="0" w:firstLine="0"/>
        <w:rPr>
          <w:rFonts w:hAnsi="Times New Roman" w:cs="Times New Roman"/>
        </w:rPr>
      </w:pPr>
      <w:bookmarkStart w:id="21" w:name="_Hlk56757526"/>
      <w:r>
        <w:rPr>
          <w:rFonts w:hint="eastAsia" w:hAnsi="Times New Roman" w:cs="Times New Roman"/>
        </w:rPr>
        <w:t>建立执法人员名录</w:t>
      </w:r>
      <w:r>
        <w:rPr>
          <w:rFonts w:hAnsi="Times New Roman" w:cs="Times New Roman"/>
        </w:rPr>
        <w:t>库</w:t>
      </w:r>
    </w:p>
    <w:bookmarkEnd w:id="21"/>
    <w:p>
      <w:pPr>
        <w:pStyle w:val="219"/>
        <w:ind w:firstLine="420"/>
        <w:rPr>
          <w:rFonts w:hAnsi="Times New Roman" w:eastAsia="宋体" w:cs="Times New Roman"/>
        </w:rPr>
      </w:pPr>
      <w:r>
        <w:rPr>
          <w:rFonts w:hint="eastAsia" w:hAnsi="Times New Roman" w:eastAsia="宋体" w:cs="Times New Roman"/>
        </w:rPr>
        <w:t>市</w:t>
      </w:r>
      <w:r>
        <w:rPr>
          <w:rFonts w:hAnsi="Times New Roman" w:eastAsia="宋体" w:cs="Times New Roman"/>
        </w:rPr>
        <w:t>、区（市）统计部门中持有有效执法证件的</w:t>
      </w:r>
      <w:r>
        <w:rPr>
          <w:rFonts w:hint="eastAsia" w:hAnsi="Times New Roman" w:eastAsia="宋体" w:cs="Times New Roman"/>
        </w:rPr>
        <w:t>行政</w:t>
      </w:r>
      <w:r>
        <w:rPr>
          <w:rFonts w:hAnsi="Times New Roman" w:eastAsia="宋体" w:cs="Times New Roman"/>
        </w:rPr>
        <w:t>执法类公务员、</w:t>
      </w:r>
      <w:r>
        <w:rPr>
          <w:rFonts w:hint="eastAsia" w:hAnsi="Times New Roman" w:eastAsia="宋体" w:cs="Times New Roman"/>
        </w:rPr>
        <w:t>具有</w:t>
      </w:r>
      <w:r>
        <w:rPr>
          <w:rFonts w:hAnsi="Times New Roman" w:eastAsia="宋体" w:cs="Times New Roman"/>
        </w:rPr>
        <w:t>行政执法资格</w:t>
      </w:r>
      <w:r>
        <w:rPr>
          <w:rFonts w:hint="eastAsia" w:hAnsi="Times New Roman" w:eastAsia="宋体" w:cs="Times New Roman"/>
        </w:rPr>
        <w:t>的</w:t>
      </w:r>
      <w:r>
        <w:rPr>
          <w:rFonts w:hAnsi="Times New Roman" w:eastAsia="宋体" w:cs="Times New Roman"/>
        </w:rPr>
        <w:t>工作人员录入</w:t>
      </w:r>
      <w:r>
        <w:rPr>
          <w:rFonts w:hint="eastAsia" w:hAnsi="Times New Roman" w:eastAsia="宋体" w:cs="Times New Roman"/>
        </w:rPr>
        <w:t>执法</w:t>
      </w:r>
      <w:r>
        <w:rPr>
          <w:rFonts w:hAnsi="Times New Roman" w:eastAsia="宋体" w:cs="Times New Roman"/>
        </w:rPr>
        <w:t>人员名录库。</w:t>
      </w:r>
    </w:p>
    <w:p>
      <w:pPr>
        <w:pStyle w:val="235"/>
        <w:spacing w:before="156" w:beforeLines="0" w:after="156" w:afterLines="0"/>
        <w:ind w:left="0" w:firstLine="0"/>
        <w:rPr>
          <w:rFonts w:hAnsi="Times New Roman" w:cs="Times New Roman"/>
        </w:rPr>
      </w:pPr>
      <w:r>
        <w:rPr>
          <w:rFonts w:hint="eastAsia" w:hAnsi="Times New Roman" w:cs="Times New Roman"/>
        </w:rPr>
        <w:t>动态</w:t>
      </w:r>
      <w:r>
        <w:rPr>
          <w:rFonts w:hAnsi="Times New Roman" w:cs="Times New Roman"/>
        </w:rPr>
        <w:t>更新</w:t>
      </w:r>
    </w:p>
    <w:p>
      <w:pPr>
        <w:pStyle w:val="219"/>
        <w:ind w:firstLine="420"/>
        <w:rPr>
          <w:rFonts w:hAnsi="Times New Roman" w:eastAsia="宋体" w:cs="Times New Roman"/>
        </w:rPr>
      </w:pPr>
      <w:r>
        <w:rPr>
          <w:rFonts w:hint="eastAsia" w:hAnsi="Times New Roman" w:eastAsia="宋体" w:cs="Times New Roman"/>
        </w:rPr>
        <w:t>当人员因岗位调整等原因发生新增或减少情况时，应当自发生变动之日起五个工作日内，对执法人员名录库进行调整更新。</w:t>
      </w:r>
    </w:p>
    <w:p>
      <w:pPr>
        <w:pStyle w:val="230"/>
        <w:spacing w:before="312" w:beforeLines="0" w:after="312" w:afterLines="0"/>
        <w:ind w:left="0" w:firstLine="0"/>
        <w:rPr>
          <w:rFonts w:hAnsi="Times New Roman" w:cs="Times New Roman"/>
        </w:rPr>
      </w:pPr>
      <w:r>
        <w:rPr>
          <w:rFonts w:hint="eastAsia" w:hAnsi="Times New Roman" w:cs="Times New Roman"/>
        </w:rPr>
        <w:t>抽查工作计划制定</w:t>
      </w:r>
    </w:p>
    <w:p>
      <w:pPr>
        <w:pStyle w:val="233"/>
        <w:spacing w:before="156" w:beforeLines="0" w:after="156" w:afterLines="0"/>
        <w:ind w:left="0" w:firstLine="0"/>
        <w:rPr>
          <w:rFonts w:hAnsi="Times New Roman" w:cs="Times New Roman"/>
        </w:rPr>
      </w:pPr>
      <w:r>
        <w:rPr>
          <w:rFonts w:hint="eastAsia" w:hAnsi="Times New Roman" w:cs="Times New Roman"/>
        </w:rPr>
        <w:t>制定</w:t>
      </w:r>
      <w:r>
        <w:rPr>
          <w:rFonts w:hAnsi="Times New Roman" w:cs="Times New Roman"/>
        </w:rPr>
        <w:t>抽查计划</w:t>
      </w:r>
    </w:p>
    <w:p>
      <w:pPr>
        <w:pStyle w:val="219"/>
        <w:ind w:firstLine="420"/>
        <w:rPr>
          <w:rFonts w:hAnsi="Times New Roman" w:eastAsia="宋体" w:cs="Times New Roman"/>
        </w:rPr>
      </w:pPr>
      <w:r>
        <w:rPr>
          <w:rFonts w:hint="eastAsia" w:hAnsi="Times New Roman" w:eastAsia="宋体" w:cs="Times New Roman"/>
        </w:rPr>
        <w:t>市、区（市）统计部门应当于每年</w:t>
      </w:r>
      <w:r>
        <w:rPr>
          <w:rFonts w:hAnsi="Times New Roman" w:eastAsia="宋体" w:cs="Times New Roman"/>
        </w:rPr>
        <w:t>4</w:t>
      </w:r>
      <w:r>
        <w:rPr>
          <w:rFonts w:hint="eastAsia" w:hAnsi="Times New Roman" w:eastAsia="宋体" w:cs="Times New Roman"/>
        </w:rPr>
        <w:t>月底前，根据上级制定的抽查计划，制定本级年度抽查计划，并</w:t>
      </w:r>
      <w:r>
        <w:rPr>
          <w:rFonts w:hAnsi="Times New Roman" w:eastAsia="宋体" w:cs="Times New Roman"/>
        </w:rPr>
        <w:t>按规定发布</w:t>
      </w:r>
      <w:r>
        <w:rPr>
          <w:rFonts w:hint="eastAsia" w:hAnsi="Times New Roman" w:eastAsia="宋体" w:cs="Times New Roman"/>
        </w:rPr>
        <w:t>实施。</w:t>
      </w:r>
    </w:p>
    <w:p>
      <w:pPr>
        <w:pStyle w:val="233"/>
        <w:spacing w:before="156" w:beforeLines="0" w:after="156" w:afterLines="0"/>
        <w:ind w:left="0" w:firstLine="0"/>
        <w:rPr>
          <w:rFonts w:hAnsi="Times New Roman" w:cs="Times New Roman"/>
        </w:rPr>
      </w:pPr>
      <w:r>
        <w:rPr>
          <w:rFonts w:hint="eastAsia" w:hAnsi="Times New Roman" w:cs="Times New Roman"/>
        </w:rPr>
        <w:t>动态</w:t>
      </w:r>
      <w:r>
        <w:rPr>
          <w:rFonts w:hAnsi="Times New Roman" w:cs="Times New Roman"/>
        </w:rPr>
        <w:t>调整</w:t>
      </w:r>
    </w:p>
    <w:p>
      <w:pPr>
        <w:pStyle w:val="219"/>
        <w:ind w:firstLine="420"/>
        <w:rPr>
          <w:rFonts w:hAnsi="Times New Roman" w:eastAsia="宋体" w:cs="Times New Roman"/>
        </w:rPr>
      </w:pPr>
      <w:r>
        <w:rPr>
          <w:rFonts w:hint="eastAsia" w:hAnsi="Times New Roman" w:eastAsia="宋体" w:cs="Times New Roman"/>
        </w:rPr>
        <w:t>年度</w:t>
      </w:r>
      <w:r>
        <w:rPr>
          <w:rFonts w:hAnsi="Times New Roman" w:eastAsia="宋体" w:cs="Times New Roman"/>
        </w:rPr>
        <w:t>抽查</w:t>
      </w:r>
      <w:r>
        <w:rPr>
          <w:rFonts w:hint="eastAsia" w:hAnsi="Times New Roman" w:eastAsia="宋体" w:cs="Times New Roman"/>
        </w:rPr>
        <w:t>计划</w:t>
      </w:r>
      <w:r>
        <w:rPr>
          <w:rFonts w:hAnsi="Times New Roman" w:eastAsia="宋体" w:cs="Times New Roman"/>
        </w:rPr>
        <w:t>可以根据需要调整。</w:t>
      </w:r>
      <w:r>
        <w:rPr>
          <w:rFonts w:hint="eastAsia" w:hAnsi="Times New Roman" w:eastAsia="宋体" w:cs="Times New Roman"/>
        </w:rPr>
        <w:t>由</w:t>
      </w:r>
      <w:r>
        <w:rPr>
          <w:rFonts w:hAnsi="Times New Roman" w:eastAsia="宋体" w:cs="Times New Roman"/>
        </w:rPr>
        <w:t>相关专业提出调整意见，交牵头机构统一</w:t>
      </w:r>
      <w:r>
        <w:rPr>
          <w:rFonts w:hint="eastAsia" w:hAnsi="Times New Roman" w:eastAsia="宋体" w:cs="Times New Roman"/>
        </w:rPr>
        <w:t>对</w:t>
      </w:r>
      <w:r>
        <w:rPr>
          <w:rFonts w:hAnsi="Times New Roman" w:eastAsia="宋体" w:cs="Times New Roman"/>
        </w:rPr>
        <w:t>全局年度抽查计划进行调整</w:t>
      </w:r>
      <w:r>
        <w:rPr>
          <w:rFonts w:hint="eastAsia" w:hAnsi="Times New Roman" w:eastAsia="宋体" w:cs="Times New Roman"/>
        </w:rPr>
        <w:t>并</w:t>
      </w:r>
      <w:r>
        <w:rPr>
          <w:rFonts w:hAnsi="Times New Roman" w:eastAsia="宋体" w:cs="Times New Roman"/>
        </w:rPr>
        <w:t>发布实施。</w:t>
      </w:r>
    </w:p>
    <w:p>
      <w:pPr>
        <w:pStyle w:val="233"/>
        <w:spacing w:before="156" w:beforeLines="0" w:after="156" w:afterLines="0"/>
        <w:ind w:left="0" w:firstLine="0"/>
        <w:rPr>
          <w:rFonts w:hAnsi="Times New Roman" w:cs="Times New Roman"/>
        </w:rPr>
      </w:pPr>
      <w:r>
        <w:rPr>
          <w:rFonts w:hint="eastAsia" w:hAnsi="Times New Roman" w:cs="Times New Roman"/>
        </w:rPr>
        <w:t>全覆盖</w:t>
      </w:r>
    </w:p>
    <w:p>
      <w:pPr>
        <w:pStyle w:val="219"/>
        <w:ind w:firstLine="420"/>
        <w:rPr>
          <w:rFonts w:hAnsi="Times New Roman" w:eastAsia="宋体" w:cs="Times New Roman"/>
        </w:rPr>
      </w:pPr>
      <w:r>
        <w:rPr>
          <w:rFonts w:hint="eastAsia" w:hAnsi="Times New Roman" w:eastAsia="宋体" w:cs="Times New Roman"/>
        </w:rPr>
        <w:t>抽查</w:t>
      </w:r>
      <w:r>
        <w:rPr>
          <w:rFonts w:hAnsi="Times New Roman" w:eastAsia="宋体" w:cs="Times New Roman"/>
        </w:rPr>
        <w:t>计划</w:t>
      </w:r>
      <w:r>
        <w:rPr>
          <w:rFonts w:hint="eastAsia" w:hAnsi="Times New Roman" w:eastAsia="宋体" w:cs="Times New Roman"/>
        </w:rPr>
        <w:t>应当涵盖所有随机</w:t>
      </w:r>
      <w:r>
        <w:rPr>
          <w:rFonts w:hAnsi="Times New Roman" w:eastAsia="宋体" w:cs="Times New Roman"/>
        </w:rPr>
        <w:t>抽查事项清单</w:t>
      </w:r>
      <w:r>
        <w:rPr>
          <w:rFonts w:hint="eastAsia" w:hAnsi="Times New Roman" w:eastAsia="宋体" w:cs="Times New Roman"/>
        </w:rPr>
        <w:t>，</w:t>
      </w:r>
      <w:r>
        <w:rPr>
          <w:rFonts w:hAnsi="Times New Roman" w:eastAsia="宋体" w:cs="Times New Roman"/>
        </w:rPr>
        <w:t>做到双随机抽查全覆盖。</w:t>
      </w:r>
    </w:p>
    <w:p>
      <w:pPr>
        <w:pStyle w:val="230"/>
        <w:spacing w:before="312" w:beforeLines="0" w:after="312" w:afterLines="0"/>
        <w:ind w:left="0" w:firstLine="0"/>
        <w:rPr>
          <w:rFonts w:hAnsi="Times New Roman" w:cs="Times New Roman"/>
        </w:rPr>
      </w:pPr>
      <w:r>
        <w:rPr>
          <w:rFonts w:hint="eastAsia" w:hAnsi="Times New Roman" w:cs="Times New Roman"/>
        </w:rPr>
        <w:t>抽查实施</w:t>
      </w:r>
    </w:p>
    <w:p>
      <w:pPr>
        <w:pStyle w:val="233"/>
        <w:spacing w:before="156" w:beforeLines="0" w:after="156" w:afterLines="0"/>
        <w:ind w:left="0" w:firstLine="0"/>
        <w:rPr>
          <w:rFonts w:hAnsi="Times New Roman" w:cs="Times New Roman"/>
        </w:rPr>
      </w:pPr>
      <w:r>
        <w:rPr>
          <w:rFonts w:hint="eastAsia" w:hAnsi="Times New Roman" w:cs="Times New Roman"/>
        </w:rPr>
        <w:t>抽取检查对象</w:t>
      </w:r>
    </w:p>
    <w:p>
      <w:pPr>
        <w:pStyle w:val="235"/>
        <w:spacing w:before="156" w:beforeLines="0" w:after="156" w:afterLines="0"/>
        <w:ind w:left="0" w:firstLine="0"/>
        <w:rPr>
          <w:rFonts w:hAnsi="Times New Roman" w:cs="Times New Roman"/>
          <w:b/>
        </w:rPr>
      </w:pPr>
      <w:r>
        <w:rPr>
          <w:rFonts w:hint="eastAsia" w:hAnsi="Times New Roman" w:cs="Times New Roman"/>
        </w:rPr>
        <w:t>上级机关统一抽取</w:t>
      </w:r>
    </w:p>
    <w:p>
      <w:pPr>
        <w:pStyle w:val="219"/>
        <w:ind w:firstLine="420"/>
        <w:rPr>
          <w:rFonts w:hAnsi="Times New Roman" w:eastAsia="宋体" w:cs="Times New Roman"/>
        </w:rPr>
      </w:pPr>
      <w:r>
        <w:rPr>
          <w:rFonts w:hint="eastAsia" w:hAnsi="Times New Roman" w:eastAsia="宋体" w:cs="Times New Roman"/>
        </w:rPr>
        <w:t>上级机关通过省政府工作平台统一发起抽查任务、统一抽取被检查对象、统一派发至各级统计部门，下级机关登录省政府工作平台查收派发的被检查对象。</w:t>
      </w:r>
    </w:p>
    <w:p>
      <w:pPr>
        <w:pStyle w:val="235"/>
        <w:spacing w:before="156" w:beforeLines="0" w:after="156" w:afterLines="0"/>
        <w:ind w:left="0" w:firstLine="0"/>
        <w:rPr>
          <w:rFonts w:hAnsi="Times New Roman" w:cs="Times New Roman"/>
        </w:rPr>
      </w:pPr>
      <w:r>
        <w:rPr>
          <w:rFonts w:hint="eastAsia" w:hAnsi="Times New Roman" w:cs="Times New Roman"/>
        </w:rPr>
        <w:t>本级机关自行抽查</w:t>
      </w:r>
    </w:p>
    <w:p>
      <w:pPr>
        <w:pStyle w:val="219"/>
        <w:ind w:firstLine="420"/>
        <w:rPr>
          <w:rFonts w:hAnsi="Times New Roman" w:eastAsia="宋体" w:cs="Times New Roman"/>
        </w:rPr>
      </w:pPr>
      <w:r>
        <w:rPr>
          <w:rFonts w:hint="eastAsia" w:hAnsi="Times New Roman" w:eastAsia="宋体" w:cs="Times New Roman"/>
        </w:rPr>
        <w:t>根据年度抽查计划和抽查工作方案，市、区（市）统计部门通过省政府工作平台自行发起抽查任务，按规定的抽查范围和抽查比例，从检查对象</w:t>
      </w:r>
      <w:r>
        <w:rPr>
          <w:rFonts w:hAnsi="Times New Roman" w:eastAsia="宋体" w:cs="Times New Roman"/>
        </w:rPr>
        <w:t>名录</w:t>
      </w:r>
      <w:r>
        <w:rPr>
          <w:rFonts w:hint="eastAsia" w:hAnsi="Times New Roman" w:eastAsia="宋体" w:cs="Times New Roman"/>
        </w:rPr>
        <w:t>库中抽取被检查对象。</w:t>
      </w:r>
    </w:p>
    <w:p>
      <w:pPr>
        <w:pStyle w:val="233"/>
        <w:spacing w:before="156" w:beforeLines="0" w:after="156" w:afterLines="0"/>
        <w:ind w:left="0" w:firstLine="0"/>
        <w:rPr>
          <w:rFonts w:hAnsi="Times New Roman" w:cs="Times New Roman"/>
        </w:rPr>
      </w:pPr>
      <w:r>
        <w:rPr>
          <w:rFonts w:hint="eastAsia" w:hAnsi="Times New Roman" w:cs="Times New Roman"/>
        </w:rPr>
        <w:t>匹配执法检查人员</w:t>
      </w:r>
    </w:p>
    <w:p>
      <w:pPr>
        <w:pStyle w:val="235"/>
        <w:spacing w:before="156" w:beforeLines="0" w:after="156" w:afterLines="0"/>
        <w:ind w:left="0" w:firstLine="0"/>
        <w:rPr>
          <w:rFonts w:hAnsi="Times New Roman" w:cs="Times New Roman"/>
        </w:rPr>
      </w:pPr>
      <w:r>
        <w:rPr>
          <w:rFonts w:hint="eastAsia" w:hAnsi="Times New Roman" w:cs="Times New Roman"/>
        </w:rPr>
        <w:t>匹配</w:t>
      </w:r>
      <w:r>
        <w:rPr>
          <w:rFonts w:hAnsi="Times New Roman" w:cs="Times New Roman"/>
        </w:rPr>
        <w:t>人员</w:t>
      </w:r>
    </w:p>
    <w:p>
      <w:pPr>
        <w:pStyle w:val="219"/>
        <w:ind w:firstLine="420"/>
        <w:rPr>
          <w:rFonts w:hAnsi="Times New Roman" w:eastAsia="宋体" w:cs="Times New Roman"/>
        </w:rPr>
      </w:pPr>
      <w:r>
        <w:rPr>
          <w:rFonts w:hint="eastAsia" w:hAnsi="Times New Roman" w:eastAsia="宋体" w:cs="Times New Roman"/>
        </w:rPr>
        <w:t>通过省政府工作平台对抽取的被检查对象随机匹配执法检查人员，将被检查对象随机派发给各执法检查人员实施检查。</w:t>
      </w:r>
    </w:p>
    <w:p>
      <w:pPr>
        <w:pStyle w:val="235"/>
        <w:spacing w:before="156" w:beforeLines="0" w:after="156" w:afterLines="0"/>
        <w:ind w:left="0" w:firstLine="0"/>
        <w:rPr>
          <w:rFonts w:hAnsi="Times New Roman" w:cs="Times New Roman"/>
        </w:rPr>
      </w:pPr>
      <w:r>
        <w:rPr>
          <w:rFonts w:hint="eastAsia" w:hAnsi="Times New Roman" w:cs="Times New Roman"/>
        </w:rPr>
        <w:t>人员</w:t>
      </w:r>
      <w:r>
        <w:rPr>
          <w:rFonts w:hAnsi="Times New Roman" w:cs="Times New Roman"/>
        </w:rPr>
        <w:t>要求</w:t>
      </w:r>
    </w:p>
    <w:p>
      <w:pPr>
        <w:pStyle w:val="219"/>
        <w:ind w:firstLine="420"/>
        <w:rPr>
          <w:rFonts w:hAnsi="Times New Roman" w:eastAsia="宋体" w:cs="Times New Roman"/>
        </w:rPr>
      </w:pPr>
      <w:r>
        <w:rPr>
          <w:rFonts w:hint="eastAsia" w:hAnsi="Times New Roman" w:eastAsia="宋体" w:cs="Times New Roman"/>
        </w:rPr>
        <w:t>抽取的执法检查人员原则上不得更换，但因岗位调整、工作冲突、身体健康状况等特殊情况无法继续履行检查任务的，由处室</w:t>
      </w:r>
      <w:r>
        <w:rPr>
          <w:rFonts w:hAnsi="Times New Roman" w:eastAsia="宋体" w:cs="Times New Roman"/>
        </w:rPr>
        <w:t>负责人根据工作需要</w:t>
      </w:r>
      <w:r>
        <w:rPr>
          <w:rFonts w:hint="eastAsia" w:hAnsi="Times New Roman" w:eastAsia="宋体" w:cs="Times New Roman"/>
        </w:rPr>
        <w:t>，在具备执法资格的其它人员中另行指派。执法检查人员与检查对象有利害关系的，应当申请回避。</w:t>
      </w:r>
    </w:p>
    <w:p>
      <w:pPr>
        <w:pStyle w:val="233"/>
        <w:spacing w:before="156" w:beforeLines="0" w:after="156" w:afterLines="0"/>
        <w:ind w:left="0" w:firstLine="0"/>
        <w:rPr>
          <w:rFonts w:hAnsi="Times New Roman" w:cs="Times New Roman"/>
        </w:rPr>
      </w:pPr>
      <w:r>
        <w:rPr>
          <w:rFonts w:hint="eastAsia" w:hAnsi="Times New Roman" w:cs="Times New Roman"/>
        </w:rPr>
        <w:t>检查方法及实施程序</w:t>
      </w:r>
    </w:p>
    <w:p>
      <w:pPr>
        <w:pStyle w:val="235"/>
        <w:spacing w:before="156" w:beforeLines="0" w:after="156" w:afterLines="0"/>
        <w:ind w:left="0" w:firstLine="0"/>
        <w:rPr>
          <w:rFonts w:hAnsi="Times New Roman" w:cs="Times New Roman"/>
        </w:rPr>
      </w:pPr>
      <w:r>
        <w:rPr>
          <w:rFonts w:hint="eastAsia" w:hAnsi="Times New Roman" w:cs="Times New Roman"/>
        </w:rPr>
        <w:t>检查方法</w:t>
      </w:r>
    </w:p>
    <w:p>
      <w:pPr>
        <w:pStyle w:val="237"/>
        <w:ind w:left="0" w:firstLine="0"/>
        <w:rPr>
          <w:rFonts w:hAnsi="Times New Roman" w:cs="Times New Roman"/>
        </w:rPr>
      </w:pPr>
      <w:r>
        <w:rPr>
          <w:rFonts w:hint="eastAsia" w:hAnsi="Times New Roman" w:cs="Times New Roman"/>
        </w:rPr>
        <w:t>“双随机、一公开”监管工作可以根据实际情况依法采取书面检查、实地核查、网络监测、抽样检测等方式，可以依法利用其他政府部门检查结论、司法机关生效文书和专业机构作出的专业结论，也可以委托专业机构开展审计、验资、评估、检验检测等第三方验证活动。委托专业机构实施抽查检查的，应当加强业务指导和监督。</w:t>
      </w:r>
    </w:p>
    <w:p>
      <w:pPr>
        <w:pStyle w:val="237"/>
        <w:ind w:left="0" w:firstLine="0"/>
        <w:rPr>
          <w:rFonts w:hAnsi="Times New Roman" w:cs="Times New Roman"/>
        </w:rPr>
      </w:pPr>
      <w:r>
        <w:rPr>
          <w:rFonts w:hint="eastAsia" w:hAnsi="Times New Roman" w:cs="Times New Roman"/>
        </w:rPr>
        <w:t>执法检查人员可以针对不同的检查事项内容，依照相关法律法规规章的规定行使监督检查权，并视情况依法对当事人采取相应的监管措施。现场检查一般按照9.3.2条规定的程序进行。</w:t>
      </w:r>
    </w:p>
    <w:p>
      <w:pPr>
        <w:pStyle w:val="235"/>
        <w:spacing w:before="156" w:beforeLines="0" w:after="156" w:afterLines="0"/>
        <w:ind w:left="0" w:firstLine="0"/>
        <w:rPr>
          <w:rFonts w:hAnsi="Times New Roman" w:cs="Times New Roman"/>
        </w:rPr>
      </w:pPr>
      <w:r>
        <w:rPr>
          <w:rFonts w:hint="eastAsia" w:hAnsi="Times New Roman" w:cs="Times New Roman"/>
        </w:rPr>
        <w:t>现场检查程序</w:t>
      </w:r>
    </w:p>
    <w:p>
      <w:pPr>
        <w:pStyle w:val="238"/>
        <w:spacing w:before="156" w:beforeLines="0" w:after="156" w:afterLines="0"/>
        <w:ind w:left="0" w:firstLine="0"/>
        <w:rPr>
          <w:rFonts w:hAnsi="Times New Roman" w:cs="Times New Roman"/>
        </w:rPr>
      </w:pPr>
      <w:r>
        <w:rPr>
          <w:rFonts w:hint="eastAsia" w:hAnsi="Times New Roman" w:cs="Times New Roman"/>
        </w:rPr>
        <w:t>预查比对</w:t>
      </w:r>
    </w:p>
    <w:p>
      <w:pPr>
        <w:pStyle w:val="219"/>
        <w:ind w:firstLine="420"/>
        <w:rPr>
          <w:rFonts w:hAnsi="Times New Roman" w:eastAsia="宋体" w:cs="Times New Roman"/>
        </w:rPr>
      </w:pPr>
      <w:r>
        <w:rPr>
          <w:rFonts w:hint="eastAsia" w:hAnsi="Times New Roman" w:eastAsia="宋体" w:cs="Times New Roman"/>
        </w:rPr>
        <w:t>按照检查任务要求,通过查询“国家企业</w:t>
      </w:r>
      <w:r>
        <w:rPr>
          <w:rFonts w:hAnsi="Times New Roman" w:eastAsia="宋体" w:cs="Times New Roman"/>
        </w:rPr>
        <w:t>信用信息</w:t>
      </w:r>
      <w:r>
        <w:rPr>
          <w:rFonts w:hint="eastAsia" w:hAnsi="Times New Roman" w:eastAsia="宋体" w:cs="Times New Roman"/>
        </w:rPr>
        <w:t>公示系统(山东)”、本部门业务系统、档案资料等方式，掌握被检查对象基本信息和动态状况，结合抽查任务要求确定适合的检查方法和检查程序。</w:t>
      </w:r>
    </w:p>
    <w:p>
      <w:pPr>
        <w:pStyle w:val="238"/>
        <w:spacing w:before="156" w:beforeLines="0" w:after="156" w:afterLines="0"/>
        <w:ind w:left="0" w:firstLine="0"/>
        <w:rPr>
          <w:rFonts w:hAnsi="Times New Roman" w:cs="Times New Roman"/>
        </w:rPr>
      </w:pPr>
      <w:r>
        <w:rPr>
          <w:rFonts w:hint="eastAsia" w:hAnsi="Times New Roman" w:cs="Times New Roman"/>
        </w:rPr>
        <w:t>事先告知</w:t>
      </w:r>
    </w:p>
    <w:p>
      <w:pPr>
        <w:pStyle w:val="219"/>
        <w:ind w:firstLine="420"/>
        <w:rPr>
          <w:rFonts w:hAnsi="Times New Roman" w:eastAsia="宋体" w:cs="Times New Roman"/>
        </w:rPr>
      </w:pPr>
      <w:r>
        <w:rPr>
          <w:rFonts w:hint="eastAsia" w:hAnsi="Times New Roman" w:eastAsia="宋体" w:cs="Times New Roman"/>
        </w:rPr>
        <w:t>现场检查前，以书面或电话、传真等形式，告知被检查对象检查的时间及配合检查的相关要求等,提示准备好相关资料。不宜事先告知的检查活动或检查事项,不得向检查对象透露情况或发放相关告知文书。</w:t>
      </w:r>
    </w:p>
    <w:p>
      <w:pPr>
        <w:pStyle w:val="238"/>
        <w:spacing w:before="156" w:beforeLines="0" w:after="156" w:afterLines="0"/>
        <w:ind w:left="0" w:firstLine="0"/>
        <w:rPr>
          <w:rFonts w:hAnsi="Times New Roman" w:cs="Times New Roman"/>
        </w:rPr>
      </w:pPr>
      <w:r>
        <w:rPr>
          <w:rFonts w:hint="eastAsia" w:hAnsi="Times New Roman" w:cs="Times New Roman"/>
        </w:rPr>
        <w:t>现场检查</w:t>
      </w:r>
    </w:p>
    <w:p>
      <w:pPr>
        <w:pStyle w:val="219"/>
        <w:ind w:firstLine="420"/>
        <w:rPr>
          <w:rFonts w:hAnsi="Times New Roman" w:eastAsia="宋体" w:cs="Times New Roman"/>
        </w:rPr>
      </w:pPr>
      <w:r>
        <w:rPr>
          <w:rFonts w:hint="eastAsia" w:hAnsi="Times New Roman" w:eastAsia="宋体" w:cs="Times New Roman"/>
        </w:rPr>
        <w:t>应按照如下要求开展现场检查工作：</w:t>
      </w:r>
    </w:p>
    <w:p>
      <w:pPr>
        <w:pStyle w:val="236"/>
        <w:numPr>
          <w:ilvl w:val="0"/>
          <w:numId w:val="8"/>
        </w:numPr>
        <w:ind w:left="851" w:hanging="426"/>
        <w:rPr>
          <w:rFonts w:hAnsi="Times New Roman" w:eastAsia="宋体" w:cs="Times New Roman"/>
        </w:rPr>
      </w:pPr>
      <w:r>
        <w:rPr>
          <w:rFonts w:hint="eastAsia" w:hAnsi="Times New Roman" w:eastAsia="宋体" w:cs="Times New Roman"/>
        </w:rPr>
        <w:t>现场检查人员从检查组成员选派且不得少于两人，并应当出示执法证件；</w:t>
      </w:r>
    </w:p>
    <w:p>
      <w:pPr>
        <w:pStyle w:val="236"/>
        <w:ind w:left="851" w:hanging="426"/>
        <w:rPr>
          <w:rFonts w:hAnsi="Times New Roman" w:eastAsia="宋体" w:cs="Times New Roman"/>
        </w:rPr>
      </w:pPr>
      <w:r>
        <w:rPr>
          <w:rFonts w:hint="eastAsia" w:hAnsi="Times New Roman" w:eastAsia="宋体" w:cs="Times New Roman"/>
        </w:rPr>
        <w:t>执法检查人员依法实施现场检查，并现场填写双随机抽查检查记录表；</w:t>
      </w:r>
    </w:p>
    <w:p>
      <w:pPr>
        <w:pStyle w:val="236"/>
        <w:ind w:left="851" w:hanging="426"/>
        <w:rPr>
          <w:rFonts w:hAnsi="Times New Roman" w:eastAsia="宋体" w:cs="Times New Roman"/>
        </w:rPr>
      </w:pPr>
      <w:r>
        <w:rPr>
          <w:rFonts w:hint="eastAsia" w:hAnsi="Times New Roman" w:eastAsia="宋体" w:cs="Times New Roman"/>
        </w:rPr>
        <w:t>检查中发现违法违规等情况的,视情采取制作现场笔录、初步提取证据、责令当事人停止违法活动、督促当事人整改等相应监管措施。责令停止违法活动与督促整改可以视情采取书面方式、口头方式等方式；</w:t>
      </w:r>
    </w:p>
    <w:p>
      <w:pPr>
        <w:pStyle w:val="236"/>
        <w:ind w:left="851" w:hanging="426"/>
        <w:rPr>
          <w:rFonts w:hAnsi="Times New Roman" w:eastAsia="宋体" w:cs="Times New Roman"/>
        </w:rPr>
      </w:pPr>
      <w:r>
        <w:rPr>
          <w:rFonts w:hint="eastAsia" w:hAnsi="Times New Roman" w:eastAsia="宋体" w:cs="Times New Roman"/>
        </w:rPr>
        <w:t>现场检查事项全部完成后,要求被检查对象在记录表上签字或盖章。被检查对象拒绝签字或盖章的，由执法检查组全体成员在记录表上签字说明。</w:t>
      </w:r>
    </w:p>
    <w:p>
      <w:pPr>
        <w:pStyle w:val="238"/>
        <w:spacing w:before="156" w:beforeLines="0" w:after="156" w:afterLines="0"/>
        <w:ind w:left="0" w:firstLine="0"/>
        <w:rPr>
          <w:rFonts w:hAnsi="Times New Roman" w:cs="Times New Roman"/>
        </w:rPr>
      </w:pPr>
      <w:r>
        <w:rPr>
          <w:rFonts w:hint="eastAsia" w:hAnsi="Times New Roman" w:cs="Times New Roman"/>
        </w:rPr>
        <w:t>录入结果与公示</w:t>
      </w:r>
    </w:p>
    <w:p>
      <w:pPr>
        <w:pStyle w:val="219"/>
        <w:ind w:firstLine="420"/>
        <w:rPr>
          <w:rFonts w:hAnsi="Times New Roman" w:eastAsia="宋体" w:cs="Times New Roman"/>
        </w:rPr>
      </w:pPr>
      <w:r>
        <w:rPr>
          <w:rFonts w:hint="eastAsia" w:hAnsi="Times New Roman" w:eastAsia="宋体" w:cs="Times New Roman"/>
        </w:rPr>
        <w:t>执法检查人员汇总各个事项检查情况，讨论确认检查表中的相关检查结果，并由具体负责检查的人员签字确认。在抽查任务截止前,执法检查人员将抽查检查结果录入省政府工作平台。该检查结果将被共享至国家</w:t>
      </w:r>
      <w:r>
        <w:rPr>
          <w:rFonts w:hAnsi="Times New Roman" w:eastAsia="宋体" w:cs="Times New Roman"/>
        </w:rPr>
        <w:t>企业信用信息</w:t>
      </w:r>
      <w:r>
        <w:rPr>
          <w:rFonts w:hint="eastAsia" w:hAnsi="Times New Roman" w:eastAsia="宋体" w:cs="Times New Roman"/>
        </w:rPr>
        <w:t>公示系统(山东)、信用中国(山东)网站等，向社会公示。</w:t>
      </w:r>
    </w:p>
    <w:p>
      <w:pPr>
        <w:pStyle w:val="230"/>
        <w:spacing w:before="312" w:beforeLines="0" w:after="312" w:afterLines="0"/>
        <w:ind w:left="0" w:firstLine="0"/>
        <w:rPr>
          <w:rFonts w:hAnsi="Times New Roman" w:cs="Times New Roman"/>
        </w:rPr>
      </w:pPr>
      <w:r>
        <w:rPr>
          <w:rFonts w:hint="eastAsia" w:hAnsi="Times New Roman" w:cs="Times New Roman"/>
        </w:rPr>
        <w:t>后续处理</w:t>
      </w:r>
    </w:p>
    <w:p>
      <w:pPr>
        <w:pStyle w:val="233"/>
        <w:spacing w:before="156" w:beforeLines="0" w:after="156" w:afterLines="0"/>
        <w:ind w:left="0" w:firstLine="0"/>
        <w:rPr>
          <w:rFonts w:hAnsi="Times New Roman" w:cs="Times New Roman"/>
        </w:rPr>
      </w:pPr>
      <w:r>
        <w:rPr>
          <w:rFonts w:hint="eastAsia" w:hAnsi="Times New Roman" w:cs="Times New Roman"/>
        </w:rPr>
        <w:t>列入统计失信名录</w:t>
      </w:r>
    </w:p>
    <w:p>
      <w:pPr>
        <w:pStyle w:val="219"/>
        <w:ind w:firstLine="420"/>
        <w:rPr>
          <w:rFonts w:hAnsi="Times New Roman" w:eastAsia="宋体" w:cs="Times New Roman"/>
        </w:rPr>
      </w:pPr>
      <w:r>
        <w:rPr>
          <w:rFonts w:hint="eastAsia" w:hAnsi="Times New Roman" w:eastAsia="宋体" w:cs="Times New Roman"/>
        </w:rPr>
        <w:t>将拒绝、阻碍统计检查、提供不真实或者不完整统计资料、迟报统计资料，并被评定为统计上一般失信、严重失信的检查对象，依法依规列入统计失信名录。</w:t>
      </w:r>
    </w:p>
    <w:p>
      <w:pPr>
        <w:pStyle w:val="233"/>
        <w:spacing w:before="156" w:beforeLines="0" w:after="156" w:afterLines="0"/>
        <w:ind w:left="0" w:firstLine="0"/>
        <w:rPr>
          <w:rFonts w:hAnsi="Times New Roman" w:cs="Times New Roman"/>
        </w:rPr>
      </w:pPr>
      <w:r>
        <w:rPr>
          <w:rFonts w:hint="eastAsia" w:hAnsi="Times New Roman" w:cs="Times New Roman"/>
        </w:rPr>
        <w:t>对外公示</w:t>
      </w:r>
    </w:p>
    <w:p>
      <w:pPr>
        <w:pStyle w:val="219"/>
        <w:ind w:firstLine="420"/>
        <w:rPr>
          <w:rFonts w:hAnsi="Times New Roman" w:eastAsia="宋体" w:cs="Times New Roman"/>
        </w:rPr>
      </w:pPr>
      <w:r>
        <w:rPr>
          <w:rFonts w:hint="eastAsia" w:hAnsi="Times New Roman" w:eastAsia="宋体" w:cs="Times New Roman"/>
        </w:rPr>
        <w:t>将拒绝、阻碍统计检查的、提供不真实或者不完整统计资料的、迟报统计资料的，并被评定为统计上一般失信、严重失信的检查对象，录入省政府工作平台，对外公示。</w:t>
      </w:r>
    </w:p>
    <w:p>
      <w:pPr>
        <w:pStyle w:val="233"/>
        <w:spacing w:before="156" w:beforeLines="0" w:after="156" w:afterLines="0"/>
        <w:ind w:left="0" w:firstLine="0"/>
        <w:rPr>
          <w:rFonts w:hAnsi="Times New Roman" w:cs="Times New Roman"/>
        </w:rPr>
      </w:pPr>
      <w:r>
        <w:rPr>
          <w:rFonts w:hint="eastAsia" w:hAnsi="Times New Roman" w:cs="Times New Roman"/>
        </w:rPr>
        <w:t>移交线索</w:t>
      </w:r>
    </w:p>
    <w:p>
      <w:pPr>
        <w:pStyle w:val="235"/>
        <w:spacing w:before="156" w:beforeLines="0" w:after="156" w:afterLines="0"/>
        <w:ind w:left="0" w:firstLine="0"/>
        <w:rPr>
          <w:rFonts w:hAnsi="Times New Roman" w:cs="Times New Roman"/>
        </w:rPr>
      </w:pPr>
      <w:r>
        <w:rPr>
          <w:rFonts w:hint="eastAsia" w:hAnsi="Times New Roman" w:cs="Times New Roman"/>
        </w:rPr>
        <w:t>统计系统内部移交</w:t>
      </w:r>
    </w:p>
    <w:p>
      <w:pPr>
        <w:pStyle w:val="219"/>
        <w:ind w:firstLine="420"/>
        <w:rPr>
          <w:rFonts w:hAnsi="Times New Roman" w:eastAsia="宋体" w:cs="Times New Roman"/>
        </w:rPr>
      </w:pPr>
      <w:r>
        <w:rPr>
          <w:rFonts w:hint="eastAsia" w:hAnsi="Times New Roman" w:eastAsia="宋体" w:cs="Times New Roman"/>
        </w:rPr>
        <w:t>对于抽查检查中发现的涉嫌违法违规线索，属于统计系统管辖范围的，作为案源移交统计系统执法监督机构依法实施后续处理。</w:t>
      </w:r>
    </w:p>
    <w:p>
      <w:pPr>
        <w:pStyle w:val="235"/>
        <w:spacing w:before="156" w:beforeLines="0" w:after="156" w:afterLines="0"/>
        <w:ind w:left="0" w:firstLine="0"/>
        <w:rPr>
          <w:rFonts w:hAnsi="Times New Roman" w:cs="Times New Roman"/>
        </w:rPr>
      </w:pPr>
      <w:r>
        <w:rPr>
          <w:rFonts w:hint="eastAsia" w:hAnsi="Times New Roman" w:cs="Times New Roman"/>
        </w:rPr>
        <w:t>政府监管部门之间移交</w:t>
      </w:r>
    </w:p>
    <w:p>
      <w:pPr>
        <w:pStyle w:val="219"/>
        <w:ind w:firstLine="420"/>
        <w:rPr>
          <w:rFonts w:hAnsi="Times New Roman" w:eastAsia="宋体" w:cs="Times New Roman"/>
        </w:rPr>
      </w:pPr>
      <w:r>
        <w:rPr>
          <w:rFonts w:hint="eastAsia" w:hAnsi="Times New Roman" w:eastAsia="宋体" w:cs="Times New Roman"/>
        </w:rPr>
        <w:t>对于抽查检查中发现的涉嫌违法违规线索，不属于统计系统管辖范围的，依法移交相关监管部门。</w:t>
      </w:r>
    </w:p>
    <w:p>
      <w:pPr>
        <w:pStyle w:val="230"/>
        <w:spacing w:before="312" w:beforeLines="0" w:after="312" w:afterLines="0"/>
        <w:ind w:left="0" w:firstLine="0"/>
        <w:rPr>
          <w:rFonts w:hAnsi="Times New Roman" w:cs="Times New Roman"/>
        </w:rPr>
      </w:pPr>
      <w:r>
        <w:rPr>
          <w:rFonts w:hint="eastAsia" w:hAnsi="Times New Roman" w:cs="Times New Roman"/>
        </w:rPr>
        <w:t>检查证据</w:t>
      </w:r>
    </w:p>
    <w:p>
      <w:pPr>
        <w:pStyle w:val="233"/>
        <w:spacing w:before="156" w:beforeLines="0" w:after="156" w:afterLines="0"/>
        <w:ind w:left="0" w:firstLine="0"/>
        <w:rPr>
          <w:rFonts w:hAnsi="Times New Roman" w:cs="Times New Roman"/>
        </w:rPr>
      </w:pPr>
      <w:r>
        <w:rPr>
          <w:rFonts w:hint="eastAsia" w:hAnsi="Times New Roman" w:cs="Times New Roman"/>
        </w:rPr>
        <w:t>证据种类</w:t>
      </w:r>
    </w:p>
    <w:p>
      <w:pPr>
        <w:pStyle w:val="235"/>
        <w:spacing w:before="156" w:beforeLines="0" w:after="156" w:afterLines="0"/>
        <w:ind w:left="0" w:firstLine="0"/>
        <w:rPr>
          <w:rFonts w:hAnsi="Times New Roman" w:cs="Times New Roman"/>
        </w:rPr>
      </w:pPr>
      <w:r>
        <w:rPr>
          <w:rFonts w:hint="eastAsia" w:hAnsi="Times New Roman" w:cs="Times New Roman"/>
        </w:rPr>
        <w:t>书证</w:t>
      </w:r>
    </w:p>
    <w:p>
      <w:pPr>
        <w:pStyle w:val="219"/>
        <w:ind w:firstLine="420"/>
        <w:rPr>
          <w:rFonts w:hAnsi="Times New Roman" w:eastAsia="宋体" w:cs="Times New Roman"/>
        </w:rPr>
      </w:pPr>
      <w:r>
        <w:rPr>
          <w:rFonts w:hint="eastAsia" w:hAnsi="Times New Roman" w:eastAsia="宋体" w:cs="Times New Roman"/>
        </w:rPr>
        <w:t>以其记载的文字、符号、图案等内容证明抽查检查情况的书面材料或者其他物品，例如账簿、报表、单据、凭证、文件、图片等。</w:t>
      </w:r>
    </w:p>
    <w:p>
      <w:pPr>
        <w:pStyle w:val="235"/>
        <w:spacing w:before="156" w:beforeLines="0" w:after="156" w:afterLines="0"/>
        <w:ind w:left="0" w:firstLine="0"/>
        <w:rPr>
          <w:rFonts w:hAnsi="Times New Roman" w:cs="Times New Roman"/>
        </w:rPr>
      </w:pPr>
      <w:r>
        <w:rPr>
          <w:rFonts w:hint="eastAsia" w:hAnsi="Times New Roman" w:cs="Times New Roman"/>
        </w:rPr>
        <w:t>物证</w:t>
      </w:r>
    </w:p>
    <w:p>
      <w:pPr>
        <w:pStyle w:val="219"/>
        <w:ind w:firstLine="420"/>
        <w:rPr>
          <w:rFonts w:hAnsi="Times New Roman" w:eastAsia="宋体" w:cs="Times New Roman"/>
        </w:rPr>
      </w:pPr>
      <w:r>
        <w:rPr>
          <w:rFonts w:hint="eastAsia" w:hAnsi="Times New Roman" w:eastAsia="宋体" w:cs="Times New Roman"/>
        </w:rPr>
        <w:t>抽查检查中提取的体现被检查对象外部特征、存在状况或内在属性的物品或者痕迹。</w:t>
      </w:r>
    </w:p>
    <w:p>
      <w:pPr>
        <w:pStyle w:val="235"/>
        <w:spacing w:before="156" w:beforeLines="0" w:after="156" w:afterLines="0"/>
        <w:ind w:left="0" w:firstLine="0"/>
        <w:rPr>
          <w:rFonts w:hAnsi="Times New Roman" w:cs="Times New Roman"/>
        </w:rPr>
      </w:pPr>
      <w:r>
        <w:rPr>
          <w:rFonts w:hint="eastAsia" w:hAnsi="Times New Roman" w:cs="Times New Roman"/>
        </w:rPr>
        <w:t>视听资料、电子数据</w:t>
      </w:r>
    </w:p>
    <w:p>
      <w:pPr>
        <w:pStyle w:val="219"/>
        <w:ind w:firstLine="420"/>
        <w:rPr>
          <w:rFonts w:hAnsi="Times New Roman" w:eastAsia="宋体" w:cs="Times New Roman"/>
        </w:rPr>
      </w:pPr>
      <w:r>
        <w:rPr>
          <w:rFonts w:hint="eastAsia" w:hAnsi="Times New Roman" w:eastAsia="宋体" w:cs="Times New Roman"/>
        </w:rPr>
        <w:t>利用录音、录像等手段记录取得的声音、影像或者其他信息资料。</w:t>
      </w:r>
    </w:p>
    <w:p>
      <w:pPr>
        <w:pStyle w:val="235"/>
        <w:spacing w:before="156" w:beforeLines="0" w:after="156" w:afterLines="0"/>
        <w:ind w:left="0" w:firstLine="0"/>
        <w:rPr>
          <w:rFonts w:hAnsi="Times New Roman" w:cs="Times New Roman"/>
        </w:rPr>
      </w:pPr>
      <w:r>
        <w:rPr>
          <w:rFonts w:hint="eastAsia" w:hAnsi="Times New Roman" w:cs="Times New Roman"/>
        </w:rPr>
        <w:t>第三方证明</w:t>
      </w:r>
    </w:p>
    <w:p>
      <w:pPr>
        <w:pStyle w:val="219"/>
        <w:ind w:firstLine="420"/>
        <w:rPr>
          <w:rFonts w:hAnsi="Times New Roman" w:eastAsia="宋体" w:cs="Times New Roman"/>
        </w:rPr>
      </w:pPr>
      <w:r>
        <w:rPr>
          <w:rFonts w:hint="eastAsia" w:hAnsi="Times New Roman" w:eastAsia="宋体" w:cs="Times New Roman"/>
        </w:rPr>
        <w:t>由统计部门委托的检验检测、审计核查等机构以及检查</w:t>
      </w:r>
      <w:r>
        <w:rPr>
          <w:rFonts w:hAnsi="Times New Roman" w:eastAsia="宋体" w:cs="Times New Roman"/>
        </w:rPr>
        <w:t>对象</w:t>
      </w:r>
      <w:r>
        <w:rPr>
          <w:rFonts w:hint="eastAsia" w:hAnsi="Times New Roman" w:eastAsia="宋体" w:cs="Times New Roman"/>
        </w:rPr>
        <w:t>所在地物业、街道办、居委会等第三方出具或</w:t>
      </w:r>
      <w:r>
        <w:rPr>
          <w:rFonts w:hAnsi="Times New Roman" w:eastAsia="宋体" w:cs="Times New Roman"/>
        </w:rPr>
        <w:t>签署</w:t>
      </w:r>
      <w:r>
        <w:rPr>
          <w:rFonts w:hint="eastAsia" w:hAnsi="Times New Roman" w:eastAsia="宋体" w:cs="Times New Roman"/>
        </w:rPr>
        <w:t>确认的检验检测报告、审计核查报告、实地</w:t>
      </w:r>
      <w:r>
        <w:rPr>
          <w:rFonts w:hAnsi="Times New Roman" w:eastAsia="宋体" w:cs="Times New Roman"/>
        </w:rPr>
        <w:t>核查表等</w:t>
      </w:r>
      <w:r>
        <w:rPr>
          <w:rFonts w:hint="eastAsia" w:hAnsi="Times New Roman" w:eastAsia="宋体" w:cs="Times New Roman"/>
        </w:rPr>
        <w:t>各类证明材料。</w:t>
      </w:r>
    </w:p>
    <w:p>
      <w:pPr>
        <w:pStyle w:val="235"/>
        <w:spacing w:before="156" w:beforeLines="0" w:after="156" w:afterLines="0"/>
        <w:ind w:left="0" w:firstLine="0"/>
        <w:rPr>
          <w:rFonts w:hAnsi="Times New Roman" w:cs="Times New Roman"/>
        </w:rPr>
      </w:pPr>
      <w:r>
        <w:rPr>
          <w:rFonts w:hint="eastAsia" w:hAnsi="Times New Roman" w:cs="Times New Roman"/>
        </w:rPr>
        <w:t>陈述材料</w:t>
      </w:r>
    </w:p>
    <w:p>
      <w:pPr>
        <w:pStyle w:val="219"/>
        <w:ind w:firstLine="420"/>
        <w:rPr>
          <w:rFonts w:hAnsi="Times New Roman" w:eastAsia="宋体" w:cs="Times New Roman"/>
        </w:rPr>
      </w:pPr>
      <w:r>
        <w:rPr>
          <w:rFonts w:hint="eastAsia" w:hAnsi="Times New Roman" w:eastAsia="宋体" w:cs="Times New Roman"/>
        </w:rPr>
        <w:t>被检查对象对抽查检查结果所作出的陈述申辩、有关情况说明等材料。</w:t>
      </w:r>
    </w:p>
    <w:p>
      <w:pPr>
        <w:pStyle w:val="235"/>
        <w:spacing w:before="156" w:beforeLines="0" w:after="156" w:afterLines="0"/>
        <w:ind w:left="0" w:firstLine="0"/>
        <w:rPr>
          <w:rFonts w:hAnsi="Times New Roman" w:cs="Times New Roman"/>
        </w:rPr>
      </w:pPr>
      <w:r>
        <w:rPr>
          <w:rFonts w:hint="eastAsia" w:hAnsi="Times New Roman" w:cs="Times New Roman"/>
        </w:rPr>
        <w:t>其他证据</w:t>
      </w:r>
    </w:p>
    <w:p>
      <w:pPr>
        <w:pStyle w:val="219"/>
        <w:ind w:firstLine="420"/>
        <w:rPr>
          <w:rFonts w:hAnsi="Times New Roman" w:eastAsia="宋体" w:cs="Times New Roman"/>
        </w:rPr>
      </w:pPr>
      <w:r>
        <w:rPr>
          <w:rFonts w:hint="eastAsia" w:hAnsi="Times New Roman" w:eastAsia="宋体" w:cs="Times New Roman"/>
        </w:rPr>
        <w:t>执法检查人员根据抽查检查需要，所作出的现场检查笔录、询问</w:t>
      </w:r>
      <w:r>
        <w:rPr>
          <w:rFonts w:hAnsi="Times New Roman" w:eastAsia="宋体" w:cs="Times New Roman"/>
        </w:rPr>
        <w:t>笔录、</w:t>
      </w:r>
      <w:r>
        <w:rPr>
          <w:rFonts w:hint="eastAsia" w:hAnsi="Times New Roman" w:eastAsia="宋体" w:cs="Times New Roman"/>
        </w:rPr>
        <w:t>约谈记录、会议纪要等其他有关材料。</w:t>
      </w:r>
    </w:p>
    <w:p>
      <w:pPr>
        <w:pStyle w:val="233"/>
        <w:spacing w:before="156" w:beforeLines="0" w:after="156" w:afterLines="0"/>
        <w:ind w:left="0" w:firstLine="0"/>
        <w:rPr>
          <w:rFonts w:hAnsi="Times New Roman" w:cs="Times New Roman"/>
        </w:rPr>
      </w:pPr>
      <w:r>
        <w:rPr>
          <w:rFonts w:hint="eastAsia" w:hAnsi="Times New Roman" w:cs="Times New Roman"/>
        </w:rPr>
        <w:t>证据收集</w:t>
      </w:r>
    </w:p>
    <w:p>
      <w:pPr>
        <w:pStyle w:val="219"/>
        <w:ind w:firstLine="420"/>
        <w:rPr>
          <w:rFonts w:hAnsi="Times New Roman" w:eastAsia="宋体" w:cs="Times New Roman"/>
        </w:rPr>
      </w:pPr>
      <w:r>
        <w:rPr>
          <w:rFonts w:hint="eastAsia" w:hAnsi="Times New Roman" w:eastAsia="宋体" w:cs="Times New Roman"/>
        </w:rPr>
        <w:t>可以采取以下方式收集证据：</w:t>
      </w:r>
    </w:p>
    <w:p>
      <w:pPr>
        <w:pStyle w:val="236"/>
        <w:numPr>
          <w:ilvl w:val="0"/>
          <w:numId w:val="9"/>
        </w:numPr>
        <w:ind w:left="851" w:hanging="426"/>
        <w:rPr>
          <w:rFonts w:hAnsi="Times New Roman" w:eastAsia="宋体" w:cs="Times New Roman"/>
        </w:rPr>
      </w:pPr>
      <w:r>
        <w:rPr>
          <w:rFonts w:hint="eastAsia" w:hAnsi="Times New Roman" w:eastAsia="宋体" w:cs="Times New Roman"/>
        </w:rPr>
        <w:t>现场检查：进入当事人的营业场所或者其他有关场所进行检查并提取有关证据；</w:t>
      </w:r>
    </w:p>
    <w:p>
      <w:pPr>
        <w:pStyle w:val="236"/>
        <w:ind w:left="851" w:hanging="426"/>
        <w:rPr>
          <w:rFonts w:hAnsi="Times New Roman" w:eastAsia="宋体" w:cs="Times New Roman"/>
        </w:rPr>
      </w:pPr>
      <w:r>
        <w:rPr>
          <w:rFonts w:hint="eastAsia" w:hAnsi="Times New Roman" w:eastAsia="宋体" w:cs="Times New Roman"/>
        </w:rPr>
        <w:t>非现场检查：通过本部门业务系统、档案资料等途径，收集、掌握被检查对象的相关数据、资料；</w:t>
      </w:r>
    </w:p>
    <w:p>
      <w:pPr>
        <w:pStyle w:val="236"/>
        <w:ind w:left="851" w:hanging="426"/>
        <w:rPr>
          <w:rFonts w:hAnsi="Times New Roman" w:eastAsia="宋体" w:cs="Times New Roman"/>
        </w:rPr>
      </w:pPr>
      <w:r>
        <w:rPr>
          <w:rFonts w:hint="eastAsia" w:hAnsi="Times New Roman" w:eastAsia="宋体" w:cs="Times New Roman"/>
        </w:rPr>
        <w:t>听取陈述：通过听取被检查对象的口头陈述或提供书面情况说明等途径，形成检查结论补充证明材料。</w:t>
      </w:r>
    </w:p>
    <w:p>
      <w:pPr>
        <w:pStyle w:val="233"/>
        <w:spacing w:before="156" w:beforeLines="0" w:after="156" w:afterLines="0"/>
        <w:ind w:left="0" w:firstLine="0"/>
        <w:rPr>
          <w:rFonts w:hAnsi="Times New Roman" w:cs="Times New Roman"/>
        </w:rPr>
      </w:pPr>
      <w:r>
        <w:rPr>
          <w:rFonts w:hint="eastAsia" w:hAnsi="Times New Roman" w:cs="Times New Roman"/>
        </w:rPr>
        <w:t>证据要求</w:t>
      </w:r>
    </w:p>
    <w:p>
      <w:pPr>
        <w:pStyle w:val="235"/>
        <w:spacing w:before="156" w:beforeLines="0" w:after="156" w:afterLines="0"/>
        <w:ind w:left="0" w:firstLine="0"/>
        <w:rPr>
          <w:rFonts w:hAnsi="Times New Roman" w:cs="Times New Roman"/>
        </w:rPr>
      </w:pPr>
      <w:r>
        <w:rPr>
          <w:rFonts w:hint="eastAsia" w:hAnsi="Times New Roman" w:cs="Times New Roman"/>
        </w:rPr>
        <w:t>一致性</w:t>
      </w:r>
    </w:p>
    <w:p>
      <w:pPr>
        <w:pStyle w:val="219"/>
        <w:ind w:firstLine="420"/>
        <w:rPr>
          <w:rFonts w:hAnsi="Times New Roman" w:eastAsia="宋体" w:cs="Times New Roman"/>
        </w:rPr>
      </w:pPr>
      <w:r>
        <w:rPr>
          <w:rFonts w:hint="eastAsia" w:hAnsi="Times New Roman" w:eastAsia="宋体" w:cs="Times New Roman"/>
        </w:rPr>
        <w:t>提取的各类书证材料应当认真核对正本、副本，取得复印件要与原件保持一致。</w:t>
      </w:r>
    </w:p>
    <w:p>
      <w:pPr>
        <w:pStyle w:val="235"/>
        <w:spacing w:before="156" w:beforeLines="0" w:after="156" w:afterLines="0"/>
        <w:ind w:left="0" w:firstLine="0"/>
        <w:rPr>
          <w:rFonts w:hAnsi="Times New Roman" w:cs="Times New Roman"/>
        </w:rPr>
      </w:pPr>
      <w:r>
        <w:rPr>
          <w:rFonts w:hint="eastAsia" w:hAnsi="Times New Roman" w:cs="Times New Roman"/>
        </w:rPr>
        <w:t>真实性</w:t>
      </w:r>
    </w:p>
    <w:p>
      <w:pPr>
        <w:pStyle w:val="219"/>
        <w:ind w:firstLine="420"/>
        <w:rPr>
          <w:rFonts w:hAnsi="Times New Roman" w:eastAsia="宋体" w:cs="Times New Roman"/>
        </w:rPr>
      </w:pPr>
      <w:r>
        <w:rPr>
          <w:rFonts w:hint="eastAsia" w:hAnsi="Times New Roman" w:eastAsia="宋体" w:cs="Times New Roman"/>
        </w:rPr>
        <w:t>取得的各类证据要确保真实性，提取的复印件均应加盖被检查对象公章，提取的第三方证明</w:t>
      </w:r>
      <w:r>
        <w:rPr>
          <w:rFonts w:hAnsi="Times New Roman" w:eastAsia="宋体" w:cs="Times New Roman"/>
        </w:rPr>
        <w:t>材料</w:t>
      </w:r>
      <w:r>
        <w:rPr>
          <w:rFonts w:hint="eastAsia" w:hAnsi="Times New Roman" w:eastAsia="宋体" w:cs="Times New Roman"/>
        </w:rPr>
        <w:t>应当盖章或由当事人签字确认。</w:t>
      </w:r>
    </w:p>
    <w:p>
      <w:pPr>
        <w:pStyle w:val="235"/>
        <w:spacing w:before="156" w:beforeLines="0" w:after="156" w:afterLines="0"/>
        <w:ind w:left="0" w:firstLine="0"/>
        <w:rPr>
          <w:rFonts w:hAnsi="Times New Roman" w:cs="Times New Roman"/>
        </w:rPr>
      </w:pPr>
      <w:r>
        <w:rPr>
          <w:rFonts w:hint="eastAsia" w:hAnsi="Times New Roman" w:cs="Times New Roman"/>
        </w:rPr>
        <w:t>完整性</w:t>
      </w:r>
    </w:p>
    <w:p>
      <w:pPr>
        <w:pStyle w:val="219"/>
        <w:ind w:firstLine="420"/>
        <w:rPr>
          <w:rFonts w:hAnsi="Times New Roman" w:eastAsia="宋体" w:cs="Times New Roman"/>
        </w:rPr>
      </w:pPr>
      <w:r>
        <w:rPr>
          <w:rFonts w:hint="eastAsia" w:hAnsi="Times New Roman" w:eastAsia="宋体" w:cs="Times New Roman"/>
        </w:rPr>
        <w:t>提取的证据材料应当足以认定所作出的抽查检查结论。</w:t>
      </w:r>
    </w:p>
    <w:p>
      <w:pPr>
        <w:pStyle w:val="230"/>
        <w:spacing w:before="312" w:beforeLines="0" w:after="312" w:afterLines="0"/>
        <w:ind w:left="0" w:firstLine="0"/>
        <w:rPr>
          <w:rFonts w:hAnsi="Times New Roman" w:cs="Times New Roman"/>
        </w:rPr>
      </w:pPr>
      <w:r>
        <w:rPr>
          <w:rFonts w:hint="eastAsia" w:hAnsi="Times New Roman" w:cs="Times New Roman"/>
        </w:rPr>
        <w:t>档案管理</w:t>
      </w:r>
    </w:p>
    <w:p>
      <w:pPr>
        <w:pStyle w:val="233"/>
        <w:spacing w:before="156" w:beforeLines="0" w:after="156" w:afterLines="0"/>
        <w:ind w:left="0" w:firstLine="0"/>
        <w:rPr>
          <w:rFonts w:hAnsi="Times New Roman" w:cs="Times New Roman"/>
        </w:rPr>
      </w:pPr>
      <w:r>
        <w:rPr>
          <w:rFonts w:hint="eastAsia" w:hAnsi="Times New Roman" w:cs="Times New Roman"/>
        </w:rPr>
        <w:t>管理原则</w:t>
      </w:r>
    </w:p>
    <w:p>
      <w:pPr>
        <w:pStyle w:val="219"/>
        <w:ind w:firstLine="420"/>
        <w:rPr>
          <w:rFonts w:hAnsi="Times New Roman" w:eastAsia="宋体" w:cs="Times New Roman"/>
        </w:rPr>
      </w:pPr>
      <w:r>
        <w:rPr>
          <w:rFonts w:hint="eastAsia" w:hAnsi="Times New Roman" w:eastAsia="宋体" w:cs="Times New Roman"/>
        </w:rPr>
        <w:t>档案实行专业管理，各专业处室应当根据本专业有关法律法规规章等规定以及</w:t>
      </w:r>
      <w:r>
        <w:rPr>
          <w:rFonts w:hAnsi="Times New Roman" w:eastAsia="宋体" w:cs="Times New Roman"/>
        </w:rPr>
        <w:t>档案管理规定</w:t>
      </w:r>
      <w:r>
        <w:rPr>
          <w:rFonts w:hint="eastAsia" w:hAnsi="Times New Roman" w:eastAsia="宋体" w:cs="Times New Roman"/>
        </w:rPr>
        <w:t>，制定本</w:t>
      </w:r>
      <w:r>
        <w:rPr>
          <w:rFonts w:hAnsi="Times New Roman" w:eastAsia="宋体" w:cs="Times New Roman"/>
        </w:rPr>
        <w:t>专业</w:t>
      </w:r>
      <w:r>
        <w:rPr>
          <w:rFonts w:hint="eastAsia" w:hAnsi="Times New Roman" w:eastAsia="宋体" w:cs="Times New Roman"/>
        </w:rPr>
        <w:t>档案管理制度，明确归档材料内容、装订要求、归档期限等，并负责档案的日常保管。</w:t>
      </w:r>
    </w:p>
    <w:p>
      <w:pPr>
        <w:pStyle w:val="233"/>
        <w:spacing w:before="156" w:beforeLines="0" w:after="156" w:afterLines="0"/>
        <w:ind w:left="0" w:firstLine="0"/>
        <w:rPr>
          <w:rFonts w:hAnsi="Times New Roman" w:cs="Times New Roman"/>
        </w:rPr>
      </w:pPr>
      <w:r>
        <w:rPr>
          <w:rFonts w:hint="eastAsia" w:hAnsi="Times New Roman" w:cs="Times New Roman"/>
        </w:rPr>
        <w:t>委托管理</w:t>
      </w:r>
    </w:p>
    <w:p>
      <w:pPr>
        <w:pStyle w:val="219"/>
        <w:ind w:firstLine="420"/>
        <w:rPr>
          <w:rFonts w:hAnsi="Times New Roman" w:eastAsia="宋体" w:cs="Times New Roman"/>
        </w:rPr>
      </w:pPr>
      <w:r>
        <w:rPr>
          <w:rFonts w:hint="eastAsia" w:hAnsi="Times New Roman" w:eastAsia="宋体" w:cs="Times New Roman"/>
        </w:rPr>
        <w:t>根据工作需要，“</w:t>
      </w:r>
      <w:r>
        <w:rPr>
          <w:rFonts w:hAnsi="Times New Roman" w:eastAsia="宋体" w:cs="Times New Roman"/>
        </w:rPr>
        <w:t>双随机、一公开”监管工作</w:t>
      </w:r>
      <w:r>
        <w:rPr>
          <w:rFonts w:hint="eastAsia" w:hAnsi="Times New Roman" w:eastAsia="宋体" w:cs="Times New Roman"/>
        </w:rPr>
        <w:t>档案可以委托第三方统一整理、归档。</w:t>
      </w:r>
    </w:p>
    <w:p>
      <w:pPr>
        <w:pStyle w:val="233"/>
        <w:spacing w:before="156" w:beforeLines="0" w:after="156" w:afterLines="0"/>
        <w:ind w:left="0" w:firstLine="0"/>
        <w:rPr>
          <w:rFonts w:hAnsi="Times New Roman" w:cs="Times New Roman"/>
        </w:rPr>
      </w:pPr>
      <w:r>
        <w:rPr>
          <w:rFonts w:hint="eastAsia" w:hAnsi="Times New Roman" w:cs="Times New Roman"/>
        </w:rPr>
        <w:t>管理要求</w:t>
      </w:r>
    </w:p>
    <w:p>
      <w:pPr>
        <w:pStyle w:val="219"/>
        <w:ind w:firstLine="420"/>
        <w:rPr>
          <w:rFonts w:hAnsi="Times New Roman" w:eastAsia="宋体" w:cs="Times New Roman"/>
        </w:rPr>
      </w:pPr>
      <w:r>
        <w:rPr>
          <w:rFonts w:hint="eastAsia" w:hAnsi="Times New Roman" w:eastAsia="宋体" w:cs="Times New Roman"/>
        </w:rPr>
        <w:t>档案材料一经归档，未经批准不得擅自抽取、涂改、增删卷内文书材料，确需修改的，应当详细记录修改的时间、内容、原因和</w:t>
      </w:r>
      <w:r>
        <w:rPr>
          <w:rFonts w:hAnsi="Times New Roman" w:eastAsia="宋体" w:cs="Times New Roman"/>
        </w:rPr>
        <w:t>经办人</w:t>
      </w:r>
      <w:r>
        <w:rPr>
          <w:rFonts w:hint="eastAsia" w:hAnsi="Times New Roman" w:eastAsia="宋体" w:cs="Times New Roman"/>
        </w:rPr>
        <w:t>、</w:t>
      </w:r>
      <w:r>
        <w:rPr>
          <w:rFonts w:hAnsi="Times New Roman" w:eastAsia="宋体" w:cs="Times New Roman"/>
        </w:rPr>
        <w:t>审定人</w:t>
      </w:r>
      <w:r>
        <w:rPr>
          <w:rFonts w:hint="eastAsia" w:hAnsi="Times New Roman" w:eastAsia="宋体" w:cs="Times New Roman"/>
        </w:rPr>
        <w:t>等信息。</w:t>
      </w:r>
    </w:p>
    <w:p>
      <w:pPr>
        <w:pStyle w:val="233"/>
        <w:spacing w:before="156" w:beforeLines="0" w:after="156" w:afterLines="0"/>
        <w:ind w:left="0" w:firstLine="0"/>
        <w:rPr>
          <w:rFonts w:hAnsi="Times New Roman" w:cs="Times New Roman"/>
        </w:rPr>
      </w:pPr>
      <w:r>
        <w:rPr>
          <w:rFonts w:hint="eastAsia" w:hAnsi="Times New Roman" w:cs="Times New Roman"/>
        </w:rPr>
        <w:t>档案利用</w:t>
      </w:r>
    </w:p>
    <w:p>
      <w:pPr>
        <w:pStyle w:val="234"/>
        <w:ind w:left="0" w:firstLine="0"/>
        <w:rPr>
          <w:rFonts w:hAnsi="Times New Roman" w:cs="Times New Roman"/>
        </w:rPr>
      </w:pPr>
      <w:r>
        <w:rPr>
          <w:rFonts w:hint="eastAsia" w:hAnsi="Times New Roman" w:cs="Times New Roman"/>
        </w:rPr>
        <w:t>档案未经批准不得擅自查阅、外借，档案资料未经批准，不得复印、散播。</w:t>
      </w:r>
    </w:p>
    <w:p>
      <w:pPr>
        <w:pStyle w:val="234"/>
        <w:ind w:left="0" w:firstLine="0"/>
        <w:rPr>
          <w:rFonts w:hAnsi="Times New Roman" w:cs="Times New Roman"/>
        </w:rPr>
      </w:pPr>
      <w:r>
        <w:rPr>
          <w:rFonts w:hint="eastAsia" w:hAnsi="Times New Roman" w:cs="Times New Roman"/>
        </w:rPr>
        <w:t>借阅档案应当报经处室负责人、分管局领导同意，并履行借阅登记手续。</w:t>
      </w:r>
    </w:p>
    <w:p>
      <w:pPr>
        <w:pStyle w:val="234"/>
        <w:ind w:left="0" w:firstLine="0"/>
        <w:rPr>
          <w:rFonts w:hAnsi="Times New Roman" w:cs="Times New Roman"/>
        </w:rPr>
      </w:pPr>
      <w:r>
        <w:rPr>
          <w:rFonts w:hint="eastAsia" w:hAnsi="Times New Roman" w:cs="Times New Roman"/>
        </w:rPr>
        <w:t>严格遵守保密有关制度规定，不得违反档案管理规定擅自向任何单位或者个人提供档案资料。</w:t>
      </w:r>
    </w:p>
    <w:p>
      <w:pPr>
        <w:pStyle w:val="234"/>
        <w:ind w:left="0" w:firstLine="0"/>
        <w:rPr>
          <w:rFonts w:hAnsi="Times New Roman" w:cs="Times New Roman"/>
        </w:rPr>
      </w:pPr>
      <w:r>
        <w:rPr>
          <w:rFonts w:hint="eastAsia" w:hAnsi="Times New Roman" w:cs="Times New Roman"/>
        </w:rPr>
        <w:t>档案借阅归还后，档案管理人员应当认真核对档案有无拆封、短缺、污损等情况，发现问题及时报告并注明有关情况。</w:t>
      </w:r>
    </w:p>
    <w:p>
      <w:pPr>
        <w:pStyle w:val="230"/>
        <w:spacing w:before="312" w:beforeLines="0" w:after="312" w:afterLines="0"/>
        <w:ind w:left="0" w:firstLine="0"/>
        <w:rPr>
          <w:rFonts w:hAnsi="Times New Roman" w:cs="Times New Roman"/>
        </w:rPr>
      </w:pPr>
      <w:r>
        <w:rPr>
          <w:rFonts w:hint="eastAsia" w:hAnsi="Times New Roman" w:cs="Times New Roman"/>
        </w:rPr>
        <w:t>监督管理</w:t>
      </w:r>
    </w:p>
    <w:p>
      <w:pPr>
        <w:pStyle w:val="232"/>
        <w:ind w:left="0" w:firstLine="0"/>
        <w:rPr>
          <w:rFonts w:hAnsi="Times New Roman" w:cs="Times New Roman"/>
        </w:rPr>
      </w:pPr>
      <w:r>
        <w:rPr>
          <w:rFonts w:hint="eastAsia" w:hAnsi="Times New Roman" w:cs="Times New Roman"/>
        </w:rPr>
        <w:t>统计系统及其执法检查人员在“双随机、一公开”监管中存在下列情形之一、相关监管对象出现问题的，可以免除行政责任：</w:t>
      </w:r>
    </w:p>
    <w:p>
      <w:pPr>
        <w:pStyle w:val="236"/>
        <w:numPr>
          <w:ilvl w:val="0"/>
          <w:numId w:val="10"/>
        </w:numPr>
        <w:ind w:left="851" w:hanging="426"/>
        <w:rPr>
          <w:rFonts w:hAnsi="Times New Roman" w:eastAsia="宋体" w:cs="Times New Roman"/>
        </w:rPr>
      </w:pPr>
      <w:r>
        <w:rPr>
          <w:rFonts w:hint="eastAsia" w:hAnsi="Times New Roman" w:eastAsia="宋体" w:cs="Times New Roman"/>
        </w:rPr>
        <w:t>按照法律法规规章规定和抽查工作计划安排，已履行抽查检查职责的；</w:t>
      </w:r>
    </w:p>
    <w:p>
      <w:pPr>
        <w:pStyle w:val="236"/>
        <w:ind w:left="851" w:hanging="426"/>
        <w:rPr>
          <w:rFonts w:hAnsi="Times New Roman" w:eastAsia="宋体" w:cs="Times New Roman"/>
        </w:rPr>
      </w:pPr>
      <w:r>
        <w:rPr>
          <w:rFonts w:hint="eastAsia" w:hAnsi="Times New Roman" w:eastAsia="宋体" w:cs="Times New Roman"/>
        </w:rPr>
        <w:t>因现有专业技术手段限制不能发现所存在问题的；</w:t>
      </w:r>
    </w:p>
    <w:p>
      <w:pPr>
        <w:pStyle w:val="236"/>
        <w:ind w:left="851" w:hanging="426"/>
        <w:rPr>
          <w:rFonts w:hAnsi="Times New Roman" w:eastAsia="宋体" w:cs="Times New Roman"/>
        </w:rPr>
      </w:pPr>
      <w:r>
        <w:rPr>
          <w:rFonts w:hint="eastAsia" w:hAnsi="Times New Roman" w:eastAsia="宋体" w:cs="Times New Roman"/>
        </w:rPr>
        <w:t>检查对象发生事故，性质上与执法检查人员的抽查检查不存在因果关系的；</w:t>
      </w:r>
    </w:p>
    <w:p>
      <w:pPr>
        <w:pStyle w:val="236"/>
        <w:ind w:left="851" w:hanging="426"/>
        <w:rPr>
          <w:rFonts w:hAnsi="Times New Roman" w:eastAsia="宋体" w:cs="Times New Roman"/>
        </w:rPr>
      </w:pPr>
      <w:r>
        <w:rPr>
          <w:rFonts w:hint="eastAsia" w:hAnsi="Times New Roman" w:eastAsia="宋体" w:cs="Times New Roman"/>
        </w:rPr>
        <w:t>因被委托进行检查的专业机构出具虚假报告等，导致错误判定或者处理的；</w:t>
      </w:r>
    </w:p>
    <w:p>
      <w:pPr>
        <w:pStyle w:val="236"/>
        <w:ind w:left="851" w:hanging="426"/>
        <w:rPr>
          <w:rFonts w:hAnsi="Times New Roman" w:eastAsia="宋体" w:cs="Times New Roman"/>
        </w:rPr>
      </w:pPr>
      <w:r>
        <w:rPr>
          <w:rFonts w:hint="eastAsia" w:hAnsi="Times New Roman" w:eastAsia="宋体" w:cs="Times New Roman"/>
        </w:rPr>
        <w:t>其他依法依规不应当追究责任的。</w:t>
      </w:r>
    </w:p>
    <w:p>
      <w:pPr>
        <w:pStyle w:val="232"/>
        <w:ind w:left="0" w:firstLine="0"/>
        <w:rPr>
          <w:rFonts w:hAnsi="Times New Roman" w:cs="Times New Roman"/>
        </w:rPr>
      </w:pPr>
      <w:r>
        <w:rPr>
          <w:rFonts w:hint="eastAsia" w:hAnsi="Times New Roman" w:cs="Times New Roman"/>
        </w:rPr>
        <w:t>统计系统及其执法检查人员在“双随机、一公开”监管中存在下列情形之一、相关监管对象出现问题的，应当承担行政责任：</w:t>
      </w:r>
    </w:p>
    <w:p>
      <w:pPr>
        <w:pStyle w:val="236"/>
        <w:numPr>
          <w:ilvl w:val="0"/>
          <w:numId w:val="11"/>
        </w:numPr>
        <w:ind w:left="851" w:hanging="426"/>
        <w:rPr>
          <w:rFonts w:hAnsi="Times New Roman" w:eastAsia="宋体" w:cs="Times New Roman"/>
        </w:rPr>
      </w:pPr>
      <w:r>
        <w:rPr>
          <w:rFonts w:hint="eastAsia" w:hAnsi="Times New Roman" w:eastAsia="宋体" w:cs="Times New Roman"/>
        </w:rPr>
        <w:t>未按要求进行抽查检查,造成不良后果的；</w:t>
      </w:r>
    </w:p>
    <w:p>
      <w:pPr>
        <w:pStyle w:val="236"/>
        <w:ind w:left="851" w:hanging="426"/>
        <w:rPr>
          <w:rFonts w:hAnsi="Times New Roman" w:eastAsia="宋体" w:cs="Times New Roman"/>
        </w:rPr>
      </w:pPr>
      <w:r>
        <w:rPr>
          <w:rFonts w:hint="eastAsia" w:hAnsi="Times New Roman" w:eastAsia="宋体" w:cs="Times New Roman"/>
        </w:rPr>
        <w:t>未依法及时公示抽查检查结果，造成不良后果的；</w:t>
      </w:r>
    </w:p>
    <w:p>
      <w:pPr>
        <w:pStyle w:val="236"/>
        <w:ind w:left="851" w:hanging="426"/>
        <w:rPr>
          <w:rFonts w:hAnsi="Times New Roman" w:eastAsia="宋体" w:cs="Times New Roman"/>
        </w:rPr>
      </w:pPr>
      <w:r>
        <w:rPr>
          <w:rFonts w:hint="eastAsia" w:hAnsi="Times New Roman" w:eastAsia="宋体" w:cs="Times New Roman"/>
        </w:rPr>
        <w:t>对抽查检查中发现的涉嫌犯罪案件，未依法移送公安机关处理的；</w:t>
      </w:r>
    </w:p>
    <w:p>
      <w:pPr>
        <w:pStyle w:val="236"/>
        <w:ind w:left="851" w:hanging="426"/>
        <w:rPr>
          <w:rFonts w:hAnsi="Times New Roman" w:eastAsia="宋体" w:cs="Times New Roman"/>
        </w:rPr>
      </w:pPr>
      <w:r>
        <w:rPr>
          <w:rFonts w:hint="eastAsia" w:hAnsi="Times New Roman" w:eastAsia="宋体" w:cs="Times New Roman"/>
        </w:rPr>
        <w:t>不执行或者拖延执行抽查任务的；</w:t>
      </w:r>
    </w:p>
    <w:p>
      <w:pPr>
        <w:pStyle w:val="236"/>
        <w:ind w:left="851" w:hanging="426"/>
        <w:rPr>
          <w:rFonts w:hAnsi="Times New Roman" w:eastAsia="宋体" w:cs="Times New Roman"/>
        </w:rPr>
      </w:pPr>
      <w:r>
        <w:rPr>
          <w:rFonts w:hint="eastAsia" w:hAnsi="Times New Roman" w:eastAsia="宋体" w:cs="Times New Roman"/>
        </w:rPr>
        <w:t>抽查检查过程中走过场，搞形式主义的；</w:t>
      </w:r>
    </w:p>
    <w:p>
      <w:pPr>
        <w:pStyle w:val="236"/>
        <w:ind w:left="851" w:hanging="426"/>
        <w:rPr>
          <w:rFonts w:hAnsi="Times New Roman" w:eastAsia="宋体" w:cs="Times New Roman"/>
        </w:rPr>
      </w:pPr>
      <w:r>
        <w:rPr>
          <w:rFonts w:hint="eastAsia" w:hAnsi="Times New Roman" w:eastAsia="宋体" w:cs="Times New Roman"/>
        </w:rPr>
        <w:t>其他依法依规应当追究责任的。</w:t>
      </w:r>
    </w:p>
    <w:p>
      <w:pPr>
        <w:pStyle w:val="232"/>
        <w:ind w:left="0" w:firstLine="0"/>
        <w:rPr>
          <w:rFonts w:hAnsi="Times New Roman" w:cs="Times New Roman"/>
        </w:rPr>
      </w:pPr>
      <w:r>
        <w:rPr>
          <w:rFonts w:hint="eastAsia" w:hAnsi="Times New Roman" w:cs="Times New Roman"/>
        </w:rPr>
        <w:t>对存在违反档案管理规定、廉洁纪律规定等其他情形的，由有关部门按有关规定依法处理。</w:t>
      </w:r>
    </w:p>
    <w:p>
      <w:pPr>
        <w:pStyle w:val="230"/>
        <w:spacing w:before="312" w:beforeLines="0" w:after="312" w:afterLines="0"/>
        <w:ind w:left="0" w:firstLine="0"/>
        <w:rPr>
          <w:rFonts w:hAnsi="Times New Roman" w:cs="Times New Roman"/>
        </w:rPr>
      </w:pPr>
      <w:r>
        <w:rPr>
          <w:rFonts w:hint="eastAsia" w:hAnsi="Times New Roman" w:cs="Times New Roman"/>
        </w:rPr>
        <w:t>分则</w:t>
      </w:r>
    </w:p>
    <w:p>
      <w:pPr>
        <w:pStyle w:val="219"/>
        <w:ind w:firstLine="420"/>
        <w:rPr>
          <w:rFonts w:hAnsi="Times New Roman" w:eastAsia="宋体" w:cs="Times New Roman"/>
        </w:rPr>
      </w:pPr>
      <w:r>
        <w:rPr>
          <w:rFonts w:hint="eastAsia" w:hAnsi="Times New Roman" w:eastAsia="宋体" w:cs="Times New Roman"/>
        </w:rPr>
        <w:t>各专业应当根据总则要求，分别制定本专业各检查事项的实施分则，明确本专业各检查事项的检查程序、证据提取、结果认定标准、档案管理等具体规定。</w:t>
      </w:r>
    </w:p>
    <w:bookmarkEnd w:id="2"/>
    <w:p>
      <w:pPr>
        <w:pStyle w:val="219"/>
        <w:ind w:firstLine="420"/>
        <w:rPr>
          <w:rFonts w:hAnsi="Times New Roman" w:eastAsia="宋体" w:cs="Times New Roman"/>
        </w:rPr>
        <w:sectPr>
          <w:footerReference r:id="rId15" w:type="first"/>
          <w:headerReference r:id="rId12" w:type="default"/>
          <w:footerReference r:id="rId13" w:type="default"/>
          <w:footerReference r:id="rId14" w:type="even"/>
          <w:pgSz w:w="11906" w:h="16838"/>
          <w:pgMar w:top="2098" w:right="1474" w:bottom="1984" w:left="1587" w:header="1417" w:footer="1134" w:gutter="0"/>
          <w:pgNumType w:fmt="numberInDash" w:start="2"/>
          <w:cols w:space="720" w:num="1"/>
          <w:docGrid w:type="lines" w:linePitch="312" w:charSpace="0"/>
        </w:sectPr>
      </w:pPr>
    </w:p>
    <w:p>
      <w:pPr>
        <w:pStyle w:val="241"/>
        <w:rPr>
          <w:rFonts w:ascii="Times New Roman"/>
        </w:rPr>
      </w:pPr>
      <w:r>
        <w:rPr>
          <w:rFonts w:hint="eastAsia"/>
        </w:rPr>
        <w:t>青岛市统计局标</w:t>
      </w:r>
      <w:r>
        <w:rPr>
          <w:rFonts w:hint="eastAsia" w:ascii="Times New Roman"/>
        </w:rPr>
        <w:t>准</w:t>
      </w:r>
    </w:p>
    <w:p>
      <w:pPr>
        <w:pStyle w:val="242"/>
      </w:pPr>
      <w:r>
        <w:rPr>
          <w:rFonts w:ascii="Times New Roman"/>
        </w:rPr>
        <w:t>Q/</w:t>
      </w:r>
      <w:r>
        <w:rPr>
          <w:rFonts w:hint="eastAsia" w:ascii="Times New Roman"/>
        </w:rPr>
        <w:t>QD</w:t>
      </w:r>
      <w:r>
        <w:rPr>
          <w:rFonts w:ascii="Times New Roman"/>
        </w:rPr>
        <w:t>MSB</w:t>
      </w:r>
      <w:r>
        <w:t xml:space="preserve"> 000</w:t>
      </w:r>
      <w:r>
        <w:rPr>
          <w:rFonts w:hint="eastAsia"/>
          <w:lang w:val="en-US" w:eastAsia="zh-CN"/>
        </w:rPr>
        <w:t>2</w:t>
      </w:r>
      <w:r>
        <w:t>—</w:t>
      </w:r>
      <w:r>
        <w:rPr>
          <w:rFonts w:hint="eastAsia"/>
        </w:rPr>
        <w:t>20</w:t>
      </w:r>
      <w:r>
        <w:t>21</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5" w:type="dxa"/>
            <w:tcBorders>
              <w:top w:val="nil"/>
              <w:left w:val="nil"/>
              <w:bottom w:val="nil"/>
              <w:right w:val="nil"/>
            </w:tcBorders>
            <w:shd w:val="clear" w:color="auto" w:fill="auto"/>
            <w:noWrap w:val="0"/>
            <w:vAlign w:val="top"/>
          </w:tcPr>
          <w:p>
            <w:pPr>
              <w:pStyle w:val="243"/>
            </w:pPr>
            <w:r>
              <w:pict>
                <v:rect id="DT" o:spid="_x0000_s1031" o:spt="1" style="position:absolute;left:0pt;margin-left:372.8pt;margin-top:2.7pt;height:18pt;width:90pt;z-index:-251653120;mso-width-relative:page;mso-height-relative:page;" fillcolor="#FFFFFF" filled="t" stroked="f" coordsize="21600,21600">
                  <v:path/>
                  <v:fill on="t" focussize="0,0"/>
                  <v:stroke on="f"/>
                  <v:imagedata o:title=""/>
                  <o:lock v:ext="edit"/>
                </v:rect>
              </w:pict>
            </w:r>
          </w:p>
        </w:tc>
      </w:tr>
    </w:tbl>
    <w:p>
      <w:pPr>
        <w:pStyle w:val="242"/>
      </w:pPr>
    </w:p>
    <w:p>
      <w:pPr>
        <w:pStyle w:val="242"/>
      </w:pPr>
    </w:p>
    <w:p>
      <w:pPr>
        <w:pStyle w:val="244"/>
        <w:framePr w:x="1554" w:y="6140"/>
      </w:pPr>
      <w:r>
        <w:rPr>
          <w:rFonts w:hint="eastAsia"/>
        </w:rPr>
        <w:t>青岛市统计系统</w:t>
      </w:r>
    </w:p>
    <w:p>
      <w:pPr>
        <w:pStyle w:val="244"/>
        <w:framePr w:x="1554" w:y="6140"/>
      </w:pPr>
      <w:r>
        <w:rPr>
          <w:rFonts w:hint="eastAsia"/>
        </w:rPr>
        <w:t>一般检查事项“双随机、一公开”</w:t>
      </w:r>
    </w:p>
    <w:p>
      <w:pPr>
        <w:pStyle w:val="244"/>
        <w:framePr w:x="1554" w:y="6140"/>
      </w:pPr>
      <w:r>
        <w:rPr>
          <w:rFonts w:hint="eastAsia"/>
        </w:rPr>
        <w:t>监管工作规范</w:t>
      </w:r>
    </w:p>
    <w:p>
      <w:pPr>
        <w:pStyle w:val="221"/>
        <w:framePr w:w="3869" w:h="461" w:hRule="exact" w:x="1487" w:y="12173"/>
      </w:pPr>
      <w:r>
        <w:rPr>
          <w:rFonts w:hint="eastAsia" w:ascii="黑体"/>
        </w:rPr>
        <w:t>2021-</w:t>
      </w:r>
      <w:r>
        <w:t xml:space="preserve"> </w:t>
      </w:r>
      <w:r>
        <w:rPr>
          <w:rFonts w:hint="eastAsia" w:ascii="黑体"/>
        </w:rPr>
        <w:t>0</w:t>
      </w:r>
      <w:r>
        <w:rPr>
          <w:rFonts w:ascii="黑体"/>
        </w:rPr>
        <w:t>9</w:t>
      </w:r>
      <w:r>
        <w:t xml:space="preserve"> </w:t>
      </w:r>
      <w:r>
        <w:rPr>
          <w:rFonts w:hint="eastAsia" w:ascii="黑体"/>
        </w:rPr>
        <w:t>-</w:t>
      </w:r>
      <w:r>
        <w:t xml:space="preserve"> </w:t>
      </w:r>
      <w:r>
        <w:rPr>
          <w:rFonts w:hint="eastAsia" w:ascii="黑体"/>
        </w:rPr>
        <w:t>2</w:t>
      </w:r>
      <w:r>
        <w:rPr>
          <w:rFonts w:ascii="黑体"/>
        </w:rPr>
        <w:t>6</w:t>
      </w:r>
      <w:r>
        <w:rPr>
          <w:rFonts w:hint="eastAsia"/>
        </w:rPr>
        <w:t>发布</w:t>
      </w:r>
    </w:p>
    <w:p>
      <w:pPr>
        <w:pStyle w:val="223"/>
        <w:framePr w:x="7463" w:y="12172"/>
        <w:jc w:val="left"/>
      </w:pPr>
      <w:r>
        <w:rPr>
          <w:rFonts w:hint="eastAsia" w:ascii="黑体"/>
        </w:rPr>
        <w:t>2021</w:t>
      </w:r>
      <w:r>
        <w:t xml:space="preserve"> </w:t>
      </w:r>
      <w:r>
        <w:rPr>
          <w:rFonts w:hint="eastAsia" w:ascii="黑体"/>
        </w:rPr>
        <w:t>-</w:t>
      </w:r>
      <w:r>
        <w:t xml:space="preserve"> </w:t>
      </w:r>
      <w:r>
        <w:rPr>
          <w:rFonts w:hint="eastAsia" w:ascii="黑体"/>
        </w:rPr>
        <w:t>1</w:t>
      </w:r>
      <w:r>
        <w:rPr>
          <w:rFonts w:ascii="黑体"/>
        </w:rPr>
        <w:t>0</w:t>
      </w:r>
      <w:r>
        <w:rPr>
          <w:rFonts w:hint="eastAsia" w:ascii="黑体"/>
        </w:rPr>
        <w:t>-</w:t>
      </w:r>
      <w:r>
        <w:t xml:space="preserve"> </w:t>
      </w:r>
      <w:r>
        <w:rPr>
          <w:rFonts w:ascii="黑体"/>
        </w:rPr>
        <w:t xml:space="preserve">15 </w:t>
      </w:r>
      <w:r>
        <w:rPr>
          <w:rFonts w:hint="eastAsia"/>
        </w:rPr>
        <w:t>实施</w:t>
      </w:r>
    </w:p>
    <w:p>
      <w:pPr>
        <w:pStyle w:val="225"/>
        <w:framePr w:vAnchor="page" w:hAnchor="page" w:x="2148" w:y="14070"/>
      </w:pPr>
      <w:r>
        <w:rPr>
          <w:rFonts w:hint="eastAsia"/>
        </w:rPr>
        <w:t>青岛市统计局</w:t>
      </w:r>
      <w:r>
        <w:t>   </w:t>
      </w:r>
      <w:r>
        <w:rPr>
          <w:rStyle w:val="227"/>
          <w:rFonts w:hint="eastAsia"/>
        </w:rPr>
        <w:t>发布</w:t>
      </w:r>
    </w:p>
    <w:p>
      <w:pPr>
        <w:pStyle w:val="159"/>
        <w:tabs>
          <w:tab w:val="center" w:pos="4201"/>
          <w:tab w:val="right" w:leader="dot" w:pos="9298"/>
        </w:tabs>
        <w:ind w:firstLine="420"/>
      </w:pPr>
      <w:r>
        <w:rPr>
          <w:sz w:val="21"/>
        </w:rPr>
        <w:pict>
          <v:line id="Line 11" o:spid="_x0000_s1040" o:spt="20" style="position:absolute;left:0pt;margin-left:-24.8pt;margin-top:91.1pt;height:0pt;width:481.85pt;z-index:251672576;mso-width-relative:page;mso-height-relative:page;" filled="f" stroked="t" coordsize="21600,21600">
            <v:path arrowok="t"/>
            <v:fill on="f" focussize="0,0"/>
            <v:stroke color="#000000"/>
            <v:imagedata o:title=""/>
            <o:lock v:ext="edit" aspectratio="f"/>
          </v:line>
        </w:pict>
      </w:r>
    </w:p>
    <w:p/>
    <w:p/>
    <w:p/>
    <w:p/>
    <w:p/>
    <w:p>
      <w:r>
        <w:pict>
          <v:group id="_x0000_s1032" o:spid="_x0000_s1032" o:spt="203" style="position:absolute;left:0pt;margin-left:-22.2pt;margin-top:338pt;height:529.15pt;width:483.35pt;z-index:251664384;mso-width-relative:page;mso-height-relative:page;" coordorigin="1418,4252" coordsize="9667,10583">
            <o:lock v:ext="edit"/>
            <v:line id="Line 10" o:spid="_x0000_s1033" o:spt="20" style="position:absolute;left:1447;top:14835;height:0;width:9638;" filled="f" stroked="t" coordsize="21600,21600">
              <v:path arrowok="t"/>
              <v:fill on="f" focussize="0,0"/>
              <v:stroke/>
              <v:imagedata o:title=""/>
              <o:lock v:ext="edit"/>
            </v:line>
            <v:line id="Line 11" o:spid="_x0000_s1034" o:spt="20" style="position:absolute;left:1418;top:4252;height:0;width:9637;" filled="f" stroked="t" coordsize="21600,21600">
              <v:path arrowok="t"/>
              <v:fill on="f" focussize="0,0"/>
              <v:stroke/>
              <v:imagedata o:title=""/>
              <o:lock v:ext="edit"/>
            </v:line>
          </v:group>
        </w:pict>
      </w:r>
    </w:p>
    <w:p>
      <w:pPr>
        <w:sectPr>
          <w:headerReference r:id="rId16" w:type="default"/>
          <w:footerReference r:id="rId17" w:type="default"/>
          <w:pgSz w:w="11906" w:h="16838"/>
          <w:pgMar w:top="2098" w:right="1474" w:bottom="1984" w:left="1587" w:header="1417" w:footer="1134" w:gutter="0"/>
          <w:pgNumType w:fmt="numberInDash" w:start="2"/>
          <w:cols w:space="720" w:num="1"/>
          <w:docGrid w:type="lines" w:linePitch="312" w:charSpace="0"/>
        </w:sectPr>
      </w:pPr>
    </w:p>
    <w:p>
      <w:pPr>
        <w:tabs>
          <w:tab w:val="left" w:pos="2088"/>
        </w:tabs>
        <w:bidi w:val="0"/>
        <w:jc w:val="center"/>
        <w:rPr>
          <w:sz w:val="44"/>
          <w:szCs w:val="44"/>
        </w:rPr>
      </w:pPr>
      <w:r>
        <w:rPr>
          <w:rFonts w:hint="eastAsia"/>
          <w:sz w:val="44"/>
          <w:szCs w:val="44"/>
        </w:rPr>
        <w:t>前</w:t>
      </w:r>
      <w:bookmarkStart w:id="22" w:name="BKQY"/>
      <w:r>
        <w:rPr>
          <w:sz w:val="44"/>
          <w:szCs w:val="44"/>
        </w:rPr>
        <w:t>  </w:t>
      </w:r>
      <w:r>
        <w:rPr>
          <w:rFonts w:hint="eastAsia"/>
          <w:sz w:val="44"/>
          <w:szCs w:val="44"/>
        </w:rPr>
        <w:t>言</w:t>
      </w:r>
      <w:bookmarkEnd w:id="22"/>
    </w:p>
    <w:p>
      <w:pPr>
        <w:pStyle w:val="159"/>
        <w:tabs>
          <w:tab w:val="center" w:pos="4201"/>
          <w:tab w:val="right" w:leader="dot" w:pos="9298"/>
        </w:tabs>
        <w:spacing w:line="560" w:lineRule="exact"/>
        <w:ind w:firstLine="640"/>
        <w:rPr>
          <w:rFonts w:hint="eastAsia" w:ascii="仿宋_GB2312" w:eastAsia="仿宋_GB2312"/>
          <w:sz w:val="32"/>
          <w:szCs w:val="32"/>
        </w:rPr>
      </w:pPr>
      <w:r>
        <w:rPr>
          <w:rFonts w:hint="eastAsia" w:ascii="仿宋_GB2312" w:eastAsia="仿宋_GB2312"/>
          <w:sz w:val="32"/>
          <w:szCs w:val="32"/>
        </w:rPr>
        <w:t>本文件按照GB/T 1.1—2020《标准化工作导则 第1部分：标准化文件的结构和起草规则》的规定起草。</w:t>
      </w:r>
    </w:p>
    <w:p>
      <w:pPr>
        <w:pStyle w:val="159"/>
        <w:tabs>
          <w:tab w:val="center" w:pos="4201"/>
          <w:tab w:val="right" w:leader="dot" w:pos="9298"/>
        </w:tabs>
        <w:spacing w:line="560" w:lineRule="exact"/>
        <w:ind w:firstLine="640"/>
        <w:rPr>
          <w:rFonts w:hint="eastAsia" w:ascii="仿宋_GB2312" w:eastAsia="仿宋_GB2312"/>
          <w:sz w:val="32"/>
          <w:szCs w:val="32"/>
        </w:rPr>
      </w:pPr>
      <w:r>
        <w:rPr>
          <w:rFonts w:hint="eastAsia" w:ascii="仿宋_GB2312" w:eastAsia="仿宋_GB2312"/>
          <w:sz w:val="32"/>
          <w:szCs w:val="32"/>
        </w:rPr>
        <w:t>本文件由青岛市统计局提出并归口。</w:t>
      </w:r>
    </w:p>
    <w:p>
      <w:pPr>
        <w:pStyle w:val="159"/>
        <w:tabs>
          <w:tab w:val="center" w:pos="4201"/>
          <w:tab w:val="right" w:leader="dot" w:pos="9298"/>
        </w:tabs>
        <w:spacing w:line="560" w:lineRule="exact"/>
        <w:ind w:firstLine="640"/>
        <w:rPr>
          <w:rFonts w:hint="eastAsia" w:ascii="仿宋_GB2312" w:eastAsia="仿宋_GB2312"/>
          <w:sz w:val="32"/>
          <w:szCs w:val="32"/>
        </w:rPr>
      </w:pPr>
      <w:r>
        <w:rPr>
          <w:rFonts w:hint="eastAsia" w:ascii="仿宋_GB2312" w:eastAsia="仿宋_GB2312"/>
          <w:sz w:val="32"/>
          <w:szCs w:val="32"/>
        </w:rPr>
        <w:t>本文件起草单位： 青岛市统计局</w:t>
      </w:r>
    </w:p>
    <w:p>
      <w:pPr>
        <w:pStyle w:val="159"/>
        <w:tabs>
          <w:tab w:val="center" w:pos="4201"/>
          <w:tab w:val="right" w:leader="dot" w:pos="9298"/>
        </w:tabs>
        <w:spacing w:line="560" w:lineRule="exact"/>
        <w:ind w:firstLine="640"/>
        <w:rPr>
          <w:rFonts w:hint="eastAsia" w:ascii="仿宋_GB2312" w:eastAsia="仿宋_GB2312"/>
          <w:sz w:val="32"/>
          <w:szCs w:val="32"/>
        </w:rPr>
        <w:sectPr>
          <w:headerReference r:id="rId18" w:type="default"/>
          <w:footerReference r:id="rId19" w:type="default"/>
          <w:pgSz w:w="11850" w:h="16840"/>
          <w:pgMar w:top="2098" w:right="1474" w:bottom="1984" w:left="1587" w:header="720" w:footer="1134" w:gutter="0"/>
          <w:pgNumType w:fmt="numberInDash" w:start="1"/>
          <w:cols w:space="720" w:num="1"/>
          <w:docGrid w:linePitch="312" w:charSpace="0"/>
        </w:sectPr>
      </w:pPr>
      <w:r>
        <w:rPr>
          <w:rFonts w:hint="eastAsia" w:ascii="仿宋_GB2312" w:eastAsia="仿宋_GB2312"/>
          <w:sz w:val="32"/>
          <w:szCs w:val="32"/>
        </w:rPr>
        <w:t>本文件主要起草人：刘红健</w:t>
      </w:r>
    </w:p>
    <w:p>
      <w:pPr>
        <w:pStyle w:val="246"/>
        <w:keepNext/>
        <w:keepLines w:val="0"/>
        <w:pageBreakBefore/>
        <w:widowControl/>
        <w:kinsoku/>
        <w:wordWrap/>
        <w:overflowPunct/>
        <w:topLinePunct w:val="0"/>
        <w:autoSpaceDE/>
        <w:autoSpaceDN/>
        <w:bidi w:val="0"/>
        <w:adjustRightInd/>
        <w:snapToGrid/>
        <w:spacing w:before="0" w:after="0" w:line="560" w:lineRule="exact"/>
        <w:textAlignment w:val="auto"/>
        <w:rPr>
          <w:rFonts w:hint="eastAsia" w:ascii="方正小标宋_GBK" w:eastAsia="方正小标宋_GBK"/>
          <w:sz w:val="44"/>
          <w:szCs w:val="44"/>
        </w:rPr>
      </w:pPr>
      <w:r>
        <w:rPr>
          <w:rFonts w:hint="eastAsia" w:ascii="方正小标宋_GBK" w:eastAsia="方正小标宋_GBK"/>
          <w:sz w:val="44"/>
          <w:szCs w:val="44"/>
        </w:rPr>
        <w:t>青岛市统计系统一般检查事项“双随机、一公开”监管工作规范</w:t>
      </w:r>
    </w:p>
    <w:p>
      <w:pPr>
        <w:pStyle w:val="247"/>
        <w:spacing w:before="312" w:beforeLines="0" w:after="312" w:afterLines="0" w:line="560" w:lineRule="exact"/>
        <w:ind w:left="-142" w:firstLine="140" w:firstLineChars="44"/>
        <w:rPr>
          <w:sz w:val="32"/>
          <w:szCs w:val="32"/>
        </w:rPr>
      </w:pPr>
      <w:r>
        <w:rPr>
          <w:rFonts w:hint="eastAsia"/>
          <w:sz w:val="32"/>
          <w:szCs w:val="32"/>
        </w:rPr>
        <w:t>范围</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本文件规定了青岛市统计系统一般检查事项“双随机、一公开”监管工作的抽查内容、抽查方法、抽查程序、检查证据、后续处理、档案管理等。</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本文件适用于青岛市统计系统</w:t>
      </w:r>
      <w:bookmarkStart w:id="23" w:name="_GoBack"/>
      <w:bookmarkEnd w:id="23"/>
      <w:r>
        <w:rPr>
          <w:rFonts w:hint="eastAsia" w:ascii="仿宋_GB2312" w:eastAsia="仿宋_GB2312"/>
          <w:sz w:val="32"/>
          <w:szCs w:val="32"/>
        </w:rPr>
        <w:t>一般检查事项“双随机、一公开”监管工作。</w:t>
      </w:r>
    </w:p>
    <w:p>
      <w:pPr>
        <w:pStyle w:val="247"/>
        <w:spacing w:before="312" w:beforeLines="0" w:after="312" w:afterLines="0" w:line="560" w:lineRule="exact"/>
        <w:ind w:left="0"/>
        <w:contextualSpacing/>
        <w:rPr>
          <w:sz w:val="32"/>
          <w:szCs w:val="32"/>
        </w:rPr>
      </w:pPr>
      <w:r>
        <w:rPr>
          <w:rFonts w:hint="eastAsia"/>
          <w:sz w:val="32"/>
          <w:szCs w:val="32"/>
        </w:rPr>
        <w:t>规范性引用文件</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《青岛市统计系统“双随机、一公开”监管工作规范(Q/QD</w:t>
      </w:r>
      <w:r>
        <w:rPr>
          <w:rFonts w:ascii="仿宋_GB2312" w:eastAsia="仿宋_GB2312"/>
          <w:sz w:val="32"/>
          <w:szCs w:val="32"/>
        </w:rPr>
        <w:t xml:space="preserve">MSB </w:t>
      </w:r>
      <w:r>
        <w:rPr>
          <w:rFonts w:hint="eastAsia" w:ascii="仿宋_GB2312" w:eastAsia="仿宋_GB2312"/>
          <w:sz w:val="32"/>
          <w:szCs w:val="32"/>
        </w:rPr>
        <w:t>000</w:t>
      </w:r>
      <w:r>
        <w:rPr>
          <w:rFonts w:ascii="仿宋_GB2312" w:eastAsia="仿宋_GB2312"/>
          <w:sz w:val="32"/>
          <w:szCs w:val="32"/>
        </w:rPr>
        <w:t>1</w:t>
      </w: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)》（青统发〔2</w:t>
      </w:r>
      <w:r>
        <w:rPr>
          <w:rFonts w:hint="eastAsia" w:ascii="仿宋_GB2312" w:eastAsia="仿宋_GB2312"/>
          <w:color w:val="auto"/>
          <w:sz w:val="32"/>
          <w:szCs w:val="32"/>
        </w:rPr>
        <w:t>021〕</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号）</w:t>
      </w:r>
    </w:p>
    <w:p>
      <w:pPr>
        <w:pStyle w:val="247"/>
        <w:spacing w:before="312" w:beforeLines="0" w:after="312" w:afterLines="0" w:line="560" w:lineRule="exact"/>
        <w:ind w:left="0"/>
        <w:contextualSpacing/>
        <w:rPr>
          <w:sz w:val="32"/>
          <w:szCs w:val="32"/>
        </w:rPr>
      </w:pPr>
      <w:r>
        <w:rPr>
          <w:rFonts w:hint="eastAsia"/>
          <w:sz w:val="32"/>
          <w:szCs w:val="32"/>
        </w:rPr>
        <w:t>机构职责</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3.1 实施机构</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市、区（市）两级统计部门执法监督机构负责一般检查事项监管工作。</w:t>
      </w:r>
    </w:p>
    <w:p>
      <w:pPr>
        <w:pStyle w:val="159"/>
        <w:tabs>
          <w:tab w:val="center" w:pos="4201"/>
          <w:tab w:val="right" w:leader="dot" w:pos="9298"/>
        </w:tabs>
        <w:spacing w:line="560" w:lineRule="exact"/>
        <w:ind w:firstLine="640"/>
        <w:contextualSpacing/>
        <w:rPr>
          <w:rFonts w:ascii="黑体" w:eastAsia="黑体"/>
          <w:sz w:val="32"/>
          <w:szCs w:val="32"/>
        </w:rPr>
      </w:pPr>
      <w:r>
        <w:rPr>
          <w:rFonts w:hint="eastAsia" w:ascii="黑体" w:eastAsia="黑体"/>
          <w:sz w:val="32"/>
          <w:szCs w:val="32"/>
        </w:rPr>
        <w:t>3.2  工作职责</w:t>
      </w:r>
    </w:p>
    <w:p>
      <w:pPr>
        <w:pStyle w:val="159"/>
        <w:tabs>
          <w:tab w:val="center" w:pos="4201"/>
          <w:tab w:val="right" w:leader="dot" w:pos="9298"/>
        </w:tabs>
        <w:spacing w:line="560" w:lineRule="exact"/>
        <w:ind w:firstLine="640"/>
        <w:contextualSpacing/>
        <w:rPr>
          <w:rFonts w:ascii="仿宋_GB2312" w:eastAsia="仿宋_GB2312"/>
          <w:sz w:val="32"/>
          <w:szCs w:val="32"/>
        </w:rPr>
      </w:pPr>
      <w:r>
        <w:rPr>
          <w:rFonts w:hint="eastAsia" w:ascii="仿宋_GB2312" w:eastAsia="仿宋_GB2312"/>
          <w:sz w:val="32"/>
          <w:szCs w:val="32"/>
        </w:rPr>
        <w:t>a)制定并动态调整一般检查事项“双随机、一公开”抽查事项清单；</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b)制定并动态调整一般检查事项“双随机、一公开”年度抽查计划；</w:t>
      </w:r>
    </w:p>
    <w:p>
      <w:pPr>
        <w:pStyle w:val="159"/>
        <w:tabs>
          <w:tab w:val="center" w:pos="4201"/>
          <w:tab w:val="right" w:leader="dot" w:pos="9298"/>
        </w:tabs>
        <w:spacing w:line="560" w:lineRule="exact"/>
        <w:ind w:firstLine="566" w:firstLineChars="177"/>
        <w:contextualSpacing/>
        <w:rPr>
          <w:rFonts w:ascii="仿宋_GB2312" w:eastAsia="仿宋_GB2312"/>
          <w:sz w:val="32"/>
          <w:szCs w:val="32"/>
        </w:rPr>
      </w:pPr>
      <w:r>
        <w:rPr>
          <w:rFonts w:hint="eastAsia" w:ascii="仿宋_GB2312" w:eastAsia="仿宋_GB2312"/>
          <w:sz w:val="32"/>
          <w:szCs w:val="32"/>
        </w:rPr>
        <w:t>c)根据年度抽查计划或上级派发的抽查任务，组织实施一般检查事项“双随机、一公开”抽查活动；</w:t>
      </w:r>
    </w:p>
    <w:p>
      <w:pPr>
        <w:pStyle w:val="159"/>
        <w:tabs>
          <w:tab w:val="center" w:pos="4201"/>
          <w:tab w:val="right" w:leader="dot" w:pos="9298"/>
        </w:tabs>
        <w:spacing w:line="560" w:lineRule="exact"/>
        <w:ind w:firstLine="566" w:firstLineChars="177"/>
        <w:contextualSpacing/>
        <w:rPr>
          <w:rFonts w:ascii="仿宋_GB2312" w:eastAsia="仿宋_GB2312"/>
          <w:sz w:val="32"/>
          <w:szCs w:val="32"/>
        </w:rPr>
      </w:pPr>
      <w:r>
        <w:rPr>
          <w:rFonts w:hint="eastAsia" w:ascii="仿宋_GB2312" w:eastAsia="仿宋_GB2312"/>
          <w:sz w:val="32"/>
          <w:szCs w:val="32"/>
        </w:rPr>
        <w:t>d)负责一般检查事项“双随机、一公开”监管档案管理；</w:t>
      </w:r>
    </w:p>
    <w:p>
      <w:pPr>
        <w:pStyle w:val="159"/>
        <w:tabs>
          <w:tab w:val="center" w:pos="4201"/>
          <w:tab w:val="right" w:leader="dot" w:pos="9298"/>
        </w:tabs>
        <w:spacing w:line="560" w:lineRule="exact"/>
        <w:ind w:firstLine="566" w:firstLineChars="177"/>
        <w:contextualSpacing/>
        <w:rPr>
          <w:rFonts w:hint="eastAsia" w:ascii="仿宋_GB2312" w:eastAsia="仿宋_GB2312"/>
          <w:sz w:val="32"/>
          <w:szCs w:val="32"/>
        </w:rPr>
      </w:pPr>
      <w:r>
        <w:rPr>
          <w:rFonts w:hint="eastAsia" w:ascii="仿宋_GB2312" w:eastAsia="仿宋_GB2312"/>
          <w:sz w:val="32"/>
          <w:szCs w:val="32"/>
        </w:rPr>
        <w:t xml:space="preserve">e)按要求对一般检查事项“双随机、一公开”抽查计划执行情况进行总结，提交考核材料。 </w:t>
      </w:r>
    </w:p>
    <w:p>
      <w:pPr>
        <w:pStyle w:val="247"/>
        <w:spacing w:before="312" w:beforeLines="0" w:after="312" w:afterLines="0" w:line="560" w:lineRule="exact"/>
        <w:ind w:left="0"/>
        <w:contextualSpacing/>
        <w:rPr>
          <w:sz w:val="32"/>
          <w:szCs w:val="32"/>
        </w:rPr>
      </w:pPr>
      <w:r>
        <w:rPr>
          <w:rFonts w:hint="eastAsia"/>
          <w:sz w:val="32"/>
          <w:szCs w:val="32"/>
        </w:rPr>
        <w:t>抽查事项</w:t>
      </w:r>
    </w:p>
    <w:p>
      <w:pPr>
        <w:pStyle w:val="159"/>
        <w:tabs>
          <w:tab w:val="center" w:pos="4201"/>
          <w:tab w:val="right" w:leader="dot" w:pos="9298"/>
        </w:tabs>
        <w:ind w:firstLine="640"/>
        <w:rPr>
          <w:rFonts w:hint="eastAsia" w:ascii="仿宋_GB2312" w:eastAsia="仿宋_GB2312"/>
          <w:sz w:val="32"/>
          <w:szCs w:val="32"/>
        </w:rPr>
      </w:pPr>
      <w:r>
        <w:rPr>
          <w:rFonts w:hint="eastAsia" w:ascii="仿宋_GB2312" w:eastAsia="仿宋_GB2312"/>
          <w:sz w:val="32"/>
          <w:szCs w:val="32"/>
        </w:rPr>
        <w:t>一般检查事项为2项法定检查事项：</w:t>
      </w:r>
    </w:p>
    <w:p>
      <w:pPr>
        <w:pStyle w:val="159"/>
        <w:numPr>
          <w:ilvl w:val="0"/>
          <w:numId w:val="12"/>
        </w:numPr>
        <w:tabs>
          <w:tab w:val="center" w:pos="4201"/>
          <w:tab w:val="right" w:leader="dot" w:pos="9298"/>
        </w:tabs>
        <w:spacing w:line="560" w:lineRule="exact"/>
        <w:ind w:firstLineChars="0"/>
        <w:contextualSpacing/>
        <w:rPr>
          <w:rFonts w:hint="eastAsia" w:ascii="仿宋_GB2312" w:eastAsia="仿宋_GB2312"/>
          <w:sz w:val="32"/>
          <w:szCs w:val="32"/>
        </w:rPr>
      </w:pPr>
      <w:r>
        <w:rPr>
          <w:rFonts w:hint="eastAsia" w:ascii="仿宋_GB2312" w:eastAsia="仿宋_GB2312"/>
          <w:sz w:val="32"/>
          <w:szCs w:val="32"/>
        </w:rPr>
        <w:t>提供统计资料情况的检查;</w:t>
      </w:r>
    </w:p>
    <w:p>
      <w:pPr>
        <w:pStyle w:val="159"/>
        <w:numPr>
          <w:ilvl w:val="0"/>
          <w:numId w:val="12"/>
        </w:numPr>
        <w:tabs>
          <w:tab w:val="center" w:pos="4201"/>
          <w:tab w:val="right" w:leader="dot" w:pos="9298"/>
        </w:tabs>
        <w:spacing w:line="560" w:lineRule="exact"/>
        <w:ind w:firstLineChars="0"/>
        <w:contextualSpacing/>
        <w:rPr>
          <w:rFonts w:hint="eastAsia" w:ascii="仿宋_GB2312" w:eastAsia="仿宋_GB2312"/>
          <w:sz w:val="32"/>
          <w:szCs w:val="32"/>
        </w:rPr>
      </w:pPr>
      <w:r>
        <w:rPr>
          <w:rFonts w:hint="eastAsia" w:ascii="仿宋_GB2312" w:eastAsia="仿宋_GB2312"/>
          <w:sz w:val="32"/>
          <w:szCs w:val="32"/>
        </w:rPr>
        <w:t>建立原始记录、统计台账情况的检查。</w:t>
      </w:r>
    </w:p>
    <w:p>
      <w:pPr>
        <w:pStyle w:val="247"/>
        <w:spacing w:before="312" w:beforeLines="0" w:after="312" w:afterLines="0" w:line="560" w:lineRule="exact"/>
        <w:ind w:left="0"/>
        <w:contextualSpacing/>
        <w:rPr>
          <w:sz w:val="32"/>
          <w:szCs w:val="32"/>
        </w:rPr>
      </w:pPr>
      <w:r>
        <w:rPr>
          <w:rFonts w:hint="eastAsia"/>
          <w:sz w:val="32"/>
          <w:szCs w:val="32"/>
        </w:rPr>
        <w:t>抽查内容</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5.1 提供统计资料情况</w:t>
      </w:r>
    </w:p>
    <w:p>
      <w:pPr>
        <w:pStyle w:val="159"/>
        <w:tabs>
          <w:tab w:val="center" w:pos="4201"/>
          <w:tab w:val="right" w:leader="dot" w:pos="9298"/>
        </w:tabs>
        <w:spacing w:line="560" w:lineRule="exact"/>
        <w:ind w:left="567" w:leftChars="270" w:firstLine="16" w:firstLineChars="0"/>
        <w:contextualSpacing/>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xml:space="preserve"> </w:t>
      </w:r>
      <w:r>
        <w:rPr>
          <w:rFonts w:hint="eastAsia" w:ascii="仿宋_GB2312" w:eastAsia="仿宋_GB2312"/>
          <w:sz w:val="32"/>
          <w:szCs w:val="32"/>
        </w:rPr>
        <w:t>法</w:t>
      </w:r>
      <w:r>
        <w:rPr>
          <w:rFonts w:ascii="仿宋_GB2312" w:eastAsia="仿宋_GB2312"/>
          <w:sz w:val="32"/>
          <w:szCs w:val="32"/>
        </w:rPr>
        <w:t>人</w:t>
      </w:r>
      <w:r>
        <w:rPr>
          <w:rFonts w:hint="eastAsia" w:ascii="仿宋_GB2312" w:eastAsia="仿宋_GB2312"/>
          <w:sz w:val="32"/>
          <w:szCs w:val="32"/>
        </w:rPr>
        <w:t>单位</w:t>
      </w:r>
      <w:r>
        <w:rPr>
          <w:rFonts w:ascii="仿宋_GB2312" w:eastAsia="仿宋_GB2312"/>
          <w:sz w:val="32"/>
          <w:szCs w:val="32"/>
        </w:rPr>
        <w:t>的</w:t>
      </w:r>
      <w:r>
        <w:rPr>
          <w:rFonts w:hint="eastAsia" w:ascii="仿宋_GB2312" w:eastAsia="仿宋_GB2312"/>
          <w:sz w:val="32"/>
          <w:szCs w:val="32"/>
        </w:rPr>
        <w:t>行业划分是否正确;</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b) 纳入统计基本</w:t>
      </w:r>
      <w:r>
        <w:rPr>
          <w:rFonts w:ascii="仿宋_GB2312" w:eastAsia="仿宋_GB2312"/>
          <w:sz w:val="32"/>
          <w:szCs w:val="32"/>
        </w:rPr>
        <w:t>单位名录库</w:t>
      </w:r>
      <w:r>
        <w:rPr>
          <w:rFonts w:hint="eastAsia" w:ascii="仿宋_GB2312" w:eastAsia="仿宋_GB2312"/>
          <w:sz w:val="32"/>
          <w:szCs w:val="32"/>
        </w:rPr>
        <w:t xml:space="preserve">是否合规； </w:t>
      </w:r>
    </w:p>
    <w:p>
      <w:pPr>
        <w:pStyle w:val="159"/>
        <w:tabs>
          <w:tab w:val="center" w:pos="4201"/>
          <w:tab w:val="right" w:leader="dot" w:pos="9298"/>
        </w:tabs>
        <w:spacing w:line="560" w:lineRule="exact"/>
        <w:ind w:firstLine="583" w:firstLineChars="0"/>
        <w:contextualSpacing/>
        <w:rPr>
          <w:rFonts w:ascii="仿宋_GB2312" w:eastAsia="仿宋_GB2312"/>
          <w:sz w:val="32"/>
          <w:szCs w:val="32"/>
        </w:rPr>
      </w:pPr>
      <w:r>
        <w:rPr>
          <w:rFonts w:hint="eastAsia" w:ascii="仿宋_GB2312" w:eastAsia="仿宋_GB2312"/>
          <w:sz w:val="32"/>
          <w:szCs w:val="32"/>
        </w:rPr>
        <w:t>c) 是否存在拒绝提供统计资料或者经催报后仍未按时提供统计资料的行为；</w:t>
      </w:r>
    </w:p>
    <w:p>
      <w:pPr>
        <w:pStyle w:val="159"/>
        <w:tabs>
          <w:tab w:val="center" w:pos="4201"/>
          <w:tab w:val="right" w:leader="dot" w:pos="9298"/>
        </w:tabs>
        <w:spacing w:line="560" w:lineRule="exact"/>
        <w:ind w:firstLine="585" w:firstLineChars="0"/>
        <w:contextualSpacing/>
        <w:rPr>
          <w:rFonts w:ascii="仿宋_GB2312" w:eastAsia="仿宋_GB2312"/>
          <w:sz w:val="32"/>
          <w:szCs w:val="32"/>
        </w:rPr>
      </w:pPr>
      <w:r>
        <w:rPr>
          <w:rFonts w:hint="eastAsia" w:ascii="仿宋_GB2312" w:eastAsia="仿宋_GB2312"/>
          <w:sz w:val="32"/>
          <w:szCs w:val="32"/>
        </w:rPr>
        <w:t>d)</w:t>
      </w:r>
      <w:r>
        <w:rPr>
          <w:rFonts w:ascii="仿宋_GB2312" w:eastAsia="仿宋_GB2312"/>
          <w:sz w:val="32"/>
          <w:szCs w:val="32"/>
        </w:rPr>
        <w:t xml:space="preserve"> </w:t>
      </w:r>
      <w:r>
        <w:rPr>
          <w:rFonts w:hint="eastAsia" w:ascii="仿宋_GB2312" w:eastAsia="仿宋_GB2312"/>
          <w:sz w:val="32"/>
          <w:szCs w:val="32"/>
        </w:rPr>
        <w:t xml:space="preserve">是否存在提供不真实或者不完整的统计资料的行为; </w:t>
      </w:r>
    </w:p>
    <w:p>
      <w:pPr>
        <w:pStyle w:val="159"/>
        <w:tabs>
          <w:tab w:val="center" w:pos="4201"/>
          <w:tab w:val="right" w:leader="dot" w:pos="9298"/>
        </w:tabs>
        <w:spacing w:line="560" w:lineRule="exact"/>
        <w:ind w:firstLine="585" w:firstLineChars="0"/>
        <w:contextualSpacing/>
        <w:rPr>
          <w:rFonts w:ascii="仿宋_GB2312" w:eastAsia="仿宋_GB2312"/>
          <w:sz w:val="32"/>
          <w:szCs w:val="32"/>
        </w:rPr>
      </w:pPr>
      <w:r>
        <w:rPr>
          <w:rFonts w:ascii="仿宋_GB2312" w:eastAsia="仿宋_GB2312"/>
          <w:sz w:val="32"/>
          <w:szCs w:val="32"/>
        </w:rPr>
        <w:t>e)</w:t>
      </w:r>
      <w:r>
        <w:rPr>
          <w:rFonts w:hint="eastAsia"/>
        </w:rPr>
        <w:t xml:space="preserve"> </w:t>
      </w:r>
      <w:r>
        <w:rPr>
          <w:rFonts w:hint="eastAsia" w:ascii="仿宋_GB2312" w:eastAsia="仿宋_GB2312"/>
          <w:sz w:val="32"/>
          <w:szCs w:val="32"/>
        </w:rPr>
        <w:t>是否</w:t>
      </w:r>
      <w:r>
        <w:rPr>
          <w:rFonts w:ascii="仿宋_GB2312" w:eastAsia="仿宋_GB2312"/>
          <w:sz w:val="32"/>
          <w:szCs w:val="32"/>
        </w:rPr>
        <w:t>存在</w:t>
      </w:r>
      <w:r>
        <w:rPr>
          <w:rFonts w:hint="eastAsia" w:ascii="仿宋_GB2312" w:eastAsia="仿宋_GB2312"/>
          <w:sz w:val="32"/>
          <w:szCs w:val="32"/>
        </w:rPr>
        <w:t>拒绝答复或者不如实答复统计检查查询书的行为</w:t>
      </w:r>
      <w:r>
        <w:rPr>
          <w:rFonts w:ascii="仿宋_GB2312" w:eastAsia="仿宋_GB2312"/>
          <w:sz w:val="32"/>
          <w:szCs w:val="32"/>
        </w:rPr>
        <w:t>；</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ascii="仿宋_GB2312" w:eastAsia="仿宋_GB2312"/>
          <w:sz w:val="32"/>
          <w:szCs w:val="32"/>
        </w:rPr>
        <w:t xml:space="preserve">f) </w:t>
      </w:r>
      <w:r>
        <w:rPr>
          <w:rFonts w:hint="eastAsia" w:ascii="仿宋_GB2312" w:eastAsia="仿宋_GB2312"/>
          <w:sz w:val="32"/>
          <w:szCs w:val="32"/>
        </w:rPr>
        <w:t>是否</w:t>
      </w:r>
      <w:r>
        <w:rPr>
          <w:rFonts w:ascii="仿宋_GB2312" w:eastAsia="仿宋_GB2312"/>
          <w:sz w:val="32"/>
          <w:szCs w:val="32"/>
        </w:rPr>
        <w:t>存在</w:t>
      </w:r>
      <w:r>
        <w:rPr>
          <w:rFonts w:hint="eastAsia" w:ascii="仿宋_GB2312" w:eastAsia="仿宋_GB2312"/>
          <w:sz w:val="32"/>
          <w:szCs w:val="32"/>
        </w:rPr>
        <w:t>拒绝、阻碍统计调查、统计检查的行为</w:t>
      </w:r>
      <w:r>
        <w:rPr>
          <w:rFonts w:ascii="仿宋_GB2312" w:eastAsia="仿宋_GB2312"/>
          <w:sz w:val="32"/>
          <w:szCs w:val="32"/>
        </w:rPr>
        <w:t>；</w:t>
      </w:r>
    </w:p>
    <w:p>
      <w:pPr>
        <w:pStyle w:val="159"/>
        <w:tabs>
          <w:tab w:val="center" w:pos="4201"/>
          <w:tab w:val="right" w:leader="dot" w:pos="9298"/>
        </w:tabs>
        <w:spacing w:line="560" w:lineRule="exact"/>
        <w:ind w:firstLine="585" w:firstLineChars="0"/>
        <w:contextualSpacing/>
        <w:rPr>
          <w:rFonts w:ascii="仿宋_GB2312" w:eastAsia="仿宋_GB2312"/>
          <w:sz w:val="32"/>
          <w:szCs w:val="32"/>
        </w:rPr>
      </w:pPr>
      <w:r>
        <w:rPr>
          <w:rFonts w:hint="eastAsia" w:ascii="仿宋_GB2312" w:eastAsia="仿宋_GB2312"/>
          <w:sz w:val="32"/>
          <w:szCs w:val="32"/>
        </w:rPr>
        <w:t>g) 是否</w:t>
      </w:r>
      <w:r>
        <w:rPr>
          <w:rFonts w:ascii="仿宋_GB2312" w:eastAsia="仿宋_GB2312"/>
          <w:sz w:val="32"/>
          <w:szCs w:val="32"/>
        </w:rPr>
        <w:t>存在</w:t>
      </w:r>
      <w:r>
        <w:rPr>
          <w:rFonts w:hint="eastAsia" w:ascii="仿宋_GB2312" w:eastAsia="仿宋_GB2312"/>
          <w:sz w:val="32"/>
          <w:szCs w:val="32"/>
        </w:rPr>
        <w:t>迟报统计资料的行为；</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h)</w:t>
      </w:r>
      <w:r>
        <w:rPr>
          <w:rFonts w:ascii="仿宋_GB2312" w:eastAsia="仿宋_GB2312"/>
          <w:sz w:val="32"/>
          <w:szCs w:val="32"/>
        </w:rPr>
        <w:t xml:space="preserve"> </w:t>
      </w:r>
      <w:r>
        <w:rPr>
          <w:rFonts w:hint="eastAsia" w:ascii="仿宋_GB2312" w:eastAsia="仿宋_GB2312"/>
          <w:sz w:val="32"/>
          <w:szCs w:val="32"/>
        </w:rPr>
        <w:t>联网直报单位</w:t>
      </w:r>
      <w:r>
        <w:rPr>
          <w:rFonts w:ascii="仿宋_GB2312" w:eastAsia="仿宋_GB2312"/>
          <w:sz w:val="32"/>
          <w:szCs w:val="32"/>
        </w:rPr>
        <w:t>是否自主填报</w:t>
      </w:r>
      <w:r>
        <w:rPr>
          <w:rFonts w:hint="eastAsia" w:ascii="仿宋_GB2312" w:eastAsia="仿宋_GB2312"/>
          <w:sz w:val="32"/>
          <w:szCs w:val="32"/>
        </w:rPr>
        <w:t>；</w:t>
      </w:r>
    </w:p>
    <w:p>
      <w:pPr>
        <w:pStyle w:val="159"/>
        <w:tabs>
          <w:tab w:val="center" w:pos="4201"/>
          <w:tab w:val="right" w:leader="dot" w:pos="9298"/>
        </w:tabs>
        <w:spacing w:line="560" w:lineRule="exact"/>
        <w:ind w:firstLine="585" w:firstLineChars="0"/>
        <w:contextualSpacing/>
        <w:rPr>
          <w:rFonts w:ascii="仿宋_GB2312" w:eastAsia="仿宋_GB2312"/>
          <w:sz w:val="32"/>
          <w:szCs w:val="32"/>
        </w:rPr>
      </w:pPr>
      <w:r>
        <w:rPr>
          <w:rFonts w:hint="eastAsia" w:ascii="仿宋_GB2312" w:eastAsia="仿宋_GB2312"/>
          <w:sz w:val="32"/>
          <w:szCs w:val="32"/>
        </w:rPr>
        <w:t>i)</w:t>
      </w:r>
      <w:r>
        <w:rPr>
          <w:rFonts w:ascii="仿宋_GB2312" w:eastAsia="仿宋_GB2312"/>
          <w:sz w:val="32"/>
          <w:szCs w:val="32"/>
        </w:rPr>
        <w:t xml:space="preserve"> </w:t>
      </w:r>
      <w:r>
        <w:rPr>
          <w:rFonts w:hint="eastAsia" w:ascii="仿宋_GB2312" w:eastAsia="仿宋_GB2312"/>
          <w:sz w:val="32"/>
          <w:szCs w:val="32"/>
        </w:rPr>
        <w:t>统计从业人员是否</w:t>
      </w:r>
      <w:r>
        <w:rPr>
          <w:rFonts w:ascii="仿宋_GB2312" w:eastAsia="仿宋_GB2312"/>
          <w:sz w:val="32"/>
          <w:szCs w:val="32"/>
        </w:rPr>
        <w:t>具备</w:t>
      </w:r>
      <w:r>
        <w:rPr>
          <w:rFonts w:hint="eastAsia" w:ascii="仿宋_GB2312" w:eastAsia="仿宋_GB2312"/>
          <w:sz w:val="32"/>
          <w:szCs w:val="32"/>
        </w:rPr>
        <w:t>履行统计</w:t>
      </w:r>
      <w:r>
        <w:rPr>
          <w:rFonts w:ascii="仿宋_GB2312" w:eastAsia="仿宋_GB2312"/>
          <w:sz w:val="32"/>
          <w:szCs w:val="32"/>
        </w:rPr>
        <w:t>职责的能力素质</w:t>
      </w:r>
      <w:r>
        <w:rPr>
          <w:rFonts w:hint="eastAsia" w:ascii="仿宋_GB2312" w:eastAsia="仿宋_GB2312"/>
          <w:sz w:val="32"/>
          <w:szCs w:val="32"/>
        </w:rPr>
        <w:t>，是否接受</w:t>
      </w:r>
      <w:r>
        <w:rPr>
          <w:rFonts w:ascii="仿宋_GB2312" w:eastAsia="仿宋_GB2312"/>
          <w:sz w:val="32"/>
          <w:szCs w:val="32"/>
        </w:rPr>
        <w:t>过</w:t>
      </w:r>
      <w:r>
        <w:rPr>
          <w:rFonts w:hint="eastAsia" w:ascii="仿宋_GB2312" w:eastAsia="仿宋_GB2312"/>
          <w:sz w:val="32"/>
          <w:szCs w:val="32"/>
        </w:rPr>
        <w:t>履行</w:t>
      </w:r>
      <w:r>
        <w:rPr>
          <w:rFonts w:ascii="仿宋_GB2312" w:eastAsia="仿宋_GB2312"/>
          <w:sz w:val="32"/>
          <w:szCs w:val="32"/>
        </w:rPr>
        <w:t>统计工作职能的业务培训</w:t>
      </w:r>
      <w:r>
        <w:rPr>
          <w:rFonts w:hint="eastAsia" w:ascii="仿宋_GB2312" w:eastAsia="仿宋_GB2312"/>
          <w:sz w:val="32"/>
          <w:szCs w:val="32"/>
        </w:rPr>
        <w:t>；</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j) 企业</w:t>
      </w:r>
      <w:r>
        <w:rPr>
          <w:rFonts w:ascii="仿宋_GB2312" w:eastAsia="仿宋_GB2312"/>
          <w:sz w:val="32"/>
          <w:szCs w:val="32"/>
        </w:rPr>
        <w:t>统计信用状况</w:t>
      </w:r>
      <w:r>
        <w:rPr>
          <w:rFonts w:hint="eastAsia" w:ascii="仿宋_GB2312" w:eastAsia="仿宋_GB2312"/>
          <w:sz w:val="32"/>
          <w:szCs w:val="32"/>
        </w:rPr>
        <w:t>。</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5.2 建立原始记录、统计台账情况</w:t>
      </w:r>
    </w:p>
    <w:p>
      <w:pPr>
        <w:pStyle w:val="159"/>
        <w:tabs>
          <w:tab w:val="center" w:pos="4201"/>
          <w:tab w:val="right" w:leader="dot" w:pos="9298"/>
        </w:tabs>
        <w:spacing w:line="560" w:lineRule="exact"/>
        <w:ind w:firstLine="600" w:firstLineChars="0"/>
        <w:contextualSpacing/>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xml:space="preserve"> </w:t>
      </w:r>
      <w:r>
        <w:rPr>
          <w:rFonts w:hint="eastAsia" w:ascii="仿宋_GB2312" w:eastAsia="仿宋_GB2312"/>
          <w:sz w:val="32"/>
          <w:szCs w:val="32"/>
        </w:rPr>
        <w:t>是否</w:t>
      </w:r>
      <w:r>
        <w:rPr>
          <w:rFonts w:ascii="仿宋_GB2312" w:eastAsia="仿宋_GB2312"/>
          <w:sz w:val="32"/>
          <w:szCs w:val="32"/>
        </w:rPr>
        <w:t>按照</w:t>
      </w:r>
      <w:r>
        <w:rPr>
          <w:rFonts w:hint="eastAsia" w:ascii="仿宋_GB2312" w:eastAsia="仿宋_GB2312"/>
          <w:sz w:val="32"/>
          <w:szCs w:val="32"/>
        </w:rPr>
        <w:t>国家有关规定设置原始记录、统计台账</w:t>
      </w:r>
      <w:r>
        <w:rPr>
          <w:rFonts w:ascii="仿宋_GB2312" w:eastAsia="仿宋_GB2312"/>
          <w:sz w:val="32"/>
          <w:szCs w:val="32"/>
        </w:rPr>
        <w:t>；</w:t>
      </w:r>
    </w:p>
    <w:p>
      <w:pPr>
        <w:pStyle w:val="159"/>
        <w:tabs>
          <w:tab w:val="center" w:pos="4201"/>
          <w:tab w:val="right" w:leader="dot" w:pos="9298"/>
        </w:tabs>
        <w:spacing w:line="560" w:lineRule="exact"/>
        <w:ind w:firstLine="600" w:firstLineChars="0"/>
        <w:contextualSpacing/>
        <w:rPr>
          <w:rFonts w:hint="eastAsia" w:ascii="仿宋_GB2312" w:eastAsia="仿宋_GB2312"/>
          <w:sz w:val="32"/>
          <w:szCs w:val="32"/>
        </w:rPr>
      </w:pPr>
      <w:r>
        <w:rPr>
          <w:rFonts w:hint="eastAsia" w:ascii="仿宋_GB2312" w:eastAsia="仿宋_GB2312"/>
          <w:sz w:val="32"/>
          <w:szCs w:val="32"/>
        </w:rPr>
        <w:t>b)</w:t>
      </w:r>
      <w:r>
        <w:rPr>
          <w:rFonts w:hint="eastAsia"/>
        </w:rPr>
        <w:t xml:space="preserve"> </w:t>
      </w:r>
      <w:r>
        <w:rPr>
          <w:rFonts w:ascii="仿宋_GB2312" w:eastAsia="仿宋_GB2312"/>
          <w:sz w:val="32"/>
          <w:szCs w:val="32"/>
        </w:rPr>
        <w:t>保存相关</w:t>
      </w:r>
      <w:r>
        <w:rPr>
          <w:rFonts w:hint="eastAsia" w:ascii="仿宋_GB2312" w:eastAsia="仿宋_GB2312"/>
          <w:sz w:val="32"/>
          <w:szCs w:val="32"/>
        </w:rPr>
        <w:t>的</w:t>
      </w:r>
      <w:r>
        <w:rPr>
          <w:rFonts w:ascii="仿宋_GB2312" w:eastAsia="仿宋_GB2312"/>
          <w:sz w:val="32"/>
          <w:szCs w:val="32"/>
        </w:rPr>
        <w:t>凭证、资料是否</w:t>
      </w:r>
      <w:r>
        <w:rPr>
          <w:rFonts w:hint="eastAsia" w:ascii="仿宋_GB2312" w:eastAsia="仿宋_GB2312"/>
          <w:sz w:val="32"/>
          <w:szCs w:val="32"/>
        </w:rPr>
        <w:t>规范，是否完整有效，是否符合规定的</w:t>
      </w:r>
      <w:r>
        <w:rPr>
          <w:rFonts w:ascii="仿宋_GB2312" w:eastAsia="仿宋_GB2312"/>
          <w:sz w:val="32"/>
          <w:szCs w:val="32"/>
        </w:rPr>
        <w:t>保存</w:t>
      </w:r>
      <w:r>
        <w:rPr>
          <w:rFonts w:hint="eastAsia" w:ascii="仿宋_GB2312" w:eastAsia="仿宋_GB2312"/>
          <w:sz w:val="32"/>
          <w:szCs w:val="32"/>
        </w:rPr>
        <w:t>期限；</w:t>
      </w:r>
    </w:p>
    <w:p>
      <w:pPr>
        <w:pStyle w:val="159"/>
        <w:tabs>
          <w:tab w:val="center" w:pos="4201"/>
          <w:tab w:val="right" w:leader="dot" w:pos="9298"/>
        </w:tabs>
        <w:spacing w:line="560" w:lineRule="exact"/>
        <w:ind w:firstLine="600" w:firstLineChars="0"/>
        <w:contextualSpacing/>
        <w:rPr>
          <w:rFonts w:ascii="仿宋_GB2312" w:eastAsia="仿宋_GB2312"/>
          <w:sz w:val="32"/>
          <w:szCs w:val="32"/>
        </w:rPr>
      </w:pPr>
      <w:r>
        <w:rPr>
          <w:rFonts w:hint="eastAsia" w:ascii="仿宋_GB2312" w:eastAsia="仿宋_GB2312"/>
          <w:sz w:val="32"/>
          <w:szCs w:val="32"/>
        </w:rPr>
        <w:t>c)</w:t>
      </w:r>
      <w:r>
        <w:rPr>
          <w:rFonts w:ascii="仿宋_GB2312" w:eastAsia="仿宋_GB2312"/>
          <w:sz w:val="32"/>
          <w:szCs w:val="32"/>
        </w:rPr>
        <w:t xml:space="preserve"> </w:t>
      </w:r>
      <w:r>
        <w:rPr>
          <w:rFonts w:hint="eastAsia" w:ascii="仿宋_GB2312" w:eastAsia="仿宋_GB2312"/>
          <w:sz w:val="32"/>
          <w:szCs w:val="32"/>
        </w:rPr>
        <w:t>统计</w:t>
      </w:r>
      <w:r>
        <w:rPr>
          <w:rFonts w:ascii="仿宋_GB2312" w:eastAsia="仿宋_GB2312"/>
          <w:sz w:val="32"/>
          <w:szCs w:val="32"/>
        </w:rPr>
        <w:t>台账</w:t>
      </w:r>
      <w:r>
        <w:rPr>
          <w:rFonts w:hint="eastAsia" w:ascii="仿宋_GB2312" w:eastAsia="仿宋_GB2312"/>
          <w:sz w:val="32"/>
          <w:szCs w:val="32"/>
        </w:rPr>
        <w:t>记载的内容</w:t>
      </w:r>
      <w:r>
        <w:rPr>
          <w:rFonts w:ascii="仿宋_GB2312" w:eastAsia="仿宋_GB2312"/>
          <w:sz w:val="32"/>
          <w:szCs w:val="32"/>
        </w:rPr>
        <w:t>是否</w:t>
      </w:r>
      <w:r>
        <w:rPr>
          <w:rFonts w:hint="eastAsia" w:ascii="仿宋_GB2312" w:eastAsia="仿宋_GB2312"/>
          <w:sz w:val="32"/>
          <w:szCs w:val="32"/>
        </w:rPr>
        <w:t>真实准确，</w:t>
      </w:r>
      <w:r>
        <w:rPr>
          <w:rFonts w:ascii="仿宋_GB2312" w:eastAsia="仿宋_GB2312"/>
          <w:sz w:val="32"/>
          <w:szCs w:val="32"/>
        </w:rPr>
        <w:t>是否</w:t>
      </w:r>
      <w:r>
        <w:rPr>
          <w:rFonts w:hint="eastAsia" w:ascii="仿宋_GB2312" w:eastAsia="仿宋_GB2312"/>
          <w:sz w:val="32"/>
          <w:szCs w:val="32"/>
        </w:rPr>
        <w:t>符合统计</w:t>
      </w:r>
      <w:r>
        <w:rPr>
          <w:rFonts w:ascii="仿宋_GB2312" w:eastAsia="仿宋_GB2312"/>
          <w:sz w:val="32"/>
          <w:szCs w:val="32"/>
        </w:rPr>
        <w:t>制度</w:t>
      </w:r>
      <w:r>
        <w:rPr>
          <w:rFonts w:hint="eastAsia" w:ascii="仿宋_GB2312" w:eastAsia="仿宋_GB2312"/>
          <w:sz w:val="32"/>
          <w:szCs w:val="32"/>
        </w:rPr>
        <w:t>规定</w:t>
      </w:r>
      <w:r>
        <w:rPr>
          <w:rFonts w:ascii="仿宋_GB2312" w:eastAsia="仿宋_GB2312"/>
          <w:sz w:val="32"/>
          <w:szCs w:val="32"/>
        </w:rPr>
        <w:t>；</w:t>
      </w:r>
    </w:p>
    <w:p>
      <w:pPr>
        <w:pStyle w:val="159"/>
        <w:tabs>
          <w:tab w:val="center" w:pos="4201"/>
          <w:tab w:val="right" w:leader="dot" w:pos="9298"/>
        </w:tabs>
        <w:spacing w:line="560" w:lineRule="exact"/>
        <w:ind w:firstLine="600" w:firstLineChars="0"/>
        <w:contextualSpacing/>
        <w:rPr>
          <w:rFonts w:hint="eastAsia" w:ascii="仿宋_GB2312" w:eastAsia="仿宋_GB2312"/>
          <w:sz w:val="32"/>
          <w:szCs w:val="32"/>
        </w:rPr>
      </w:pPr>
      <w:r>
        <w:rPr>
          <w:rFonts w:hint="eastAsia" w:ascii="仿宋_GB2312" w:eastAsia="仿宋_GB2312"/>
          <w:sz w:val="32"/>
          <w:szCs w:val="32"/>
        </w:rPr>
        <w:t>d)是否存在转移、隐匿、篡改、毁弃或者拒绝提供原始记录和凭证、统计台账、统计调查表及其他相关证明和资料的行为</w:t>
      </w:r>
      <w:r>
        <w:rPr>
          <w:rFonts w:ascii="仿宋_GB2312" w:eastAsia="仿宋_GB2312"/>
          <w:sz w:val="32"/>
          <w:szCs w:val="32"/>
        </w:rPr>
        <w:t>。</w:t>
      </w:r>
    </w:p>
    <w:p>
      <w:pPr>
        <w:pStyle w:val="247"/>
        <w:spacing w:before="312" w:beforeLines="0" w:after="312" w:afterLines="0" w:line="560" w:lineRule="exact"/>
        <w:ind w:left="0"/>
        <w:contextualSpacing/>
        <w:rPr>
          <w:sz w:val="32"/>
          <w:szCs w:val="32"/>
        </w:rPr>
      </w:pPr>
      <w:r>
        <w:rPr>
          <w:rFonts w:hint="eastAsia"/>
          <w:sz w:val="32"/>
          <w:szCs w:val="32"/>
        </w:rPr>
        <w:t>实施方式</w:t>
      </w:r>
    </w:p>
    <w:p>
      <w:pPr>
        <w:pStyle w:val="248"/>
        <w:spacing w:before="156" w:beforeLines="0" w:after="156" w:afterLines="0" w:line="560" w:lineRule="exact"/>
        <w:ind w:left="0" w:firstLine="709"/>
        <w:contextualSpacing/>
        <w:rPr>
          <w:sz w:val="32"/>
          <w:szCs w:val="32"/>
        </w:rPr>
      </w:pPr>
      <w:r>
        <w:rPr>
          <w:rFonts w:hint="eastAsia"/>
          <w:sz w:val="32"/>
          <w:szCs w:val="32"/>
        </w:rPr>
        <w:t>属地实施</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根据登记注册管理规定，“双随机、一公开”监管由统计调查对象数据处理地的统计部门负责实施抽查、检查及结果录入等。</w:t>
      </w:r>
    </w:p>
    <w:p>
      <w:pPr>
        <w:pStyle w:val="248"/>
        <w:spacing w:before="156" w:beforeLines="0" w:after="156" w:afterLines="0" w:line="560" w:lineRule="exact"/>
        <w:ind w:left="0" w:firstLine="709"/>
        <w:contextualSpacing/>
        <w:rPr>
          <w:sz w:val="32"/>
          <w:szCs w:val="32"/>
        </w:rPr>
      </w:pPr>
      <w:r>
        <w:rPr>
          <w:rFonts w:hint="eastAsia"/>
          <w:sz w:val="32"/>
          <w:szCs w:val="32"/>
        </w:rPr>
        <w:t>专业实施</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“双随机、一公开”事项监管按照自上而下、统一组织、分层实施等方式自行组织开展。</w:t>
      </w:r>
    </w:p>
    <w:p>
      <w:pPr>
        <w:pStyle w:val="247"/>
        <w:spacing w:before="312" w:beforeLines="0" w:after="312" w:afterLines="0" w:line="560" w:lineRule="exact"/>
        <w:ind w:left="0"/>
        <w:contextualSpacing/>
        <w:rPr>
          <w:sz w:val="32"/>
          <w:szCs w:val="32"/>
        </w:rPr>
      </w:pPr>
      <w:r>
        <w:rPr>
          <w:rFonts w:hint="eastAsia"/>
          <w:sz w:val="32"/>
          <w:szCs w:val="32"/>
        </w:rPr>
        <w:t>抽查实施</w:t>
      </w:r>
    </w:p>
    <w:p>
      <w:pPr>
        <w:pStyle w:val="248"/>
        <w:spacing w:before="156" w:beforeLines="0" w:after="156" w:afterLines="0" w:line="560" w:lineRule="exact"/>
        <w:ind w:left="0" w:firstLine="709"/>
        <w:contextualSpacing/>
        <w:rPr>
          <w:sz w:val="32"/>
          <w:szCs w:val="32"/>
        </w:rPr>
      </w:pPr>
      <w:r>
        <w:rPr>
          <w:rFonts w:hint="eastAsia"/>
          <w:sz w:val="32"/>
          <w:szCs w:val="32"/>
        </w:rPr>
        <w:t>抽取检查对象</w:t>
      </w:r>
    </w:p>
    <w:p>
      <w:pPr>
        <w:pStyle w:val="249"/>
        <w:spacing w:before="156" w:after="156" w:line="560" w:lineRule="exact"/>
        <w:contextualSpacing/>
        <w:rPr>
          <w:sz w:val="32"/>
          <w:szCs w:val="32"/>
        </w:rPr>
      </w:pPr>
      <w:r>
        <w:rPr>
          <w:rFonts w:hint="eastAsia"/>
          <w:sz w:val="32"/>
          <w:szCs w:val="32"/>
        </w:rPr>
        <w:t>上级机关统一抽取</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上级机关通过省政府工作平台统一发起抽查任务、统一抽取检查对象、统一派发至各级统计部门，下级机关登录省政府工作平台认领派发的检查对象。</w:t>
      </w:r>
    </w:p>
    <w:p>
      <w:pPr>
        <w:pStyle w:val="249"/>
        <w:spacing w:before="156" w:after="156" w:line="560" w:lineRule="exact"/>
        <w:contextualSpacing/>
        <w:rPr>
          <w:sz w:val="32"/>
          <w:szCs w:val="32"/>
        </w:rPr>
      </w:pPr>
      <w:r>
        <w:rPr>
          <w:rFonts w:hint="eastAsia"/>
          <w:sz w:val="32"/>
          <w:szCs w:val="32"/>
        </w:rPr>
        <w:t>本级机关自行抽查</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根据年度抽查计划和抽查工作方案，市、区（市）统计部门通过省政府工作平台自行发起抽查任务，按规定的抽查范围和抽查比例，从监管对象库中抽取检查对象。</w:t>
      </w:r>
    </w:p>
    <w:p>
      <w:pPr>
        <w:pStyle w:val="248"/>
        <w:spacing w:before="156" w:beforeLines="0" w:after="156" w:afterLines="0" w:line="560" w:lineRule="exact"/>
        <w:ind w:left="0" w:firstLine="709"/>
        <w:contextualSpacing/>
        <w:rPr>
          <w:sz w:val="32"/>
          <w:szCs w:val="32"/>
        </w:rPr>
      </w:pPr>
      <w:r>
        <w:rPr>
          <w:rFonts w:hint="eastAsia"/>
          <w:sz w:val="32"/>
          <w:szCs w:val="32"/>
        </w:rPr>
        <w:t>匹配执法检查人员</w:t>
      </w:r>
    </w:p>
    <w:p>
      <w:pPr>
        <w:pStyle w:val="250"/>
        <w:spacing w:before="0" w:after="0" w:line="560" w:lineRule="exact"/>
        <w:contextualSpacing/>
        <w:rPr>
          <w:rFonts w:hint="eastAsia" w:ascii="黑体" w:eastAsia="黑体"/>
          <w:sz w:val="32"/>
          <w:szCs w:val="32"/>
        </w:rPr>
      </w:pPr>
      <w:r>
        <w:rPr>
          <w:rFonts w:hint="eastAsia" w:ascii="黑体" w:eastAsia="黑体"/>
          <w:sz w:val="32"/>
          <w:szCs w:val="32"/>
        </w:rPr>
        <w:t>匹配人员</w:t>
      </w:r>
    </w:p>
    <w:p>
      <w:pPr>
        <w:pStyle w:val="250"/>
        <w:numPr>
          <w:ilvl w:val="0"/>
          <w:numId w:val="0"/>
        </w:numPr>
        <w:spacing w:before="0" w:after="0" w:line="56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通过省政府工作平台将抽取的检查对象随机匹配执法检查人员，将检查对象随机派发给各执法检查人员实施检查。</w:t>
      </w:r>
    </w:p>
    <w:p>
      <w:pPr>
        <w:pStyle w:val="250"/>
        <w:spacing w:before="0" w:after="0" w:line="560" w:lineRule="exact"/>
        <w:contextualSpacing/>
        <w:rPr>
          <w:rFonts w:hint="eastAsia" w:ascii="黑体" w:eastAsia="黑体"/>
          <w:sz w:val="32"/>
          <w:szCs w:val="32"/>
        </w:rPr>
      </w:pPr>
      <w:r>
        <w:rPr>
          <w:rFonts w:hint="eastAsia" w:ascii="黑体" w:eastAsia="黑体"/>
          <w:sz w:val="32"/>
          <w:szCs w:val="32"/>
        </w:rPr>
        <w:t>人员要求</w:t>
      </w:r>
    </w:p>
    <w:p>
      <w:pPr>
        <w:pStyle w:val="250"/>
        <w:numPr>
          <w:ilvl w:val="0"/>
          <w:numId w:val="0"/>
        </w:numPr>
        <w:spacing w:before="0" w:after="0" w:line="56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抽取的执法检查人员原则上不得更换，但因岗位调整、工作冲突、身体健康状况等特殊情况无法继续履行检查任务的，由执法</w:t>
      </w:r>
      <w:r>
        <w:rPr>
          <w:rFonts w:ascii="仿宋_GB2312" w:eastAsia="仿宋_GB2312"/>
          <w:sz w:val="32"/>
          <w:szCs w:val="32"/>
        </w:rPr>
        <w:t>监督机构</w:t>
      </w:r>
      <w:r>
        <w:rPr>
          <w:rFonts w:hint="eastAsia" w:ascii="仿宋_GB2312" w:eastAsia="仿宋_GB2312"/>
          <w:sz w:val="32"/>
          <w:szCs w:val="32"/>
        </w:rPr>
        <w:t>负责人根据工作需要，在具备执法资格的其它人员中另行指派。执法检查人员与检查对象有利害关系的，应当申请回避。</w:t>
      </w:r>
    </w:p>
    <w:p>
      <w:pPr>
        <w:pStyle w:val="248"/>
        <w:spacing w:before="156" w:beforeLines="0" w:after="156" w:afterLines="0" w:line="560" w:lineRule="exact"/>
        <w:ind w:left="0" w:firstLine="709"/>
        <w:contextualSpacing/>
        <w:rPr>
          <w:sz w:val="32"/>
          <w:szCs w:val="32"/>
        </w:rPr>
      </w:pPr>
      <w:r>
        <w:rPr>
          <w:rFonts w:hint="eastAsia"/>
          <w:sz w:val="32"/>
          <w:szCs w:val="32"/>
        </w:rPr>
        <w:t>检查方法及实施程序</w:t>
      </w:r>
    </w:p>
    <w:p>
      <w:pPr>
        <w:pStyle w:val="249"/>
        <w:spacing w:before="156" w:after="156" w:line="560" w:lineRule="exact"/>
        <w:contextualSpacing/>
        <w:rPr>
          <w:sz w:val="32"/>
          <w:szCs w:val="32"/>
        </w:rPr>
      </w:pPr>
      <w:r>
        <w:rPr>
          <w:rFonts w:hint="eastAsia"/>
          <w:sz w:val="32"/>
          <w:szCs w:val="32"/>
        </w:rPr>
        <w:t>检查方法</w:t>
      </w:r>
    </w:p>
    <w:p>
      <w:pPr>
        <w:pStyle w:val="251"/>
        <w:numPr>
          <w:ilvl w:val="0"/>
          <w:numId w:val="0"/>
        </w:numPr>
        <w:spacing w:before="0" w:after="0" w:line="56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一般检查事项“双随机、一公开”监管工作可以根据实际情况依法采取书面检查、实地核查、网上查询等方式，可以依法利用其他政府部门检查结论、司法机关生效文书和专业机构作出的专业结论。</w:t>
      </w:r>
    </w:p>
    <w:p>
      <w:pPr>
        <w:pStyle w:val="249"/>
        <w:spacing w:before="156" w:after="156" w:line="560" w:lineRule="exact"/>
        <w:contextualSpacing/>
        <w:rPr>
          <w:sz w:val="32"/>
          <w:szCs w:val="32"/>
        </w:rPr>
      </w:pPr>
      <w:r>
        <w:rPr>
          <w:rFonts w:hint="eastAsia"/>
          <w:sz w:val="32"/>
          <w:szCs w:val="32"/>
        </w:rPr>
        <w:t>现场检查程序</w:t>
      </w:r>
    </w:p>
    <w:p>
      <w:pPr>
        <w:pStyle w:val="249"/>
        <w:numPr>
          <w:ilvl w:val="3"/>
          <w:numId w:val="5"/>
        </w:numPr>
        <w:spacing w:before="156" w:after="156" w:line="560" w:lineRule="exact"/>
        <w:contextualSpacing/>
        <w:rPr>
          <w:sz w:val="32"/>
          <w:szCs w:val="32"/>
        </w:rPr>
      </w:pPr>
      <w:r>
        <w:rPr>
          <w:rFonts w:hint="eastAsia"/>
          <w:sz w:val="32"/>
          <w:szCs w:val="32"/>
        </w:rPr>
        <w:t>预查比对</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按照检查任务要求，通过查询“国家企业信用信息公示系统(山东)”、一套表联网直报平台、综合业务系统、档案资料等方式，掌握检查对象基本信息和动态状况。结合抽查任务要求确定适合的检查方法和检查程序。</w:t>
      </w:r>
    </w:p>
    <w:p>
      <w:pPr>
        <w:pStyle w:val="39"/>
        <w:widowControl/>
        <w:numPr>
          <w:ilvl w:val="3"/>
          <w:numId w:val="5"/>
        </w:numPr>
        <w:spacing w:before="156" w:beforeLines="50" w:after="156" w:afterLines="50" w:line="560" w:lineRule="exact"/>
        <w:contextualSpacing/>
        <w:jc w:val="left"/>
        <w:outlineLvl w:val="4"/>
        <w:rPr>
          <w:sz w:val="32"/>
          <w:szCs w:val="32"/>
        </w:rPr>
      </w:pPr>
      <w:r>
        <w:rPr>
          <w:rFonts w:hint="eastAsia" w:ascii="黑体" w:eastAsia="黑体"/>
          <w:kern w:val="0"/>
          <w:sz w:val="32"/>
          <w:szCs w:val="32"/>
        </w:rPr>
        <w:t>事先告知</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现场检查前，以书面或电话、传真等形式，告知检查对象检查的时间及配合检查的相关要求等，提示准备好相关资料。</w:t>
      </w:r>
    </w:p>
    <w:p>
      <w:pPr>
        <w:pStyle w:val="39"/>
        <w:widowControl/>
        <w:numPr>
          <w:ilvl w:val="3"/>
          <w:numId w:val="5"/>
        </w:numPr>
        <w:spacing w:before="156" w:beforeLines="50" w:after="156" w:afterLines="50" w:line="560" w:lineRule="exact"/>
        <w:contextualSpacing/>
        <w:jc w:val="left"/>
        <w:outlineLvl w:val="4"/>
        <w:rPr>
          <w:rFonts w:hint="eastAsia" w:ascii="黑体" w:eastAsia="黑体"/>
          <w:kern w:val="0"/>
          <w:sz w:val="32"/>
          <w:szCs w:val="32"/>
        </w:rPr>
      </w:pPr>
      <w:r>
        <w:rPr>
          <w:rFonts w:hint="eastAsia" w:ascii="黑体" w:eastAsia="黑体"/>
          <w:kern w:val="0"/>
          <w:sz w:val="32"/>
          <w:szCs w:val="32"/>
        </w:rPr>
        <w:t>现场检查</w:t>
      </w:r>
    </w:p>
    <w:p>
      <w:pPr>
        <w:pStyle w:val="251"/>
        <w:numPr>
          <w:ilvl w:val="0"/>
          <w:numId w:val="0"/>
        </w:numPr>
        <w:spacing w:before="0" w:after="0" w:line="56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应按照如下要求开展现场检查工作：</w:t>
      </w:r>
    </w:p>
    <w:p>
      <w:pPr>
        <w:pStyle w:val="253"/>
        <w:spacing w:line="560" w:lineRule="exact"/>
        <w:ind w:hanging="413"/>
        <w:contextualSpacing/>
        <w:rPr>
          <w:rFonts w:hint="eastAsia" w:ascii="仿宋_GB2312" w:eastAsia="仿宋_GB2312"/>
          <w:sz w:val="32"/>
          <w:szCs w:val="32"/>
        </w:rPr>
      </w:pPr>
      <w:r>
        <w:rPr>
          <w:rFonts w:hint="eastAsia" w:ascii="仿宋_GB2312" w:eastAsia="仿宋_GB2312"/>
          <w:sz w:val="32"/>
          <w:szCs w:val="32"/>
        </w:rPr>
        <w:t>现场检查人员从检查组成员选派但不得少于两人，并应当出示执法证件；</w:t>
      </w:r>
    </w:p>
    <w:p>
      <w:pPr>
        <w:pStyle w:val="253"/>
        <w:spacing w:line="560" w:lineRule="exact"/>
        <w:contextualSpacing/>
        <w:rPr>
          <w:rFonts w:hint="eastAsia" w:ascii="仿宋_GB2312" w:eastAsia="仿宋_GB2312"/>
          <w:sz w:val="32"/>
          <w:szCs w:val="32"/>
        </w:rPr>
      </w:pPr>
      <w:r>
        <w:rPr>
          <w:rFonts w:hint="eastAsia" w:ascii="仿宋_GB2312" w:eastAsia="仿宋_GB2312"/>
          <w:sz w:val="32"/>
          <w:szCs w:val="32"/>
        </w:rPr>
        <w:t>现场检查人员要告知检查对象的权利和义务，检查对象提交准备好的相关资料；</w:t>
      </w:r>
    </w:p>
    <w:p>
      <w:pPr>
        <w:pStyle w:val="253"/>
        <w:spacing w:line="560" w:lineRule="exact"/>
        <w:contextualSpacing/>
        <w:rPr>
          <w:rFonts w:hint="eastAsia" w:ascii="仿宋_GB2312" w:eastAsia="仿宋_GB2312"/>
          <w:sz w:val="32"/>
          <w:szCs w:val="32"/>
        </w:rPr>
      </w:pPr>
      <w:r>
        <w:rPr>
          <w:rFonts w:hint="eastAsia" w:ascii="仿宋_GB2312" w:eastAsia="仿宋_GB2312"/>
          <w:sz w:val="32"/>
          <w:szCs w:val="32"/>
        </w:rPr>
        <w:t>执法检查人员依法实施现场检查，并现场填写双随机抽查检查记录表及现场检查笔录；</w:t>
      </w:r>
    </w:p>
    <w:p>
      <w:pPr>
        <w:pStyle w:val="253"/>
        <w:spacing w:line="560" w:lineRule="exact"/>
        <w:contextualSpacing/>
        <w:rPr>
          <w:rFonts w:hint="eastAsia" w:ascii="仿宋_GB2312" w:eastAsia="仿宋_GB2312"/>
          <w:sz w:val="32"/>
          <w:szCs w:val="32"/>
        </w:rPr>
      </w:pPr>
      <w:r>
        <w:rPr>
          <w:rFonts w:hint="eastAsia" w:ascii="仿宋_GB2312" w:eastAsia="仿宋_GB2312"/>
          <w:sz w:val="32"/>
          <w:szCs w:val="32"/>
        </w:rPr>
        <w:t>检查中发现违法违规等情况的，检查人员视情进行深入检查，对有关人员进行询问，制作询问笔录、初步提取证据、督促当事人整改等相应监管措施。</w:t>
      </w:r>
    </w:p>
    <w:p>
      <w:pPr>
        <w:pStyle w:val="253"/>
        <w:spacing w:line="560" w:lineRule="exact"/>
        <w:contextualSpacing/>
        <w:rPr>
          <w:rFonts w:hint="eastAsia" w:ascii="仿宋_GB2312" w:eastAsia="仿宋_GB2312"/>
          <w:sz w:val="32"/>
          <w:szCs w:val="32"/>
        </w:rPr>
      </w:pPr>
      <w:r>
        <w:rPr>
          <w:rFonts w:hint="eastAsia" w:ascii="仿宋_GB2312" w:eastAsia="仿宋_GB2312"/>
          <w:sz w:val="32"/>
          <w:szCs w:val="32"/>
        </w:rPr>
        <w:t>现场检查事项全部完成后，要求检查对象在记录表上签字或盖章。检查对象拒绝签字或盖章的，由执法检查组全体成员依规</w:t>
      </w:r>
      <w:r>
        <w:rPr>
          <w:rFonts w:ascii="仿宋_GB2312" w:eastAsia="仿宋_GB2312"/>
          <w:sz w:val="32"/>
          <w:szCs w:val="32"/>
        </w:rPr>
        <w:t>取证</w:t>
      </w:r>
      <w:r>
        <w:rPr>
          <w:rFonts w:hint="eastAsia" w:ascii="仿宋_GB2312" w:eastAsia="仿宋_GB2312"/>
          <w:sz w:val="32"/>
          <w:szCs w:val="32"/>
        </w:rPr>
        <w:t>记录</w:t>
      </w:r>
      <w:r>
        <w:rPr>
          <w:rFonts w:ascii="仿宋_GB2312" w:eastAsia="仿宋_GB2312"/>
          <w:sz w:val="32"/>
          <w:szCs w:val="32"/>
        </w:rPr>
        <w:t>，</w:t>
      </w:r>
      <w:r>
        <w:rPr>
          <w:rFonts w:hint="eastAsia" w:ascii="仿宋_GB2312" w:eastAsia="仿宋_GB2312"/>
          <w:sz w:val="32"/>
          <w:szCs w:val="32"/>
        </w:rPr>
        <w:t>在记录表上签字说明。</w:t>
      </w:r>
    </w:p>
    <w:p>
      <w:pPr>
        <w:pStyle w:val="39"/>
        <w:numPr>
          <w:ilvl w:val="3"/>
          <w:numId w:val="5"/>
        </w:numPr>
        <w:spacing w:line="560" w:lineRule="exact"/>
        <w:contextualSpacing/>
        <w:outlineLvl w:val="4"/>
        <w:rPr>
          <w:sz w:val="32"/>
          <w:szCs w:val="32"/>
        </w:rPr>
      </w:pPr>
      <w:r>
        <w:rPr>
          <w:rFonts w:hint="eastAsia" w:ascii="黑体" w:eastAsia="黑体"/>
          <w:kern w:val="0"/>
          <w:sz w:val="32"/>
          <w:szCs w:val="32"/>
        </w:rPr>
        <w:t>录入结果与公示</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执法检查人员根据检查情况填写检查表，并由具体负责检查的人员签字确认。在抽查任务截止前，执法检查人员将抽查检查结果录入省政府工作平台。该检查结果将被共享至国家企业信用信息公示系统(山东)、信用中国(山东)网站等，向社会公示。</w:t>
      </w:r>
    </w:p>
    <w:p>
      <w:pPr>
        <w:pStyle w:val="247"/>
        <w:spacing w:before="312" w:beforeLines="0" w:after="312" w:afterLines="0" w:line="560" w:lineRule="exact"/>
        <w:ind w:left="0"/>
        <w:contextualSpacing/>
        <w:rPr>
          <w:sz w:val="32"/>
          <w:szCs w:val="32"/>
        </w:rPr>
      </w:pPr>
      <w:r>
        <w:rPr>
          <w:rFonts w:hint="eastAsia"/>
          <w:sz w:val="32"/>
          <w:szCs w:val="32"/>
        </w:rPr>
        <w:t>检查证据</w:t>
      </w:r>
    </w:p>
    <w:p>
      <w:pPr>
        <w:pStyle w:val="159"/>
        <w:tabs>
          <w:tab w:val="center" w:pos="4201"/>
          <w:tab w:val="right" w:leader="dot" w:pos="9298"/>
        </w:tabs>
        <w:spacing w:line="560" w:lineRule="exact"/>
        <w:ind w:firstLine="566" w:firstLineChars="177"/>
        <w:contextualSpacing/>
        <w:rPr>
          <w:rFonts w:hint="eastAsia" w:ascii="黑体" w:eastAsia="黑体"/>
          <w:sz w:val="32"/>
          <w:szCs w:val="32"/>
        </w:rPr>
      </w:pPr>
      <w:r>
        <w:rPr>
          <w:rFonts w:hint="eastAsia" w:ascii="黑体" w:eastAsia="黑体"/>
          <w:sz w:val="32"/>
          <w:szCs w:val="32"/>
        </w:rPr>
        <w:t>8.1</w:t>
      </w:r>
      <w:r>
        <w:rPr>
          <w:rFonts w:ascii="黑体" w:eastAsia="黑体"/>
          <w:sz w:val="32"/>
          <w:szCs w:val="32"/>
        </w:rPr>
        <w:t xml:space="preserve"> </w:t>
      </w:r>
      <w:r>
        <w:rPr>
          <w:rFonts w:hint="eastAsia" w:ascii="黑体" w:eastAsia="黑体"/>
          <w:sz w:val="32"/>
          <w:szCs w:val="32"/>
        </w:rPr>
        <w:t>行业</w:t>
      </w:r>
      <w:r>
        <w:rPr>
          <w:rFonts w:ascii="黑体" w:eastAsia="黑体"/>
          <w:sz w:val="32"/>
          <w:szCs w:val="32"/>
        </w:rPr>
        <w:t>划分</w:t>
      </w:r>
      <w:r>
        <w:rPr>
          <w:rFonts w:hint="eastAsia" w:ascii="黑体" w:eastAsia="黑体"/>
          <w:sz w:val="32"/>
          <w:szCs w:val="32"/>
        </w:rPr>
        <w:t>及名称变更情况检查</w:t>
      </w:r>
    </w:p>
    <w:p>
      <w:pPr>
        <w:pStyle w:val="159"/>
        <w:tabs>
          <w:tab w:val="center" w:pos="4201"/>
          <w:tab w:val="right" w:leader="dot" w:pos="9298"/>
        </w:tabs>
        <w:spacing w:line="560" w:lineRule="exact"/>
        <w:ind w:firstLine="585" w:firstLineChars="0"/>
        <w:contextualSpacing/>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xml:space="preserve">) </w:t>
      </w:r>
      <w:r>
        <w:rPr>
          <w:rFonts w:hint="eastAsia" w:ascii="仿宋_GB2312" w:eastAsia="仿宋_GB2312"/>
          <w:sz w:val="32"/>
          <w:szCs w:val="32"/>
        </w:rPr>
        <w:t>检查营业执照正副本，提取复制件；如营业执照</w:t>
      </w:r>
      <w:r>
        <w:rPr>
          <w:rFonts w:ascii="仿宋_GB2312" w:eastAsia="仿宋_GB2312"/>
          <w:sz w:val="32"/>
          <w:szCs w:val="32"/>
        </w:rPr>
        <w:t>信息</w:t>
      </w:r>
      <w:r>
        <w:rPr>
          <w:rFonts w:hint="eastAsia" w:ascii="仿宋_GB2312" w:eastAsia="仿宋_GB2312"/>
          <w:sz w:val="32"/>
          <w:szCs w:val="32"/>
        </w:rPr>
        <w:t>有</w:t>
      </w:r>
      <w:r>
        <w:rPr>
          <w:rFonts w:ascii="仿宋_GB2312" w:eastAsia="仿宋_GB2312"/>
          <w:sz w:val="32"/>
          <w:szCs w:val="32"/>
        </w:rPr>
        <w:t>变</w:t>
      </w:r>
      <w:r>
        <w:rPr>
          <w:rFonts w:hint="eastAsia" w:ascii="仿宋_GB2312" w:eastAsia="仿宋_GB2312"/>
          <w:sz w:val="32"/>
          <w:szCs w:val="32"/>
        </w:rPr>
        <w:t>更</w:t>
      </w:r>
      <w:r>
        <w:rPr>
          <w:rFonts w:ascii="仿宋_GB2312" w:eastAsia="仿宋_GB2312"/>
          <w:sz w:val="32"/>
          <w:szCs w:val="32"/>
        </w:rPr>
        <w:t>，</w:t>
      </w:r>
      <w:r>
        <w:rPr>
          <w:rFonts w:hint="eastAsia" w:ascii="仿宋_GB2312" w:eastAsia="仿宋_GB2312"/>
          <w:sz w:val="32"/>
          <w:szCs w:val="32"/>
        </w:rPr>
        <w:t>提取市场</w:t>
      </w:r>
      <w:r>
        <w:rPr>
          <w:rFonts w:ascii="仿宋_GB2312" w:eastAsia="仿宋_GB2312"/>
          <w:sz w:val="32"/>
          <w:szCs w:val="32"/>
        </w:rPr>
        <w:t>监管部门</w:t>
      </w:r>
      <w:r>
        <w:rPr>
          <w:rFonts w:hint="eastAsia" w:ascii="仿宋_GB2312" w:eastAsia="仿宋_GB2312"/>
          <w:sz w:val="32"/>
          <w:szCs w:val="32"/>
        </w:rPr>
        <w:t>登记备案的</w:t>
      </w:r>
      <w:r>
        <w:rPr>
          <w:rFonts w:ascii="仿宋_GB2312" w:eastAsia="仿宋_GB2312"/>
          <w:sz w:val="32"/>
          <w:szCs w:val="32"/>
        </w:rPr>
        <w:t>证明材料</w:t>
      </w:r>
      <w:r>
        <w:rPr>
          <w:rFonts w:hint="eastAsia" w:ascii="仿宋_GB2312" w:eastAsia="仿宋_GB2312"/>
          <w:sz w:val="32"/>
          <w:szCs w:val="32"/>
        </w:rPr>
        <w:t>；</w:t>
      </w:r>
    </w:p>
    <w:p>
      <w:pPr>
        <w:pStyle w:val="159"/>
        <w:tabs>
          <w:tab w:val="center" w:pos="4201"/>
          <w:tab w:val="right" w:leader="dot" w:pos="9298"/>
        </w:tabs>
        <w:spacing w:line="560" w:lineRule="exact"/>
        <w:ind w:firstLine="585" w:firstLineChars="0"/>
        <w:contextualSpacing/>
        <w:rPr>
          <w:rFonts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检查法定代表人身份证，提取复制件；</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ascii="仿宋_GB2312" w:eastAsia="仿宋_GB2312"/>
          <w:sz w:val="32"/>
          <w:szCs w:val="32"/>
        </w:rPr>
        <w:t xml:space="preserve">c) </w:t>
      </w:r>
      <w:r>
        <w:rPr>
          <w:rFonts w:hint="eastAsia" w:ascii="仿宋_GB2312" w:eastAsia="仿宋_GB2312"/>
          <w:sz w:val="32"/>
          <w:szCs w:val="32"/>
        </w:rPr>
        <w:t>法定代表人授权委托书，接受检查人员身份证，提取复制件；</w:t>
      </w:r>
    </w:p>
    <w:p>
      <w:pPr>
        <w:pStyle w:val="159"/>
        <w:tabs>
          <w:tab w:val="center" w:pos="4201"/>
          <w:tab w:val="right" w:leader="dot" w:pos="9298"/>
        </w:tabs>
        <w:spacing w:line="560" w:lineRule="exact"/>
        <w:ind w:firstLine="566" w:firstLineChars="177"/>
        <w:contextualSpacing/>
        <w:rPr>
          <w:rFonts w:ascii="仿宋_GB2312" w:eastAsia="仿宋_GB2312"/>
          <w:sz w:val="32"/>
          <w:szCs w:val="32"/>
        </w:rPr>
      </w:pPr>
      <w:r>
        <w:rPr>
          <w:rFonts w:ascii="仿宋_GB2312" w:eastAsia="仿宋_GB2312"/>
          <w:sz w:val="32"/>
          <w:szCs w:val="32"/>
        </w:rPr>
        <w:t>d)</w:t>
      </w:r>
      <w:r>
        <w:rPr>
          <w:rFonts w:hint="eastAsia"/>
        </w:rPr>
        <w:t xml:space="preserve"> </w:t>
      </w:r>
      <w:r>
        <w:rPr>
          <w:rFonts w:hint="eastAsia" w:ascii="仿宋_GB2312" w:eastAsia="仿宋_GB2312"/>
          <w:sz w:val="32"/>
          <w:szCs w:val="32"/>
        </w:rPr>
        <w:t>检查对象有关情况表；</w:t>
      </w:r>
    </w:p>
    <w:p>
      <w:pPr>
        <w:pStyle w:val="159"/>
        <w:tabs>
          <w:tab w:val="center" w:pos="4201"/>
          <w:tab w:val="right" w:leader="dot" w:pos="9298"/>
        </w:tabs>
        <w:spacing w:line="560" w:lineRule="exact"/>
        <w:ind w:firstLine="566" w:firstLineChars="177"/>
        <w:contextualSpacing/>
        <w:rPr>
          <w:rFonts w:hint="eastAsia" w:ascii="仿宋_GB2312" w:eastAsia="仿宋_GB2312"/>
          <w:sz w:val="32"/>
          <w:szCs w:val="32"/>
        </w:rPr>
      </w:pPr>
      <w:r>
        <w:rPr>
          <w:rFonts w:ascii="仿宋_GB2312" w:eastAsia="仿宋_GB2312"/>
          <w:sz w:val="32"/>
          <w:szCs w:val="32"/>
        </w:rPr>
        <w:t xml:space="preserve">e) </w:t>
      </w:r>
      <w:r>
        <w:rPr>
          <w:rFonts w:hint="eastAsia" w:ascii="仿宋_GB2312" w:eastAsia="仿宋_GB2312"/>
          <w:sz w:val="32"/>
          <w:szCs w:val="32"/>
        </w:rPr>
        <w:t>要求法定代表人或法人授权委托人现场接受核查。</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8.2 纳入统计联网直报单位名录</w:t>
      </w:r>
      <w:r>
        <w:rPr>
          <w:rFonts w:ascii="黑体" w:eastAsia="黑体"/>
          <w:sz w:val="32"/>
          <w:szCs w:val="32"/>
        </w:rPr>
        <w:t>库</w:t>
      </w:r>
      <w:r>
        <w:rPr>
          <w:rFonts w:hint="eastAsia" w:ascii="黑体" w:eastAsia="黑体"/>
          <w:sz w:val="32"/>
          <w:szCs w:val="32"/>
        </w:rPr>
        <w:t>合规检查</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同8.1</w:t>
      </w:r>
      <w:r>
        <w:rPr>
          <w:rFonts w:hint="eastAsia" w:ascii="仿宋_GB2312" w:eastAsia="仿宋_GB2312"/>
          <w:sz w:val="32"/>
          <w:szCs w:val="32"/>
        </w:rPr>
        <w:t xml:space="preserve"> a</w:t>
      </w:r>
      <w:r>
        <w:rPr>
          <w:rFonts w:ascii="仿宋_GB2312" w:eastAsia="仿宋_GB2312"/>
          <w:sz w:val="32"/>
          <w:szCs w:val="32"/>
        </w:rPr>
        <w:t>)、b)</w:t>
      </w:r>
      <w:r>
        <w:rPr>
          <w:rFonts w:hint="eastAsia" w:ascii="仿宋_GB2312" w:eastAsia="仿宋_GB2312"/>
          <w:sz w:val="32"/>
          <w:szCs w:val="32"/>
        </w:rPr>
        <w:t>、</w:t>
      </w:r>
      <w:r>
        <w:rPr>
          <w:rFonts w:ascii="仿宋_GB2312" w:eastAsia="仿宋_GB2312"/>
          <w:sz w:val="32"/>
          <w:szCs w:val="32"/>
        </w:rPr>
        <w:t>c)</w:t>
      </w:r>
      <w:r>
        <w:rPr>
          <w:rFonts w:hint="eastAsia" w:ascii="仿宋_GB2312" w:eastAsia="仿宋_GB2312"/>
          <w:sz w:val="32"/>
          <w:szCs w:val="32"/>
        </w:rPr>
        <w:t>、</w:t>
      </w:r>
      <w:r>
        <w:rPr>
          <w:rFonts w:ascii="仿宋_GB2312" w:eastAsia="仿宋_GB2312"/>
          <w:sz w:val="32"/>
          <w:szCs w:val="32"/>
        </w:rPr>
        <w:t>d)</w:t>
      </w:r>
      <w:r>
        <w:rPr>
          <w:rFonts w:hint="eastAsia" w:ascii="仿宋_GB2312" w:eastAsia="仿宋_GB2312"/>
          <w:sz w:val="32"/>
          <w:szCs w:val="32"/>
        </w:rPr>
        <w:t>、</w:t>
      </w:r>
      <w:r>
        <w:rPr>
          <w:rFonts w:ascii="仿宋_GB2312" w:eastAsia="仿宋_GB2312"/>
          <w:sz w:val="32"/>
          <w:szCs w:val="32"/>
        </w:rPr>
        <w:t>e)项；</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检查对象纳入统计基本单位名录库的提报材料、财务资料及相关证明材料，提取相关复制件。</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8.3</w:t>
      </w:r>
      <w:r>
        <w:rPr>
          <w:rFonts w:ascii="黑体" w:eastAsia="黑体"/>
          <w:sz w:val="32"/>
          <w:szCs w:val="32"/>
        </w:rPr>
        <w:t xml:space="preserve"> </w:t>
      </w:r>
      <w:r>
        <w:rPr>
          <w:rFonts w:hint="eastAsia" w:ascii="黑体" w:eastAsia="黑体"/>
          <w:sz w:val="32"/>
          <w:szCs w:val="32"/>
        </w:rPr>
        <w:t>上报提供统计资料情况检查</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同8.1</w:t>
      </w:r>
      <w:r>
        <w:rPr>
          <w:rFonts w:hint="eastAsia" w:ascii="仿宋_GB2312" w:eastAsia="仿宋_GB2312"/>
          <w:sz w:val="32"/>
          <w:szCs w:val="32"/>
        </w:rPr>
        <w:t xml:space="preserve"> a</w:t>
      </w:r>
      <w:r>
        <w:rPr>
          <w:rFonts w:ascii="仿宋_GB2312" w:eastAsia="仿宋_GB2312"/>
          <w:sz w:val="32"/>
          <w:szCs w:val="32"/>
        </w:rPr>
        <w:t>)、b)</w:t>
      </w:r>
      <w:r>
        <w:rPr>
          <w:rFonts w:hint="eastAsia" w:ascii="仿宋_GB2312" w:eastAsia="仿宋_GB2312"/>
          <w:sz w:val="32"/>
          <w:szCs w:val="32"/>
        </w:rPr>
        <w:t>、</w:t>
      </w:r>
      <w:r>
        <w:rPr>
          <w:rFonts w:ascii="仿宋_GB2312" w:eastAsia="仿宋_GB2312"/>
          <w:sz w:val="32"/>
          <w:szCs w:val="32"/>
        </w:rPr>
        <w:t>c)</w:t>
      </w:r>
      <w:r>
        <w:rPr>
          <w:rFonts w:hint="eastAsia" w:ascii="仿宋_GB2312" w:eastAsia="仿宋_GB2312"/>
          <w:sz w:val="32"/>
          <w:szCs w:val="32"/>
        </w:rPr>
        <w:t>、</w:t>
      </w:r>
      <w:r>
        <w:rPr>
          <w:rFonts w:ascii="仿宋_GB2312" w:eastAsia="仿宋_GB2312"/>
          <w:sz w:val="32"/>
          <w:szCs w:val="32"/>
        </w:rPr>
        <w:t>d)</w:t>
      </w:r>
      <w:r>
        <w:rPr>
          <w:rFonts w:hint="eastAsia" w:ascii="仿宋_GB2312" w:eastAsia="仿宋_GB2312"/>
          <w:sz w:val="32"/>
          <w:szCs w:val="32"/>
        </w:rPr>
        <w:t>、</w:t>
      </w:r>
      <w:r>
        <w:rPr>
          <w:rFonts w:ascii="仿宋_GB2312" w:eastAsia="仿宋_GB2312"/>
          <w:sz w:val="32"/>
          <w:szCs w:val="32"/>
        </w:rPr>
        <w:t>e)项；</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检查对象指定报告期的统计报表，</w:t>
      </w:r>
      <w:r>
        <w:rPr>
          <w:rFonts w:ascii="仿宋_GB2312" w:eastAsia="仿宋_GB2312"/>
          <w:sz w:val="32"/>
          <w:szCs w:val="32"/>
        </w:rPr>
        <w:t>提取</w:t>
      </w:r>
      <w:r>
        <w:rPr>
          <w:rFonts w:hint="eastAsia" w:ascii="仿宋_GB2312" w:eastAsia="仿宋_GB2312"/>
          <w:sz w:val="32"/>
          <w:szCs w:val="32"/>
        </w:rPr>
        <w:t>原件或复制件；</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ascii="仿宋_GB2312" w:eastAsia="仿宋_GB2312"/>
          <w:sz w:val="32"/>
          <w:szCs w:val="32"/>
        </w:rPr>
        <w:t xml:space="preserve">c) </w:t>
      </w:r>
      <w:r>
        <w:rPr>
          <w:rFonts w:hint="eastAsia" w:ascii="仿宋_GB2312" w:eastAsia="仿宋_GB2312"/>
          <w:sz w:val="32"/>
          <w:szCs w:val="32"/>
        </w:rPr>
        <w:t>检查对象对应报表期的营业收入明细账或科目余额表、利润表、资产负债表、审计报告、销售明细表等相关原始凭证或其它证明材料等，包括涉及</w:t>
      </w:r>
      <w:r>
        <w:rPr>
          <w:rFonts w:ascii="仿宋_GB2312" w:eastAsia="仿宋_GB2312"/>
          <w:sz w:val="32"/>
          <w:szCs w:val="32"/>
        </w:rPr>
        <w:t>检查指标</w:t>
      </w:r>
      <w:r>
        <w:rPr>
          <w:rFonts w:hint="eastAsia" w:ascii="仿宋_GB2312" w:eastAsia="仿宋_GB2312"/>
          <w:sz w:val="32"/>
          <w:szCs w:val="32"/>
        </w:rPr>
        <w:t>对应</w:t>
      </w:r>
      <w:r>
        <w:rPr>
          <w:rFonts w:ascii="仿宋_GB2312" w:eastAsia="仿宋_GB2312"/>
          <w:sz w:val="32"/>
          <w:szCs w:val="32"/>
        </w:rPr>
        <w:t>的</w:t>
      </w:r>
      <w:r>
        <w:rPr>
          <w:rFonts w:hint="eastAsia" w:ascii="仿宋_GB2312" w:eastAsia="仿宋_GB2312"/>
          <w:sz w:val="32"/>
          <w:szCs w:val="32"/>
        </w:rPr>
        <w:t>购进销售凭证、收付款凭证、库存变化表、出入库单据、工作</w:t>
      </w:r>
      <w:r>
        <w:rPr>
          <w:rFonts w:ascii="仿宋_GB2312" w:eastAsia="仿宋_GB2312"/>
          <w:sz w:val="32"/>
          <w:szCs w:val="32"/>
        </w:rPr>
        <w:t>台账</w:t>
      </w:r>
      <w:r>
        <w:rPr>
          <w:rFonts w:hint="eastAsia" w:ascii="仿宋_GB2312" w:eastAsia="仿宋_GB2312"/>
          <w:sz w:val="32"/>
          <w:szCs w:val="32"/>
        </w:rPr>
        <w:t>记录、增值税纳税申报表等，提取原件或复制件。</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8.4 统计从业人员参加统计业务培训情况检查</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同8.1</w:t>
      </w:r>
      <w:r>
        <w:rPr>
          <w:rFonts w:hint="eastAsia" w:ascii="仿宋_GB2312" w:eastAsia="仿宋_GB2312"/>
          <w:sz w:val="32"/>
          <w:szCs w:val="32"/>
        </w:rPr>
        <w:t xml:space="preserve"> a</w:t>
      </w:r>
      <w:r>
        <w:rPr>
          <w:rFonts w:ascii="仿宋_GB2312" w:eastAsia="仿宋_GB2312"/>
          <w:sz w:val="32"/>
          <w:szCs w:val="32"/>
        </w:rPr>
        <w:t>)、b)</w:t>
      </w:r>
      <w:r>
        <w:rPr>
          <w:rFonts w:hint="eastAsia" w:ascii="仿宋_GB2312" w:eastAsia="仿宋_GB2312"/>
          <w:sz w:val="32"/>
          <w:szCs w:val="32"/>
        </w:rPr>
        <w:t>、</w:t>
      </w:r>
      <w:r>
        <w:rPr>
          <w:rFonts w:ascii="仿宋_GB2312" w:eastAsia="仿宋_GB2312"/>
          <w:sz w:val="32"/>
          <w:szCs w:val="32"/>
        </w:rPr>
        <w:t>c)</w:t>
      </w:r>
      <w:r>
        <w:rPr>
          <w:rFonts w:hint="eastAsia" w:ascii="仿宋_GB2312" w:eastAsia="仿宋_GB2312"/>
          <w:sz w:val="32"/>
          <w:szCs w:val="32"/>
        </w:rPr>
        <w:t>、</w:t>
      </w:r>
      <w:r>
        <w:rPr>
          <w:rFonts w:ascii="仿宋_GB2312" w:eastAsia="仿宋_GB2312"/>
          <w:sz w:val="32"/>
          <w:szCs w:val="32"/>
        </w:rPr>
        <w:t>d)</w:t>
      </w:r>
      <w:r>
        <w:rPr>
          <w:rFonts w:hint="eastAsia" w:ascii="仿宋_GB2312" w:eastAsia="仿宋_GB2312"/>
          <w:sz w:val="32"/>
          <w:szCs w:val="32"/>
        </w:rPr>
        <w:t>、</w:t>
      </w:r>
      <w:r>
        <w:rPr>
          <w:rFonts w:ascii="仿宋_GB2312" w:eastAsia="仿宋_GB2312"/>
          <w:sz w:val="32"/>
          <w:szCs w:val="32"/>
        </w:rPr>
        <w:t>e)项；</w:t>
      </w:r>
    </w:p>
    <w:p>
      <w:pPr>
        <w:pStyle w:val="159"/>
        <w:tabs>
          <w:tab w:val="center" w:pos="4201"/>
          <w:tab w:val="right" w:leader="dot" w:pos="9298"/>
        </w:tabs>
        <w:spacing w:line="560" w:lineRule="exact"/>
        <w:ind w:firstLine="588" w:firstLineChars="0"/>
        <w:contextualSpacing/>
        <w:rPr>
          <w:rFonts w:hint="eastAsia"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检查统计人员参加统计业务培训的签到记录证明、领取的统计制度规定及业务资料证明，提取复制件。</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8.5 统计台账建立合规检查</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同8.1</w:t>
      </w:r>
      <w:r>
        <w:rPr>
          <w:rFonts w:hint="eastAsia" w:ascii="仿宋_GB2312" w:eastAsia="仿宋_GB2312"/>
          <w:sz w:val="32"/>
          <w:szCs w:val="32"/>
        </w:rPr>
        <w:t xml:space="preserve"> a</w:t>
      </w:r>
      <w:r>
        <w:rPr>
          <w:rFonts w:ascii="仿宋_GB2312" w:eastAsia="仿宋_GB2312"/>
          <w:sz w:val="32"/>
          <w:szCs w:val="32"/>
        </w:rPr>
        <w:t>)、b)</w:t>
      </w:r>
      <w:r>
        <w:rPr>
          <w:rFonts w:hint="eastAsia" w:ascii="仿宋_GB2312" w:eastAsia="仿宋_GB2312"/>
          <w:sz w:val="32"/>
          <w:szCs w:val="32"/>
        </w:rPr>
        <w:t>、</w:t>
      </w:r>
      <w:r>
        <w:rPr>
          <w:rFonts w:ascii="仿宋_GB2312" w:eastAsia="仿宋_GB2312"/>
          <w:sz w:val="32"/>
          <w:szCs w:val="32"/>
        </w:rPr>
        <w:t>c)</w:t>
      </w:r>
      <w:r>
        <w:rPr>
          <w:rFonts w:hint="eastAsia" w:ascii="仿宋_GB2312" w:eastAsia="仿宋_GB2312"/>
          <w:sz w:val="32"/>
          <w:szCs w:val="32"/>
        </w:rPr>
        <w:t>、</w:t>
      </w:r>
      <w:r>
        <w:rPr>
          <w:rFonts w:ascii="仿宋_GB2312" w:eastAsia="仿宋_GB2312"/>
          <w:sz w:val="32"/>
          <w:szCs w:val="32"/>
        </w:rPr>
        <w:t>d)</w:t>
      </w:r>
      <w:r>
        <w:rPr>
          <w:rFonts w:hint="eastAsia" w:ascii="仿宋_GB2312" w:eastAsia="仿宋_GB2312"/>
          <w:sz w:val="32"/>
          <w:szCs w:val="32"/>
        </w:rPr>
        <w:t>、</w:t>
      </w:r>
      <w:r>
        <w:rPr>
          <w:rFonts w:ascii="仿宋_GB2312" w:eastAsia="仿宋_GB2312"/>
          <w:sz w:val="32"/>
          <w:szCs w:val="32"/>
        </w:rPr>
        <w:t>e)项；</w:t>
      </w:r>
    </w:p>
    <w:p>
      <w:pPr>
        <w:pStyle w:val="159"/>
        <w:tabs>
          <w:tab w:val="center" w:pos="4201"/>
          <w:tab w:val="right" w:leader="dot" w:pos="9298"/>
        </w:tabs>
        <w:spacing w:line="560" w:lineRule="exact"/>
        <w:ind w:firstLine="612" w:firstLineChars="0"/>
        <w:contextualSpacing/>
        <w:rPr>
          <w:rFonts w:hint="eastAsia"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检查对象具体报告期的统计台账，提取复制件。</w:t>
      </w:r>
    </w:p>
    <w:p>
      <w:pPr>
        <w:pStyle w:val="159"/>
        <w:tabs>
          <w:tab w:val="center" w:pos="4201"/>
          <w:tab w:val="right" w:leader="dot" w:pos="9298"/>
        </w:tabs>
        <w:spacing w:line="560" w:lineRule="exact"/>
        <w:ind w:firstLine="640"/>
        <w:contextualSpacing/>
        <w:rPr>
          <w:rFonts w:hint="eastAsia" w:ascii="黑体" w:eastAsia="黑体"/>
          <w:sz w:val="32"/>
          <w:szCs w:val="32"/>
        </w:rPr>
      </w:pPr>
      <w:r>
        <w:rPr>
          <w:rFonts w:hint="eastAsia" w:ascii="黑体" w:eastAsia="黑体"/>
          <w:sz w:val="32"/>
          <w:szCs w:val="32"/>
        </w:rPr>
        <w:t>8.6</w:t>
      </w:r>
      <w:r>
        <w:rPr>
          <w:rFonts w:ascii="黑体" w:eastAsia="黑体"/>
          <w:sz w:val="32"/>
          <w:szCs w:val="32"/>
        </w:rPr>
        <w:t xml:space="preserve"> </w:t>
      </w:r>
      <w:r>
        <w:rPr>
          <w:rFonts w:hint="eastAsia" w:ascii="黑体" w:eastAsia="黑体"/>
          <w:sz w:val="32"/>
          <w:szCs w:val="32"/>
        </w:rPr>
        <w:t>原始记录、</w:t>
      </w:r>
      <w:r>
        <w:rPr>
          <w:rFonts w:ascii="黑体" w:eastAsia="黑体"/>
          <w:sz w:val="32"/>
          <w:szCs w:val="32"/>
        </w:rPr>
        <w:t>统计台账</w:t>
      </w:r>
      <w:r>
        <w:rPr>
          <w:rFonts w:hint="eastAsia" w:ascii="黑体" w:eastAsia="黑体"/>
          <w:sz w:val="32"/>
          <w:szCs w:val="32"/>
        </w:rPr>
        <w:t>管理情况检查</w:t>
      </w:r>
    </w:p>
    <w:p>
      <w:pPr>
        <w:pStyle w:val="159"/>
        <w:tabs>
          <w:tab w:val="center" w:pos="4201"/>
          <w:tab w:val="right" w:leader="dot" w:pos="9298"/>
        </w:tabs>
        <w:spacing w:line="560" w:lineRule="exact"/>
        <w:ind w:firstLine="585" w:firstLineChars="0"/>
        <w:contextualSpacing/>
        <w:rPr>
          <w:rFonts w:hint="eastAsia" w:ascii="仿宋_GB2312" w:eastAsia="仿宋_GB2312"/>
          <w:sz w:val="32"/>
          <w:szCs w:val="32"/>
        </w:rPr>
      </w:pPr>
      <w:r>
        <w:rPr>
          <w:rFonts w:hint="eastAsia" w:ascii="仿宋_GB2312" w:eastAsia="仿宋_GB2312"/>
          <w:sz w:val="32"/>
          <w:szCs w:val="32"/>
        </w:rPr>
        <w:t>a</w:t>
      </w:r>
      <w:r>
        <w:rPr>
          <w:rFonts w:ascii="仿宋_GB2312" w:eastAsia="仿宋_GB2312"/>
          <w:sz w:val="32"/>
          <w:szCs w:val="32"/>
        </w:rPr>
        <w:t>) 同8.1</w:t>
      </w:r>
      <w:r>
        <w:rPr>
          <w:rFonts w:hint="eastAsia" w:ascii="仿宋_GB2312" w:eastAsia="仿宋_GB2312"/>
          <w:sz w:val="32"/>
          <w:szCs w:val="32"/>
        </w:rPr>
        <w:t xml:space="preserve"> a</w:t>
      </w:r>
      <w:r>
        <w:rPr>
          <w:rFonts w:ascii="仿宋_GB2312" w:eastAsia="仿宋_GB2312"/>
          <w:sz w:val="32"/>
          <w:szCs w:val="32"/>
        </w:rPr>
        <w:t>)、b)</w:t>
      </w:r>
      <w:r>
        <w:rPr>
          <w:rFonts w:hint="eastAsia" w:ascii="仿宋_GB2312" w:eastAsia="仿宋_GB2312"/>
          <w:sz w:val="32"/>
          <w:szCs w:val="32"/>
        </w:rPr>
        <w:t>、</w:t>
      </w:r>
      <w:r>
        <w:rPr>
          <w:rFonts w:ascii="仿宋_GB2312" w:eastAsia="仿宋_GB2312"/>
          <w:sz w:val="32"/>
          <w:szCs w:val="32"/>
        </w:rPr>
        <w:t>c)</w:t>
      </w:r>
      <w:r>
        <w:rPr>
          <w:rFonts w:hint="eastAsia" w:ascii="仿宋_GB2312" w:eastAsia="仿宋_GB2312"/>
          <w:sz w:val="32"/>
          <w:szCs w:val="32"/>
        </w:rPr>
        <w:t>、</w:t>
      </w:r>
      <w:r>
        <w:rPr>
          <w:rFonts w:ascii="仿宋_GB2312" w:eastAsia="仿宋_GB2312"/>
          <w:sz w:val="32"/>
          <w:szCs w:val="32"/>
        </w:rPr>
        <w:t>d)</w:t>
      </w:r>
      <w:r>
        <w:rPr>
          <w:rFonts w:hint="eastAsia" w:ascii="仿宋_GB2312" w:eastAsia="仿宋_GB2312"/>
          <w:sz w:val="32"/>
          <w:szCs w:val="32"/>
        </w:rPr>
        <w:t>、</w:t>
      </w:r>
      <w:r>
        <w:rPr>
          <w:rFonts w:ascii="仿宋_GB2312" w:eastAsia="仿宋_GB2312"/>
          <w:sz w:val="32"/>
          <w:szCs w:val="32"/>
        </w:rPr>
        <w:t>e)项；</w:t>
      </w:r>
    </w:p>
    <w:p>
      <w:pPr>
        <w:pStyle w:val="159"/>
        <w:tabs>
          <w:tab w:val="center" w:pos="4201"/>
          <w:tab w:val="right" w:leader="dot" w:pos="9298"/>
        </w:tabs>
        <w:spacing w:line="560" w:lineRule="exact"/>
        <w:ind w:firstLine="612" w:firstLineChars="0"/>
        <w:contextualSpacing/>
        <w:rPr>
          <w:rFonts w:ascii="仿宋_GB2312" w:eastAsia="仿宋_GB2312"/>
          <w:sz w:val="32"/>
          <w:szCs w:val="32"/>
        </w:rPr>
      </w:pPr>
      <w:r>
        <w:rPr>
          <w:rFonts w:ascii="仿宋_GB2312" w:eastAsia="仿宋_GB2312"/>
          <w:sz w:val="32"/>
          <w:szCs w:val="32"/>
        </w:rPr>
        <w:t xml:space="preserve">b) </w:t>
      </w:r>
      <w:r>
        <w:rPr>
          <w:rFonts w:hint="eastAsia" w:ascii="仿宋_GB2312" w:eastAsia="仿宋_GB2312"/>
          <w:sz w:val="32"/>
          <w:szCs w:val="32"/>
        </w:rPr>
        <w:t>检查对象填报统计报表相关的原始记录和凭证及其他相关证明和资料行为</w:t>
      </w:r>
      <w:r>
        <w:rPr>
          <w:rFonts w:ascii="仿宋_GB2312" w:eastAsia="仿宋_GB2312"/>
          <w:sz w:val="32"/>
          <w:szCs w:val="32"/>
        </w:rPr>
        <w:t>的证</w:t>
      </w:r>
      <w:r>
        <w:rPr>
          <w:rFonts w:hint="eastAsia" w:ascii="仿宋_GB2312" w:eastAsia="仿宋_GB2312"/>
          <w:sz w:val="32"/>
          <w:szCs w:val="32"/>
        </w:rPr>
        <w:t>据</w:t>
      </w:r>
      <w:r>
        <w:rPr>
          <w:rFonts w:ascii="仿宋_GB2312" w:eastAsia="仿宋_GB2312"/>
          <w:sz w:val="32"/>
          <w:szCs w:val="32"/>
        </w:rPr>
        <w:t>材料</w:t>
      </w:r>
      <w:r>
        <w:rPr>
          <w:rFonts w:hint="eastAsia" w:ascii="仿宋_GB2312" w:eastAsia="仿宋_GB2312"/>
          <w:sz w:val="32"/>
          <w:szCs w:val="32"/>
        </w:rPr>
        <w:t>，统计台账的记载内容，提取原件或复制件。</w:t>
      </w:r>
    </w:p>
    <w:p>
      <w:pPr>
        <w:pStyle w:val="159"/>
        <w:tabs>
          <w:tab w:val="center" w:pos="4201"/>
          <w:tab w:val="right" w:leader="dot" w:pos="9298"/>
        </w:tabs>
        <w:spacing w:line="560" w:lineRule="exact"/>
        <w:ind w:firstLine="612" w:firstLineChars="0"/>
        <w:contextualSpacing/>
        <w:rPr>
          <w:rFonts w:hint="eastAsia" w:ascii="仿宋_GB2312" w:eastAsia="仿宋_GB2312"/>
          <w:sz w:val="32"/>
          <w:szCs w:val="32"/>
        </w:rPr>
      </w:pPr>
      <w:r>
        <w:rPr>
          <w:rFonts w:ascii="仿宋_GB2312" w:eastAsia="仿宋_GB2312"/>
          <w:sz w:val="32"/>
          <w:szCs w:val="32"/>
        </w:rPr>
        <w:t xml:space="preserve">c) </w:t>
      </w:r>
      <w:r>
        <w:rPr>
          <w:rFonts w:hint="eastAsia" w:ascii="仿宋_GB2312" w:eastAsia="仿宋_GB2312"/>
          <w:sz w:val="32"/>
          <w:szCs w:val="32"/>
        </w:rPr>
        <w:t>确认</w:t>
      </w:r>
      <w:r>
        <w:rPr>
          <w:rFonts w:ascii="仿宋_GB2312" w:eastAsia="仿宋_GB2312"/>
          <w:sz w:val="32"/>
          <w:szCs w:val="32"/>
        </w:rPr>
        <w:t>有</w:t>
      </w:r>
      <w:r>
        <w:rPr>
          <w:rFonts w:hint="eastAsia" w:ascii="仿宋_GB2312" w:eastAsia="仿宋_GB2312"/>
          <w:sz w:val="32"/>
          <w:szCs w:val="32"/>
        </w:rPr>
        <w:t>转移、隐匿、篡改、毁弃或者拒绝提供原始记录和凭证、统计台账、统计调查表及，提取复制件。</w:t>
      </w:r>
    </w:p>
    <w:p>
      <w:pPr>
        <w:pStyle w:val="247"/>
        <w:spacing w:before="312" w:beforeLines="0" w:after="312" w:afterLines="0" w:line="560" w:lineRule="exact"/>
        <w:ind w:left="0"/>
        <w:contextualSpacing/>
        <w:rPr>
          <w:sz w:val="32"/>
          <w:szCs w:val="32"/>
        </w:rPr>
      </w:pPr>
      <w:r>
        <w:rPr>
          <w:rFonts w:hint="eastAsia"/>
          <w:sz w:val="32"/>
          <w:szCs w:val="32"/>
        </w:rPr>
        <w:t>后续处理</w:t>
      </w:r>
    </w:p>
    <w:p>
      <w:pPr>
        <w:pStyle w:val="248"/>
        <w:spacing w:before="156" w:beforeLines="0" w:after="156" w:afterLines="0" w:line="560" w:lineRule="exact"/>
        <w:ind w:left="2" w:firstLine="704" w:firstLineChars="220"/>
        <w:contextualSpacing/>
        <w:rPr>
          <w:sz w:val="32"/>
          <w:szCs w:val="32"/>
        </w:rPr>
      </w:pPr>
      <w:r>
        <w:rPr>
          <w:rFonts w:hint="eastAsia"/>
          <w:sz w:val="32"/>
          <w:szCs w:val="32"/>
        </w:rPr>
        <w:t>列入</w:t>
      </w:r>
      <w:r>
        <w:rPr>
          <w:sz w:val="32"/>
          <w:szCs w:val="32"/>
        </w:rPr>
        <w:t>统计失信</w:t>
      </w:r>
      <w:r>
        <w:rPr>
          <w:rFonts w:hint="eastAsia"/>
          <w:sz w:val="32"/>
          <w:szCs w:val="32"/>
        </w:rPr>
        <w:t>名录</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将提供不真实或者不完整统计资料、迟报统计资料，被评定为统计上一般失信、严重失信的检查对象，依法依规列入统计失信名录。</w:t>
      </w:r>
    </w:p>
    <w:p>
      <w:pPr>
        <w:pStyle w:val="248"/>
        <w:spacing w:before="156" w:beforeLines="0" w:after="156" w:afterLines="0" w:line="560" w:lineRule="exact"/>
        <w:ind w:left="2" w:firstLine="704" w:firstLineChars="220"/>
        <w:contextualSpacing/>
        <w:rPr>
          <w:sz w:val="32"/>
          <w:szCs w:val="32"/>
        </w:rPr>
      </w:pPr>
      <w:r>
        <w:rPr>
          <w:rFonts w:hint="eastAsia"/>
          <w:sz w:val="32"/>
          <w:szCs w:val="32"/>
        </w:rPr>
        <w:t>对外公示</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将拒绝、阻碍统计检查的、提供不真实或者不完整统计资料的、迟报统计资料的，被评定</w:t>
      </w:r>
      <w:r>
        <w:rPr>
          <w:rFonts w:ascii="仿宋_GB2312" w:eastAsia="仿宋_GB2312"/>
          <w:sz w:val="32"/>
          <w:szCs w:val="32"/>
        </w:rPr>
        <w:t>为</w:t>
      </w:r>
      <w:r>
        <w:rPr>
          <w:rFonts w:hint="eastAsia" w:ascii="仿宋_GB2312" w:eastAsia="仿宋_GB2312"/>
          <w:sz w:val="32"/>
          <w:szCs w:val="32"/>
        </w:rPr>
        <w:t>统计</w:t>
      </w:r>
      <w:r>
        <w:rPr>
          <w:rFonts w:ascii="仿宋_GB2312" w:eastAsia="仿宋_GB2312"/>
          <w:sz w:val="32"/>
          <w:szCs w:val="32"/>
        </w:rPr>
        <w:t>上一般失信、严重失信的</w:t>
      </w:r>
      <w:r>
        <w:rPr>
          <w:rFonts w:hint="eastAsia" w:ascii="仿宋_GB2312" w:eastAsia="仿宋_GB2312"/>
          <w:sz w:val="32"/>
          <w:szCs w:val="32"/>
        </w:rPr>
        <w:t>检查对象，录入省政府工作平台，对外公示。</w:t>
      </w:r>
    </w:p>
    <w:p>
      <w:pPr>
        <w:pStyle w:val="248"/>
        <w:spacing w:before="156" w:beforeLines="0" w:after="156" w:afterLines="0" w:line="560" w:lineRule="exact"/>
        <w:ind w:left="2" w:firstLine="704" w:firstLineChars="220"/>
        <w:contextualSpacing/>
        <w:rPr>
          <w:sz w:val="32"/>
          <w:szCs w:val="32"/>
        </w:rPr>
      </w:pPr>
      <w:r>
        <w:rPr>
          <w:rFonts w:hint="eastAsia"/>
          <w:sz w:val="32"/>
          <w:szCs w:val="32"/>
        </w:rPr>
        <w:t>移交线索</w:t>
      </w:r>
    </w:p>
    <w:p>
      <w:pPr>
        <w:pStyle w:val="249"/>
        <w:spacing w:before="156" w:after="156" w:line="560" w:lineRule="exact"/>
        <w:contextualSpacing/>
        <w:rPr>
          <w:sz w:val="32"/>
          <w:szCs w:val="32"/>
        </w:rPr>
      </w:pPr>
      <w:r>
        <w:rPr>
          <w:rFonts w:hint="eastAsia"/>
          <w:sz w:val="32"/>
          <w:szCs w:val="32"/>
        </w:rPr>
        <w:t>统计系统内部移交</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对于检查中发现的提供不真实或者不完整统计资料等涉嫌违法违规线索，作为案源移交统计系统执法监督机构依法实施后续处理。</w:t>
      </w:r>
    </w:p>
    <w:p>
      <w:pPr>
        <w:pStyle w:val="249"/>
        <w:spacing w:before="156" w:after="156" w:line="560" w:lineRule="exact"/>
        <w:contextualSpacing/>
        <w:rPr>
          <w:sz w:val="32"/>
          <w:szCs w:val="32"/>
        </w:rPr>
      </w:pPr>
      <w:r>
        <w:rPr>
          <w:rFonts w:hint="eastAsia"/>
          <w:sz w:val="32"/>
          <w:szCs w:val="32"/>
        </w:rPr>
        <w:t>政府监管部门之间移交</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对于检查中发现的涉嫌统计造假、弄虚作假等违法违规线索，依法移交相关部门。</w:t>
      </w:r>
    </w:p>
    <w:p>
      <w:pPr>
        <w:pStyle w:val="247"/>
        <w:spacing w:before="312" w:beforeLines="0" w:after="312" w:afterLines="0"/>
        <w:ind w:left="0"/>
        <w:rPr>
          <w:sz w:val="32"/>
          <w:szCs w:val="32"/>
        </w:rPr>
      </w:pPr>
      <w:r>
        <w:rPr>
          <w:rFonts w:hint="eastAsia"/>
          <w:sz w:val="32"/>
          <w:szCs w:val="32"/>
        </w:rPr>
        <w:t>档案管理</w:t>
      </w:r>
    </w:p>
    <w:p>
      <w:pPr>
        <w:pStyle w:val="248"/>
        <w:numPr>
          <w:ilvl w:val="0"/>
          <w:numId w:val="0"/>
        </w:numPr>
        <w:spacing w:before="156" w:beforeLines="0" w:after="156" w:afterLines="0" w:line="560" w:lineRule="exact"/>
        <w:ind w:firstLine="640" w:firstLineChars="200"/>
        <w:contextualSpacing/>
        <w:rPr>
          <w:sz w:val="32"/>
          <w:szCs w:val="32"/>
        </w:rPr>
      </w:pPr>
      <w:r>
        <w:rPr>
          <w:rFonts w:hint="eastAsia"/>
          <w:sz w:val="32"/>
          <w:szCs w:val="32"/>
        </w:rPr>
        <w:t>1</w:t>
      </w:r>
      <w:r>
        <w:rPr>
          <w:sz w:val="32"/>
          <w:szCs w:val="32"/>
        </w:rPr>
        <w:t>0.1</w:t>
      </w:r>
      <w:r>
        <w:rPr>
          <w:rFonts w:hint="eastAsia"/>
          <w:sz w:val="32"/>
          <w:szCs w:val="32"/>
        </w:rPr>
        <w:t>管理职责</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市、区（市）两级统计部门执法监督机构负责“双随机、一公开”事项监管相关档案材料日常管理，明确管理人员。</w:t>
      </w:r>
    </w:p>
    <w:p>
      <w:pPr>
        <w:pStyle w:val="248"/>
        <w:numPr>
          <w:ilvl w:val="0"/>
          <w:numId w:val="0"/>
        </w:numPr>
        <w:spacing w:before="156" w:beforeLines="0" w:after="156" w:afterLines="0" w:line="560" w:lineRule="exact"/>
        <w:ind w:firstLine="640" w:firstLineChars="200"/>
        <w:contextualSpacing/>
        <w:rPr>
          <w:sz w:val="32"/>
          <w:szCs w:val="32"/>
        </w:rPr>
      </w:pPr>
      <w:r>
        <w:rPr>
          <w:rFonts w:hint="eastAsia"/>
          <w:sz w:val="32"/>
          <w:szCs w:val="32"/>
        </w:rPr>
        <w:t>1</w:t>
      </w:r>
      <w:r>
        <w:rPr>
          <w:sz w:val="32"/>
          <w:szCs w:val="32"/>
        </w:rPr>
        <w:t>0.2</w:t>
      </w:r>
      <w:r>
        <w:rPr>
          <w:rFonts w:hint="eastAsia"/>
          <w:sz w:val="32"/>
          <w:szCs w:val="32"/>
        </w:rPr>
        <w:t>委托管理</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根据工作需要，“双随机、一公开”监管工作档案统一整理，经执法监督机构负责人审核无误后，移交档案管理人员归档。</w:t>
      </w:r>
    </w:p>
    <w:p>
      <w:pPr>
        <w:pStyle w:val="248"/>
        <w:numPr>
          <w:ilvl w:val="0"/>
          <w:numId w:val="0"/>
        </w:numPr>
        <w:spacing w:before="156" w:beforeLines="0" w:after="156" w:afterLines="0" w:line="560" w:lineRule="exact"/>
        <w:ind w:firstLine="640" w:firstLineChars="200"/>
        <w:contextualSpacing/>
        <w:rPr>
          <w:rFonts w:hint="eastAsia"/>
          <w:sz w:val="32"/>
          <w:szCs w:val="32"/>
        </w:rPr>
      </w:pPr>
      <w:r>
        <w:rPr>
          <w:rFonts w:hint="eastAsia"/>
          <w:sz w:val="32"/>
          <w:szCs w:val="32"/>
        </w:rPr>
        <w:t>10.3 卷宗整理</w:t>
      </w:r>
    </w:p>
    <w:p>
      <w:pPr>
        <w:pStyle w:val="159"/>
        <w:tabs>
          <w:tab w:val="center" w:pos="4201"/>
          <w:tab w:val="right" w:leader="dot" w:pos="9298"/>
        </w:tabs>
        <w:spacing w:line="560" w:lineRule="exact"/>
        <w:ind w:firstLine="0" w:firstLineChars="0"/>
        <w:contextualSpacing/>
        <w:rPr>
          <w:rFonts w:hint="eastAsia" w:ascii="黑体" w:eastAsia="黑体"/>
          <w:sz w:val="32"/>
          <w:szCs w:val="32"/>
        </w:rPr>
      </w:pPr>
      <w:r>
        <w:rPr>
          <w:rFonts w:hint="eastAsia" w:ascii="黑体" w:eastAsia="黑体"/>
          <w:sz w:val="32"/>
          <w:szCs w:val="32"/>
        </w:rPr>
        <w:t>10.3.1  卷内材料</w:t>
      </w:r>
    </w:p>
    <w:p>
      <w:pPr>
        <w:pStyle w:val="159"/>
        <w:tabs>
          <w:tab w:val="center" w:pos="4201"/>
          <w:tab w:val="right" w:leader="dot" w:pos="9298"/>
        </w:tabs>
        <w:spacing w:line="560" w:lineRule="exact"/>
        <w:ind w:firstLine="672" w:firstLineChars="0"/>
        <w:contextualSpacing/>
        <w:rPr>
          <w:rFonts w:hint="eastAsia" w:ascii="仿宋_GB2312" w:eastAsia="仿宋_GB2312"/>
          <w:sz w:val="32"/>
          <w:szCs w:val="32"/>
        </w:rPr>
      </w:pPr>
      <w:r>
        <w:rPr>
          <w:rFonts w:hint="eastAsia" w:ascii="仿宋_GB2312" w:eastAsia="仿宋_GB2312"/>
          <w:sz w:val="32"/>
          <w:szCs w:val="32"/>
        </w:rPr>
        <w:t>按照本文件8.1-8.</w:t>
      </w:r>
      <w:r>
        <w:rPr>
          <w:rFonts w:ascii="仿宋_GB2312" w:eastAsia="仿宋_GB2312"/>
          <w:sz w:val="32"/>
          <w:szCs w:val="32"/>
        </w:rPr>
        <w:t>6</w:t>
      </w:r>
      <w:r>
        <w:rPr>
          <w:rFonts w:hint="eastAsia" w:ascii="仿宋_GB2312" w:eastAsia="仿宋_GB2312"/>
          <w:sz w:val="32"/>
          <w:szCs w:val="32"/>
        </w:rPr>
        <w:t>之规定，提取的所有证据材料均应入卷。对于拍摄的照片，应当打印至A4纸上；对于拍摄的视频应当制作成光盘，装袋入卷。</w:t>
      </w:r>
    </w:p>
    <w:p>
      <w:pPr>
        <w:pStyle w:val="159"/>
        <w:tabs>
          <w:tab w:val="center" w:pos="4201"/>
          <w:tab w:val="right" w:leader="dot" w:pos="9298"/>
        </w:tabs>
        <w:spacing w:line="560" w:lineRule="exact"/>
        <w:ind w:firstLine="0" w:firstLineChars="0"/>
        <w:contextualSpacing/>
        <w:rPr>
          <w:rFonts w:hint="eastAsia" w:ascii="仿宋_GB2312" w:eastAsia="仿宋_GB2312"/>
          <w:sz w:val="32"/>
          <w:szCs w:val="32"/>
        </w:rPr>
      </w:pPr>
      <w:r>
        <w:rPr>
          <w:rFonts w:hint="eastAsia" w:ascii="黑体" w:eastAsia="黑体"/>
          <w:sz w:val="32"/>
          <w:szCs w:val="32"/>
        </w:rPr>
        <w:t xml:space="preserve">10.3.2 </w:t>
      </w:r>
      <w:r>
        <w:rPr>
          <w:rFonts w:hint="eastAsia" w:ascii="仿宋_GB2312" w:eastAsia="仿宋_GB2312"/>
          <w:sz w:val="32"/>
          <w:szCs w:val="32"/>
        </w:rPr>
        <w:t xml:space="preserve"> </w:t>
      </w:r>
      <w:r>
        <w:rPr>
          <w:rFonts w:hint="eastAsia" w:ascii="黑体" w:eastAsia="黑体"/>
          <w:sz w:val="32"/>
          <w:szCs w:val="32"/>
        </w:rPr>
        <w:t>材料排序</w:t>
      </w:r>
    </w:p>
    <w:p>
      <w:pPr>
        <w:pStyle w:val="159"/>
        <w:tabs>
          <w:tab w:val="center" w:pos="4201"/>
          <w:tab w:val="right" w:leader="dot" w:pos="9298"/>
        </w:tabs>
        <w:spacing w:line="560" w:lineRule="exact"/>
        <w:ind w:firstLine="672" w:firstLineChars="0"/>
        <w:contextualSpacing/>
        <w:rPr>
          <w:rFonts w:hint="eastAsia" w:ascii="仿宋_GB2312" w:eastAsia="仿宋_GB2312"/>
          <w:sz w:val="32"/>
          <w:szCs w:val="32"/>
        </w:rPr>
      </w:pPr>
      <w:r>
        <w:rPr>
          <w:rFonts w:hint="eastAsia" w:ascii="仿宋_GB2312" w:eastAsia="仿宋_GB2312"/>
          <w:sz w:val="32"/>
          <w:szCs w:val="32"/>
        </w:rPr>
        <w:t>按照本文件8.1-8.</w:t>
      </w:r>
      <w:r>
        <w:rPr>
          <w:rFonts w:ascii="仿宋_GB2312" w:eastAsia="仿宋_GB2312"/>
          <w:sz w:val="32"/>
          <w:szCs w:val="32"/>
        </w:rPr>
        <w:t>6</w:t>
      </w:r>
      <w:r>
        <w:rPr>
          <w:rFonts w:hint="eastAsia" w:ascii="仿宋_GB2312" w:eastAsia="仿宋_GB2312"/>
          <w:sz w:val="32"/>
          <w:szCs w:val="32"/>
        </w:rPr>
        <w:t>的顺序，逐份整理所有证据材料，在右上角上统一编排页码，编制形成卷内材料目录。</w:t>
      </w:r>
    </w:p>
    <w:p>
      <w:pPr>
        <w:pStyle w:val="159"/>
        <w:tabs>
          <w:tab w:val="center" w:pos="4201"/>
          <w:tab w:val="right" w:leader="dot" w:pos="9298"/>
        </w:tabs>
        <w:spacing w:line="560" w:lineRule="exact"/>
        <w:ind w:firstLine="0" w:firstLineChars="0"/>
        <w:contextualSpacing/>
        <w:rPr>
          <w:rFonts w:hint="eastAsia" w:ascii="仿宋_GB2312" w:eastAsia="仿宋_GB2312"/>
          <w:sz w:val="32"/>
          <w:szCs w:val="32"/>
        </w:rPr>
      </w:pPr>
      <w:r>
        <w:rPr>
          <w:rFonts w:hint="eastAsia" w:ascii="黑体" w:eastAsia="黑体"/>
          <w:sz w:val="32"/>
          <w:szCs w:val="32"/>
        </w:rPr>
        <w:t>10.3.3  卷宗装订</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卷宗应当按统一标准装订成册，卷宗整理归档。</w:t>
      </w:r>
    </w:p>
    <w:p>
      <w:pPr>
        <w:pStyle w:val="248"/>
        <w:numPr>
          <w:ilvl w:val="0"/>
          <w:numId w:val="0"/>
        </w:numPr>
        <w:spacing w:before="156" w:beforeLines="0" w:after="156" w:afterLines="0" w:line="560" w:lineRule="exact"/>
        <w:ind w:firstLine="640" w:firstLineChars="200"/>
        <w:contextualSpacing/>
        <w:rPr>
          <w:sz w:val="32"/>
          <w:szCs w:val="32"/>
        </w:rPr>
      </w:pPr>
      <w:r>
        <w:rPr>
          <w:rFonts w:hint="eastAsia"/>
          <w:sz w:val="32"/>
          <w:szCs w:val="32"/>
        </w:rPr>
        <w:t>10.4管理要求</w:t>
      </w:r>
    </w:p>
    <w:p>
      <w:pPr>
        <w:pStyle w:val="159"/>
        <w:tabs>
          <w:tab w:val="center" w:pos="4201"/>
          <w:tab w:val="right" w:leader="dot" w:pos="9298"/>
        </w:tabs>
        <w:spacing w:line="560" w:lineRule="exact"/>
        <w:ind w:firstLine="640"/>
        <w:contextualSpacing/>
        <w:rPr>
          <w:rFonts w:hint="eastAsia" w:ascii="仿宋_GB2312" w:eastAsia="仿宋_GB2312"/>
          <w:sz w:val="32"/>
          <w:szCs w:val="32"/>
        </w:rPr>
      </w:pPr>
      <w:r>
        <w:rPr>
          <w:rFonts w:hint="eastAsia" w:ascii="仿宋_GB2312" w:eastAsia="仿宋_GB2312"/>
          <w:sz w:val="32"/>
          <w:szCs w:val="32"/>
        </w:rPr>
        <w:t>档案材料一经归档，未经批准不得擅自抽取、涂改、增删卷内文书材料，确需修改的，应当详细记录修改的时间、内容、原因和经办人、审定人等信息。</w:t>
      </w:r>
    </w:p>
    <w:p>
      <w:pPr>
        <w:pStyle w:val="248"/>
        <w:numPr>
          <w:ilvl w:val="0"/>
          <w:numId w:val="0"/>
        </w:numPr>
        <w:spacing w:before="156" w:beforeLines="0" w:after="156" w:afterLines="0" w:line="560" w:lineRule="exact"/>
        <w:ind w:firstLine="640" w:firstLineChars="200"/>
        <w:contextualSpacing/>
        <w:rPr>
          <w:sz w:val="32"/>
          <w:szCs w:val="32"/>
        </w:rPr>
      </w:pPr>
      <w:r>
        <w:rPr>
          <w:rFonts w:hint="eastAsia"/>
          <w:sz w:val="32"/>
          <w:szCs w:val="32"/>
        </w:rPr>
        <w:t>10.5档案利用</w:t>
      </w:r>
    </w:p>
    <w:p>
      <w:pPr>
        <w:pStyle w:val="250"/>
        <w:numPr>
          <w:ilvl w:val="0"/>
          <w:numId w:val="0"/>
        </w:numPr>
        <w:spacing w:before="0" w:after="0" w:line="560" w:lineRule="exact"/>
        <w:contextualSpacing/>
        <w:jc w:val="both"/>
        <w:rPr>
          <w:rFonts w:ascii="黑体" w:eastAsia="黑体"/>
          <w:sz w:val="32"/>
          <w:szCs w:val="32"/>
        </w:rPr>
      </w:pPr>
      <w:r>
        <w:rPr>
          <w:rFonts w:hint="eastAsia" w:ascii="黑体" w:eastAsia="黑体"/>
          <w:sz w:val="32"/>
          <w:szCs w:val="32"/>
        </w:rPr>
        <w:t>10.5.1</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档案未经批准不得擅自查阅、外借，档案资料未经批准，不得复印、散播。</w:t>
      </w:r>
    </w:p>
    <w:p>
      <w:pPr>
        <w:pStyle w:val="250"/>
        <w:numPr>
          <w:ilvl w:val="0"/>
          <w:numId w:val="0"/>
        </w:numPr>
        <w:spacing w:before="0" w:after="0" w:line="560" w:lineRule="exact"/>
        <w:contextualSpacing/>
        <w:jc w:val="both"/>
        <w:rPr>
          <w:rFonts w:ascii="黑体" w:eastAsia="黑体"/>
          <w:sz w:val="32"/>
          <w:szCs w:val="32"/>
        </w:rPr>
      </w:pPr>
      <w:r>
        <w:rPr>
          <w:rFonts w:hint="eastAsia" w:ascii="黑体" w:eastAsia="黑体"/>
          <w:sz w:val="32"/>
          <w:szCs w:val="32"/>
        </w:rPr>
        <w:t>10.5.2</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借阅档案应当报经执法监督机构负责人、分管局领导同意，并履行借阅登记手续。</w:t>
      </w:r>
    </w:p>
    <w:p>
      <w:pPr>
        <w:pStyle w:val="250"/>
        <w:numPr>
          <w:ilvl w:val="0"/>
          <w:numId w:val="0"/>
        </w:numPr>
        <w:spacing w:before="0" w:after="0" w:line="560" w:lineRule="exact"/>
        <w:contextualSpacing/>
        <w:jc w:val="both"/>
        <w:rPr>
          <w:rFonts w:hint="eastAsia" w:ascii="黑体" w:eastAsia="黑体"/>
          <w:sz w:val="32"/>
          <w:szCs w:val="32"/>
        </w:rPr>
        <w:sectPr>
          <w:footerReference r:id="rId21" w:type="default"/>
          <w:headerReference r:id="rId20" w:type="even"/>
          <w:footerReference r:id="rId22" w:type="even"/>
          <w:pgSz w:w="11906" w:h="16838"/>
          <w:pgMar w:top="2098" w:right="1474" w:bottom="1985" w:left="1588" w:header="851" w:footer="794" w:gutter="0"/>
          <w:pgNumType w:fmt="numberInDash"/>
          <w:cols w:space="425" w:num="1"/>
          <w:docGrid w:type="lines" w:linePitch="312" w:charSpace="0"/>
        </w:sectPr>
      </w:pPr>
    </w:p>
    <w:p>
      <w:pPr>
        <w:pStyle w:val="250"/>
        <w:numPr>
          <w:ilvl w:val="0"/>
          <w:numId w:val="0"/>
        </w:numPr>
        <w:spacing w:before="0" w:after="0" w:line="560" w:lineRule="exact"/>
        <w:contextualSpacing/>
        <w:jc w:val="both"/>
        <w:rPr>
          <w:rFonts w:ascii="黑体" w:eastAsia="黑体"/>
          <w:sz w:val="32"/>
          <w:szCs w:val="32"/>
        </w:rPr>
      </w:pPr>
      <w:r>
        <w:rPr>
          <w:rFonts w:hint="eastAsia" w:ascii="黑体" w:eastAsia="黑体"/>
          <w:sz w:val="32"/>
          <w:szCs w:val="32"/>
        </w:rPr>
        <w:t>10.5.3</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严格遵守保密有关制度规定，不得违反档案管理规定擅自向任何单位或者个人提供档案资料。</w:t>
      </w:r>
    </w:p>
    <w:p>
      <w:pPr>
        <w:pStyle w:val="250"/>
        <w:numPr>
          <w:ilvl w:val="0"/>
          <w:numId w:val="0"/>
        </w:numPr>
        <w:spacing w:before="0" w:after="0" w:line="560" w:lineRule="exact"/>
        <w:contextualSpacing/>
        <w:jc w:val="both"/>
        <w:rPr>
          <w:rFonts w:ascii="黑体" w:eastAsia="黑体"/>
          <w:sz w:val="32"/>
          <w:szCs w:val="32"/>
        </w:rPr>
      </w:pPr>
      <w:r>
        <w:rPr>
          <w:rFonts w:hint="eastAsia" w:ascii="黑体" w:eastAsia="黑体"/>
          <w:sz w:val="32"/>
          <w:szCs w:val="32"/>
        </w:rPr>
        <w:t>10.5.4</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档案借阅归还后，档案管理人员应当认真核对档案有无拆封、短缺、污损等情况，发现问题及时报告并注明有关情况。</w:t>
      </w:r>
    </w:p>
    <w:p>
      <w:pPr>
        <w:pStyle w:val="248"/>
        <w:numPr>
          <w:ilvl w:val="0"/>
          <w:numId w:val="0"/>
        </w:numPr>
        <w:spacing w:before="156" w:beforeLines="0" w:after="156" w:afterLines="0" w:line="560" w:lineRule="exact"/>
        <w:ind w:firstLine="640" w:firstLineChars="200"/>
        <w:contextualSpacing/>
        <w:rPr>
          <w:rFonts w:hint="eastAsia"/>
          <w:sz w:val="32"/>
          <w:szCs w:val="32"/>
        </w:rPr>
      </w:pPr>
      <w:r>
        <w:rPr>
          <w:rFonts w:hint="eastAsia"/>
          <w:sz w:val="32"/>
          <w:szCs w:val="32"/>
        </w:rPr>
        <w:t>10.6保存期限</w:t>
      </w:r>
    </w:p>
    <w:p>
      <w:pPr>
        <w:pStyle w:val="250"/>
        <w:numPr>
          <w:ilvl w:val="0"/>
          <w:numId w:val="0"/>
        </w:numPr>
        <w:spacing w:before="0" w:after="0" w:line="560" w:lineRule="exact"/>
        <w:contextualSpacing/>
        <w:jc w:val="both"/>
        <w:rPr>
          <w:rFonts w:ascii="仿宋_GB2312" w:eastAsia="仿宋_GB2312"/>
          <w:sz w:val="32"/>
          <w:szCs w:val="32"/>
        </w:rPr>
      </w:pPr>
      <w:r>
        <w:rPr>
          <w:rFonts w:hint="eastAsia" w:ascii="黑体" w:eastAsia="黑体"/>
          <w:sz w:val="32"/>
          <w:szCs w:val="32"/>
        </w:rPr>
        <w:t>10.6.1</w:t>
      </w:r>
      <w:r>
        <w:rPr>
          <w:rFonts w:hint="eastAsia" w:ascii="仿宋_GB2312" w:eastAsia="仿宋_GB2312"/>
          <w:sz w:val="32"/>
          <w:szCs w:val="32"/>
        </w:rPr>
        <w:t xml:space="preserve"> </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一般检查事项“双随机、一公开”监管工作档案自归档之日起保留五年。</w:t>
      </w:r>
    </w:p>
    <w:p>
      <w:pPr>
        <w:pStyle w:val="250"/>
        <w:numPr>
          <w:ilvl w:val="0"/>
          <w:numId w:val="0"/>
        </w:numPr>
        <w:spacing w:before="0" w:after="0" w:line="560" w:lineRule="exact"/>
        <w:contextualSpacing/>
        <w:jc w:val="both"/>
        <w:rPr>
          <w:rFonts w:ascii="黑体" w:eastAsia="黑体"/>
          <w:sz w:val="32"/>
          <w:szCs w:val="32"/>
        </w:rPr>
      </w:pPr>
      <w:r>
        <w:rPr>
          <w:rFonts w:hint="eastAsia" w:ascii="黑体" w:eastAsia="黑体"/>
          <w:sz w:val="32"/>
          <w:szCs w:val="32"/>
        </w:rPr>
        <w:t>10.6.2</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保存期限届满前三个月，管理人员应当形成书面报告，经执法监督机构负责人签字同意后，按规定销毁。</w:t>
      </w:r>
    </w:p>
    <w:p>
      <w:pPr>
        <w:pStyle w:val="250"/>
        <w:numPr>
          <w:ilvl w:val="0"/>
          <w:numId w:val="0"/>
        </w:numPr>
        <w:spacing w:before="0" w:after="0" w:line="560" w:lineRule="exact"/>
        <w:contextualSpacing/>
        <w:jc w:val="both"/>
        <w:rPr>
          <w:rFonts w:ascii="黑体" w:eastAsia="黑体"/>
          <w:sz w:val="32"/>
          <w:szCs w:val="32"/>
        </w:rPr>
      </w:pPr>
      <w:r>
        <w:rPr>
          <w:rFonts w:hint="eastAsia" w:ascii="黑体" w:eastAsia="黑体"/>
          <w:sz w:val="32"/>
          <w:szCs w:val="32"/>
        </w:rPr>
        <w:t>10.6.3</w:t>
      </w:r>
    </w:p>
    <w:p>
      <w:pPr>
        <w:pStyle w:val="250"/>
        <w:numPr>
          <w:ilvl w:val="0"/>
          <w:numId w:val="0"/>
        </w:numPr>
        <w:spacing w:before="0" w:after="0"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档案管理人员应当建立档案管理日志，详细记录卷宗名称、检查对象、检查人员、检查结论、归档日期、销毁日期等事项。</w:t>
      </w:r>
    </w:p>
    <w:p>
      <w:pPr>
        <w:pStyle w:val="159"/>
        <w:tabs>
          <w:tab w:val="center" w:pos="4201"/>
          <w:tab w:val="right" w:leader="dot" w:pos="9298"/>
        </w:tabs>
        <w:ind w:firstLine="0" w:firstLineChars="0"/>
      </w:pPr>
    </w:p>
    <w:p>
      <w:pPr>
        <w:spacing w:line="560" w:lineRule="exact"/>
        <w:ind w:firstLine="648"/>
        <w:rPr>
          <w:rFonts w:ascii="仿宋_GB2312" w:hAnsi="仿宋_GB2312" w:eastAsia="仿宋_GB2312" w:cs="仿宋_GB2312"/>
          <w:sz w:val="32"/>
          <w:szCs w:val="32"/>
        </w:rPr>
      </w:pPr>
    </w:p>
    <w:p>
      <w:pPr>
        <w:spacing w:line="560" w:lineRule="exact"/>
        <w:ind w:firstLine="648"/>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napToGrid w:val="0"/>
        <w:spacing w:line="560" w:lineRule="exact"/>
        <w:rPr>
          <w:rFonts w:ascii="宋体" w:hAnsi="宋体"/>
          <w:color w:val="000000"/>
          <w:szCs w:val="21"/>
        </w:rPr>
      </w:pPr>
    </w:p>
    <w:tbl>
      <w:tblPr>
        <w:tblStyle w:val="42"/>
        <w:tblW w:w="8661" w:type="dxa"/>
        <w:tblInd w:w="94"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8661" w:type="dxa"/>
          </w:tcPr>
          <w:p>
            <w:pPr>
              <w:spacing w:afterLines="50" w:line="560" w:lineRule="exact"/>
              <w:rPr>
                <w:rFonts w:ascii="仿宋_GB2312" w:hAnsi="Times New Roman" w:eastAsia="仿宋_GB2312"/>
                <w:sz w:val="28"/>
                <w:szCs w:val="28"/>
              </w:rPr>
            </w:pPr>
            <w:r>
              <w:rPr>
                <w:rFonts w:hint="eastAsia" w:ascii="仿宋_GB2312" w:hAnsi="Times New Roman" w:eastAsia="仿宋_GB2312"/>
                <w:sz w:val="28"/>
                <w:szCs w:val="28"/>
              </w:rPr>
              <w:t>青岛市统计局办公室                      2021年</w:t>
            </w:r>
            <w:r>
              <w:rPr>
                <w:rFonts w:hint="eastAsia" w:ascii="仿宋_GB2312" w:hAnsi="Times New Roman" w:eastAsia="仿宋_GB2312"/>
                <w:sz w:val="28"/>
                <w:szCs w:val="28"/>
                <w:lang w:val="en-US" w:eastAsia="zh-CN"/>
              </w:rPr>
              <w:t>9</w:t>
            </w:r>
            <w:r>
              <w:rPr>
                <w:rFonts w:hint="eastAsia" w:ascii="仿宋_GB2312" w:hAnsi="Times New Roman" w:eastAsia="仿宋_GB2312"/>
                <w:sz w:val="28"/>
                <w:szCs w:val="28"/>
              </w:rPr>
              <w:t>月2</w:t>
            </w:r>
            <w:r>
              <w:rPr>
                <w:rFonts w:hint="eastAsia" w:ascii="仿宋_GB2312" w:hAnsi="Times New Roman" w:eastAsia="仿宋_GB2312"/>
                <w:sz w:val="28"/>
                <w:szCs w:val="28"/>
                <w:lang w:val="en-US" w:eastAsia="zh-CN"/>
              </w:rPr>
              <w:t>6</w:t>
            </w:r>
            <w:r>
              <w:rPr>
                <w:rFonts w:hint="eastAsia" w:ascii="仿宋_GB2312" w:hAnsi="Times New Roman" w:eastAsia="仿宋_GB2312"/>
                <w:sz w:val="28"/>
                <w:szCs w:val="28"/>
              </w:rPr>
              <w:t>日印发</w:t>
            </w:r>
          </w:p>
        </w:tc>
      </w:tr>
    </w:tbl>
    <w:p>
      <w:pPr>
        <w:snapToGrid w:val="0"/>
        <w:spacing w:line="20" w:lineRule="exact"/>
        <w:rPr>
          <w:rFonts w:ascii="宋体" w:hAnsi="宋体"/>
          <w:color w:val="000000"/>
          <w:szCs w:val="21"/>
        </w:rPr>
      </w:pPr>
    </w:p>
    <w:sectPr>
      <w:footerReference r:id="rId23" w:type="default"/>
      <w:footerReference r:id="rId24" w:type="even"/>
      <w:pgSz w:w="11906" w:h="16838"/>
      <w:pgMar w:top="2098" w:right="1474" w:bottom="1985" w:left="1588" w:header="851" w:footer="1247"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汉仪书宋一简">
    <w:altName w:val="方正书宋_GBK"/>
    <w:panose1 w:val="00000000000000000000"/>
    <w:charset w:val="86"/>
    <w:family w:val="auto"/>
    <w:pitch w:val="default"/>
    <w:sig w:usb0="00000000" w:usb1="00000000" w:usb2="00000012"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Century">
    <w:altName w:val="DejaVu Serif"/>
    <w:panose1 w:val="02040604050505020304"/>
    <w:charset w:val="00"/>
    <w:family w:val="roman"/>
    <w:pitch w:val="default"/>
    <w:sig w:usb0="00000000" w:usb1="00000000" w:usb2="00000000" w:usb3="00000000" w:csb0="0000009F" w:csb1="00000000"/>
  </w:font>
  <w:font w:name="汉仪报宋简">
    <w:altName w:val="方正书宋_GBK"/>
    <w:panose1 w:val="00000000000000000000"/>
    <w:charset w:val="86"/>
    <w:family w:val="modern"/>
    <w:pitch w:val="default"/>
    <w:sig w:usb0="00000000" w:usb1="00000000" w:usb2="00000012"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大标宋简体">
    <w:altName w:val="方正书宋_GBK"/>
    <w:panose1 w:val="00000000000000000000"/>
    <w:charset w:val="86"/>
    <w:family w:val="script"/>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DejaVu Serif">
    <w:panose1 w:val="02060603050605020204"/>
    <w:charset w:val="00"/>
    <w:family w:val="auto"/>
    <w:pitch w:val="default"/>
    <w:sig w:usb0="E50006FF" w:usb1="5200F9FB" w:usb2="0A04002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2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2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210"/>
    </w:pPr>
    <w:r>
      <w:rPr>
        <w:sz w:val="18"/>
      </w:rPr>
      <w:pict>
        <v:shape id="_x0000_s2060" o:spid="_x0000_s2060" o:spt="202" type="#_x0000_t202" style="position:absolute;left:0pt;margin-top:0pt;height:144pt;width:144pt;mso-position-horizontal:outside;mso-position-horizontal-relative:margin;mso-wrap-style:none;z-index:251698176;mso-width-relative:page;mso-height-relative:page;" filled="f" stroked="f" coordsize="21600,21600">
          <v:path/>
          <v:fill on="f" focussize="0,0"/>
          <v:stroke on="f"/>
          <v:imagedata o:title=""/>
          <o:lock v:ext="edit" aspectratio="f"/>
          <v:textbox inset="0mm,0mm,0mm,0mm" style="mso-fit-shape-to-text:t;">
            <w:txbxContent>
              <w:p>
                <w:pPr>
                  <w:pStyle w:val="2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asciiTheme="minorEastAsia" w:hAnsiTheme="minorEastAsia" w:eastAsiaTheme="minorEastAsia"/>
        <w:sz w:val="28"/>
        <w:szCs w:val="28"/>
      </w:rPr>
    </w:pPr>
    <w:r>
      <w:rPr>
        <w:sz w:val="28"/>
      </w:rPr>
      <w:pict>
        <v:shape id="_x0000_s2052" o:spid="_x0000_s205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rPr>
                    <w:rFonts w:hint="eastAsia" w:asciiTheme="minorEastAsia" w:hAnsiTheme="minorEastAsia" w:eastAsiaTheme="minorEastAsia" w:cstheme="minorEastAsia"/>
                    <w:sz w:val="28"/>
                    <w:szCs w:val="28"/>
                  </w:rPr>
                  <w:id w:val="19086195"/>
                  <w:docPartObj>
                    <w:docPartGallery w:val="autotext"/>
                  </w:docPartObj>
                </w:sdtPr>
                <w:sdtEndPr>
                  <w:rPr>
                    <w:rFonts w:hint="eastAsia" w:asciiTheme="minorEastAsia" w:hAnsiTheme="minorEastAsia" w:eastAsiaTheme="minorEastAsia" w:cstheme="minorEastAsia"/>
                    <w:sz w:val="28"/>
                    <w:szCs w:val="28"/>
                  </w:rPr>
                </w:sdtEndPr>
                <w:sdtContent>
                  <w:p>
                    <w:pPr>
                      <w:pStyle w:val="27"/>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71 -</w:t>
                    </w:r>
                    <w:r>
                      <w:rPr>
                        <w:rFonts w:hint="eastAsia" w:asciiTheme="minorEastAsia" w:hAnsiTheme="minorEastAsia" w:eastAsiaTheme="minorEastAsia" w:cstheme="minorEastAsia"/>
                        <w:sz w:val="28"/>
                        <w:szCs w:val="28"/>
                      </w:rPr>
                      <w:fldChar w:fldCharType="end"/>
                    </w:r>
                  </w:p>
                </w:sdtContent>
              </w:sdt>
              <w:p>
                <w:pPr>
                  <w:rPr>
                    <w:rFonts w:asciiTheme="minorEastAsia" w:hAnsiTheme="minorEastAsia" w:eastAsiaTheme="minorEastAsia"/>
                    <w:sz w:val="28"/>
                    <w:szCs w:val="28"/>
                  </w:rPr>
                </w:pPr>
              </w:p>
            </w:txbxContent>
          </v:textbox>
        </v:shape>
      </w:pict>
    </w:r>
  </w:p>
  <w:p>
    <w:pPr>
      <w:pStyle w:val="2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Theme="minorEastAsia" w:hAnsiTheme="minorEastAsia" w:eastAsiaTheme="minorEastAsia"/>
        <w:sz w:val="28"/>
        <w:szCs w:val="28"/>
      </w:rPr>
    </w:pPr>
    <w:r>
      <w:rPr>
        <w:sz w:val="28"/>
      </w:rPr>
      <w:pict>
        <v:shape id="_x0000_s2053" o:spid="_x0000_s205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9086199"/>
                  <w:docPartObj>
                    <w:docPartGallery w:val="autotext"/>
                  </w:docPartObj>
                </w:sdtPr>
                <w:sdtEndPr>
                  <w:rPr>
                    <w:rFonts w:asciiTheme="minorEastAsia" w:hAnsiTheme="minorEastAsia" w:eastAsiaTheme="minorEastAsia"/>
                    <w:sz w:val="28"/>
                    <w:szCs w:val="28"/>
                  </w:rPr>
                </w:sdtEndPr>
                <w:sdtContent>
                  <w:p>
                    <w:pPr>
                      <w:pStyle w:val="2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70 -</w:t>
                    </w:r>
                    <w:r>
                      <w:rPr>
                        <w:rFonts w:asciiTheme="minorEastAsia" w:hAnsiTheme="minorEastAsia" w:eastAsiaTheme="minorEastAsia"/>
                        <w:sz w:val="28"/>
                        <w:szCs w:val="28"/>
                      </w:rPr>
                      <w:fldChar w:fldCharType="end"/>
                    </w:r>
                  </w:p>
                </w:sdtContent>
              </w:sdt>
              <w:p>
                <w:pPr>
                  <w:rPr>
                    <w:rFonts w:asciiTheme="minorEastAsia" w:hAnsiTheme="minorEastAsia" w:eastAsiaTheme="minorEastAsia"/>
                    <w:sz w:val="28"/>
                    <w:szCs w:val="28"/>
                  </w:rPr>
                </w:pPr>
              </w:p>
            </w:txbxContent>
          </v:textbox>
        </v:shape>
      </w:pict>
    </w:r>
  </w:p>
  <w:p>
    <w:pPr>
      <w:pStyle w:val="2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sz w:val="28"/>
      </w:rPr>
      <w:pict>
        <v:shape id="_x0000_s2064" o:spid="_x0000_s2064" o:spt="202" type="#_x0000_t202" style="position:absolute;left:0pt;margin-top:0pt;height:144pt;width:144pt;mso-position-horizontal:left;mso-position-horizontal-relative:margin;mso-wrap-style:none;z-index:251700224;mso-width-relative:page;mso-height-relative:page;" filled="f" stroked="f" coordsize="21600,21600">
          <v:path/>
          <v:fill on="f" focussize="0,0"/>
          <v:stroke on="f"/>
          <v:imagedata o:title=""/>
          <o:lock v:ext="edit" aspectratio="f"/>
          <v:textbox inset="0mm,0mm,0mm,0mm" style="mso-fit-shape-to-text:t;">
            <w:txbxContent>
              <w:p>
                <w:pPr>
                  <w:pStyle w:val="2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Theme="minorEastAsia" w:hAnsiTheme="minorEastAsia" w:eastAsiaTheme="minorEastAsia"/>
        <w:sz w:val="28"/>
        <w:szCs w:val="28"/>
      </w:rP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54" o:spid="_x0000_s2054"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55" o:spid="_x0000_s2055"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63" o:spid="_x0000_s2063" o:spt="202" type="#_x0000_t202" style="position:absolute;left:0pt;margin-top:0pt;height:144pt;width:144pt;mso-position-horizontal:inside;mso-position-horizontal-relative:margin;mso-wrap-style:none;z-index:251699200;mso-width-relative:page;mso-height-relative:page;" filled="f" stroked="f" coordsize="21600,21600">
          <v:path/>
          <v:fill on="f" focussize="0,0"/>
          <v:stroke on="f"/>
          <v:imagedata o:title=""/>
          <o:lock v:ext="edit" aspectratio="f"/>
          <v:textbox inset="0mm,0mm,0mm,0mm" style="mso-fit-shape-to-text:t;">
            <w:txbxContent>
              <w:p>
                <w:pPr>
                  <w:pStyle w:val="27"/>
                  <w:rPr>
                    <w:rFonts w:hint="eastAsia" w:eastAsia="宋体"/>
                    <w:lang w:eastAsia="zh-CN"/>
                  </w:rPr>
                </w:pPr>
                <w:r>
                  <w:rPr>
                    <w:rFonts w:hint="eastAsia"/>
                    <w:lang w:val="en-US" w:eastAsia="zh-CN"/>
                  </w:rPr>
                  <w:t xml:space="preserve"> </w:t>
                </w:r>
              </w:p>
            </w:txbxContent>
          </v:textbox>
        </v:shape>
      </w:pict>
    </w:r>
    <w:r>
      <w:rPr>
        <w:sz w:val="18"/>
      </w:rPr>
      <w:pict>
        <v:shape id="_x0000_s2057" o:spid="_x0000_s2057"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rPr>
                    <w:rFonts w:hint="eastAsia"/>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0"/>
      <w:rPr>
        <w:rFonts w:hAnsi="Times New Roman" w:eastAsia="宋体" w:cs="Times New Roman"/>
        <w:sz w:val="24"/>
        <w:szCs w:val="24"/>
      </w:rPr>
    </w:pPr>
    <w:r>
      <w:rPr>
        <w:sz w:val="24"/>
      </w:rPr>
      <w:pict>
        <v:shape id="_x0000_s2051" o:spid="_x0000_s2051"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40"/>
                </w:pPr>
                <w:r>
                  <w:rPr>
                    <w:rFonts w:hAnsi="Times New Roman" w:eastAsia="宋体" w:cs="Times New Roman"/>
                    <w:sz w:val="24"/>
                    <w:szCs w:val="24"/>
                  </w:rPr>
                  <w:fldChar w:fldCharType="begin"/>
                </w:r>
                <w:r>
                  <w:rPr>
                    <w:rFonts w:hAnsi="Times New Roman" w:eastAsia="宋体" w:cs="Times New Roman"/>
                    <w:sz w:val="24"/>
                    <w:szCs w:val="24"/>
                  </w:rPr>
                  <w:instrText xml:space="preserve">PAGE   \* MERGEFORMAT</w:instrText>
                </w:r>
                <w:r>
                  <w:rPr>
                    <w:rFonts w:hAnsi="Times New Roman" w:eastAsia="宋体" w:cs="Times New Roman"/>
                    <w:sz w:val="24"/>
                    <w:szCs w:val="24"/>
                  </w:rPr>
                  <w:fldChar w:fldCharType="separate"/>
                </w:r>
                <w:r>
                  <w:rPr>
                    <w:rFonts w:hAnsi="Times New Roman" w:eastAsia="宋体" w:cs="Times New Roman"/>
                    <w:sz w:val="24"/>
                    <w:szCs w:val="24"/>
                    <w:lang w:val="zh-CN"/>
                  </w:rPr>
                  <w:t>-</w:t>
                </w:r>
                <w:r>
                  <w:rPr>
                    <w:rFonts w:hAnsi="Times New Roman" w:eastAsia="宋体" w:cs="Times New Roman"/>
                    <w:sz w:val="24"/>
                    <w:szCs w:val="24"/>
                  </w:rPr>
                  <w:t xml:space="preserve"> 8 -</w:t>
                </w:r>
                <w:r>
                  <w:rPr>
                    <w:rFonts w:hAnsi="Times New Roman" w:eastAsia="宋体"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210"/>
    </w:pPr>
    <w:r>
      <w:rPr>
        <w:sz w:val="18"/>
      </w:rPr>
      <w:pict>
        <v:shape id="_x0000_s2058" o:spid="_x0000_s2058" o:spt="202" type="#_x0000_t202" style="position:absolute;left:0pt;margin-top:0pt;height:144pt;width:144pt;mso-position-horizontal:in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9"/>
      <w:rPr>
        <w:rFonts w:hint="eastAsia" w:hAnsi="Times New Roman" w:eastAsia="黑体" w:cs="Times New Roman"/>
        <w:lang w:eastAsia="zh-CN"/>
      </w:rPr>
    </w:pPr>
    <w:r>
      <w:fldChar w:fldCharType="begin"/>
    </w:r>
    <w:r>
      <w:instrText xml:space="preserve"> STYLEREF  标准文件_文件编号  \* MERGEFORMAT </w:instrText>
    </w:r>
    <w:r>
      <w:fldChar w:fldCharType="separate"/>
    </w:r>
    <w:r>
      <w:t>Q/QDMSB 0001—2021</w:t>
    </w:r>
    <w:r>
      <w:fldChar w:fldCharType="end"/>
    </w:r>
    <w:r>
      <w:rPr>
        <w:rFonts w:hint="eastAsia" w:cs="Times New Roman"/>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snapToGrid w:val="0"/>
      <w:spacing w:line="400" w:lineRule="exact"/>
      <w:jc w:val="righ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STYLEREF  标准文件_文件编号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a</w:t>
    </w:r>
    <w:r>
      <w:rPr>
        <w:rFonts w:ascii="Calibri" w:hAnsi="Calibri" w:eastAsia="宋体" w:cs="Times New Roman"/>
        <w:kern w:val="2"/>
        <w:sz w:val="18"/>
        <w:szCs w:val="18"/>
        <w:lang w:val="en-US" w:eastAsia="zh-CN" w:bidi="ar-S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9"/>
      <w:rPr>
        <w:rFonts w:hint="eastAsia" w:hAnsi="Times New Roman" w:eastAsia="黑体" w:cs="Times New Roman"/>
        <w:lang w:eastAsia="zh-CN"/>
      </w:rPr>
    </w:pPr>
    <w:r>
      <w:fldChar w:fldCharType="begin"/>
    </w:r>
    <w:r>
      <w:instrText xml:space="preserve"> STYLEREF  标准文件_文件编号  \* MERGEFORMAT </w:instrText>
    </w:r>
    <w:r>
      <w:fldChar w:fldCharType="separate"/>
    </w:r>
    <w:r>
      <w:t>Q/QDMSB 0001—2021</w:t>
    </w:r>
    <w:r>
      <w:fldChar w:fldCharType="end"/>
    </w:r>
    <w:r>
      <w:rPr>
        <w:rFonts w:hint="eastAsia" w:cs="Times New Roman"/>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9"/>
      <w:jc w:val="center"/>
      <w:rPr>
        <w:rFonts w:hint="eastAsia" w:hAnsi="Times New Roman" w:eastAsia="黑体" w:cs="Times New Roman"/>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9"/>
      <w:rPr>
        <w:rFonts w:hint="eastAsia" w:hAnsi="Times New Roman" w:eastAsia="黑体" w:cs="Times New Roman"/>
        <w:lang w:eastAsia="zh-CN"/>
      </w:rPr>
    </w:pPr>
    <w:r>
      <w:rPr>
        <w:rFonts w:ascii="Times New Roman"/>
      </w:rPr>
      <w:t>Q/</w:t>
    </w:r>
    <w:r>
      <w:rPr>
        <w:rFonts w:hint="eastAsia" w:ascii="Times New Roman"/>
      </w:rPr>
      <w:t>QD</w:t>
    </w:r>
    <w:r>
      <w:rPr>
        <w:rFonts w:ascii="Times New Roman"/>
      </w:rPr>
      <w:t>MSB</w:t>
    </w:r>
    <w:r>
      <w:t xml:space="preserve"> 000</w:t>
    </w:r>
    <w:r>
      <w:rPr>
        <w:rFonts w:hint="eastAsia"/>
        <w:lang w:val="en-US" w:eastAsia="zh-CN"/>
      </w:rPr>
      <w:t>2</w:t>
    </w:r>
    <w:r>
      <w:t>—</w:t>
    </w:r>
    <w:r>
      <w:rPr>
        <w:rFonts w:hint="eastAsia"/>
      </w:rPr>
      <w:t>20</w:t>
    </w:r>
    <w:r>
      <w:t>21</w:t>
    </w:r>
    <w:r>
      <w:rPr>
        <w:rFonts w:hint="eastAsia" w:cs="Times New Roman"/>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left"/>
    </w:pPr>
  </w:p>
  <w:p>
    <w:pPr>
      <w:pStyle w:val="239"/>
    </w:pPr>
    <w:r>
      <w:fldChar w:fldCharType="begin"/>
    </w:r>
    <w:r>
      <w:instrText xml:space="preserve"> STYLEREF  标准文件_文件编号  \* MERGEFORMAT </w:instrText>
    </w:r>
    <w:r>
      <w:fldChar w:fldCharType="separate"/>
    </w:r>
    <w:r>
      <w:t>Q/QDMSB 0001—2021</w:t>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ECE36"/>
    <w:multiLevelType w:val="multilevel"/>
    <w:tmpl w:val="985ECE36"/>
    <w:lvl w:ilvl="0" w:tentative="0">
      <w:start w:val="1"/>
      <w:numFmt w:val="none"/>
      <w:suff w:val="nothing"/>
      <w:lvlText w:val="%1"/>
      <w:legacy w:legacy="1" w:legacySpace="0" w:legacyIndent="0"/>
      <w:lvlJc w:val="left"/>
      <w:pPr>
        <w:ind w:left="0" w:firstLine="0"/>
      </w:pPr>
      <w:rPr>
        <w:rFonts w:hint="eastAsia"/>
      </w:rPr>
    </w:lvl>
    <w:lvl w:ilvl="1" w:tentative="0">
      <w:start w:val="1"/>
      <w:numFmt w:val="decimal"/>
      <w:pStyle w:val="230"/>
      <w:suff w:val="nothing"/>
      <w:lvlText w:val="%1%2　"/>
      <w:legacy w:legacy="1" w:legacySpace="0" w:legacyIndent="0"/>
      <w:lvlJc w:val="left"/>
      <w:pPr>
        <w:ind w:left="0" w:firstLine="0"/>
      </w:pPr>
      <w:rPr>
        <w:rFonts w:hint="eastAsia" w:ascii="黑体" w:hAnsi="黑体" w:eastAsia="黑体"/>
        <w:b w:val="0"/>
        <w:i w:val="0"/>
        <w:sz w:val="21"/>
      </w:rPr>
    </w:lvl>
    <w:lvl w:ilvl="2" w:tentative="0">
      <w:start w:val="1"/>
      <w:numFmt w:val="decimal"/>
      <w:pStyle w:val="233"/>
      <w:suff w:val="nothing"/>
      <w:lvlText w:val="%1%2.%3　"/>
      <w:legacy w:legacy="1" w:legacySpace="0" w:legacyIndent="0"/>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35"/>
      <w:suff w:val="nothing"/>
      <w:lvlText w:val="%1%2.%3.%4　"/>
      <w:legacy w:legacy="1" w:legacySpace="0" w:legacyIndent="0"/>
      <w:lvlJc w:val="left"/>
      <w:pPr>
        <w:ind w:left="0" w:firstLine="0"/>
      </w:pPr>
      <w:rPr>
        <w:rFonts w:hint="eastAsia" w:ascii="黑体" w:hAnsi="黑体" w:eastAsia="黑体"/>
        <w:b w:val="0"/>
        <w:i w:val="0"/>
        <w:sz w:val="21"/>
      </w:rPr>
    </w:lvl>
    <w:lvl w:ilvl="4" w:tentative="0">
      <w:start w:val="1"/>
      <w:numFmt w:val="decimal"/>
      <w:pStyle w:val="238"/>
      <w:suff w:val="nothing"/>
      <w:lvlText w:val="%1%2.%3.%4.%5　"/>
      <w:legacy w:legacy="1" w:legacySpace="0" w:legacyIndent="0"/>
      <w:lvlJc w:val="left"/>
      <w:pPr>
        <w:ind w:left="0" w:firstLine="0"/>
      </w:pPr>
      <w:rPr>
        <w:rFonts w:hint="eastAsia" w:ascii="黑体" w:hAnsi="黑体" w:eastAsia="黑体"/>
        <w:b w:val="0"/>
        <w:i w:val="0"/>
        <w:sz w:val="21"/>
      </w:rPr>
    </w:lvl>
    <w:lvl w:ilvl="5" w:tentative="0">
      <w:start w:val="1"/>
      <w:numFmt w:val="decimal"/>
      <w:suff w:val="nothing"/>
      <w:lvlText w:val="%1%2.%3.%4.%5.%6　"/>
      <w:legacy w:legacy="1" w:legacySpace="0" w:legacyIndent="0"/>
      <w:lvlJc w:val="left"/>
      <w:pPr>
        <w:ind w:left="0" w:firstLine="0"/>
      </w:pPr>
      <w:rPr>
        <w:rFonts w:hint="eastAsia" w:ascii="黑体" w:hAnsi="黑体" w:eastAsia="黑体"/>
        <w:b w:val="0"/>
        <w:i w:val="0"/>
        <w:sz w:val="21"/>
      </w:rPr>
    </w:lvl>
    <w:lvl w:ilvl="6" w:tentative="0">
      <w:start w:val="1"/>
      <w:numFmt w:val="decimal"/>
      <w:suff w:val="nothing"/>
      <w:lvlText w:val="%1%2.%3.%4.%5.%6.%7　"/>
      <w:legacy w:legacy="1" w:legacySpace="0" w:legacyIndent="0"/>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CB2E2B89"/>
    <w:multiLevelType w:val="multilevel"/>
    <w:tmpl w:val="CB2E2B89"/>
    <w:lvl w:ilvl="0" w:tentative="0">
      <w:start w:val="1"/>
      <w:numFmt w:val="decimal"/>
      <w:pStyle w:val="247"/>
      <w:suff w:val="nothing"/>
      <w:lvlText w:val="%1　"/>
      <w:legacy w:legacy="1" w:legacySpace="0" w:legacyIndent="0"/>
      <w:lvlJc w:val="left"/>
      <w:pPr>
        <w:ind w:left="1419" w:firstLine="0"/>
      </w:pPr>
      <w:rPr>
        <w:rFonts w:hint="eastAsia" w:ascii="黑体" w:hAnsi="黑体" w:eastAsia="黑体"/>
        <w:b w:val="0"/>
        <w:i w:val="0"/>
        <w:sz w:val="32"/>
        <w:szCs w:val="32"/>
      </w:rPr>
    </w:lvl>
    <w:lvl w:ilvl="1" w:tentative="0">
      <w:start w:val="1"/>
      <w:numFmt w:val="decimal"/>
      <w:pStyle w:val="248"/>
      <w:suff w:val="nothing"/>
      <w:lvlText w:val="%1.%2　"/>
      <w:legacy w:legacy="1" w:legacySpace="0" w:legacyIndent="0"/>
      <w:lvlJc w:val="left"/>
      <w:pPr>
        <w:ind w:left="2127"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32"/>
        <w:szCs w:val="32"/>
        <w:u w:val="none"/>
        <w:vertAlign w:val="baseline"/>
      </w:rPr>
    </w:lvl>
    <w:lvl w:ilvl="2" w:tentative="0">
      <w:start w:val="1"/>
      <w:numFmt w:val="decimal"/>
      <w:pStyle w:val="249"/>
      <w:suff w:val="nothing"/>
      <w:lvlText w:val="%1.%2.%3　"/>
      <w:legacy w:legacy="1" w:legacySpace="0" w:legacyIndent="0"/>
      <w:lvlJc w:val="left"/>
      <w:pPr>
        <w:ind w:left="0" w:firstLine="0"/>
      </w:pPr>
      <w:rPr>
        <w:rFonts w:hint="eastAsia" w:ascii="黑体" w:hAnsi="黑体" w:eastAsia="黑体"/>
        <w:b w:val="0"/>
        <w:i w:val="0"/>
        <w:sz w:val="32"/>
        <w:szCs w:val="32"/>
      </w:rPr>
    </w:lvl>
    <w:lvl w:ilvl="3" w:tentative="0">
      <w:start w:val="1"/>
      <w:numFmt w:val="decimal"/>
      <w:pStyle w:val="252"/>
      <w:suff w:val="nothing"/>
      <w:lvlText w:val="%1.%2.%3.%4　"/>
      <w:legacy w:legacy="1" w:legacySpace="0" w:legacyIndent="0"/>
      <w:lvlJc w:val="left"/>
      <w:pPr>
        <w:ind w:left="0" w:firstLine="0"/>
      </w:pPr>
      <w:rPr>
        <w:rFonts w:hint="eastAsia" w:ascii="黑体" w:hAnsi="黑体" w:eastAsia="黑体"/>
        <w:b w:val="0"/>
        <w:i w:val="0"/>
        <w:sz w:val="32"/>
        <w:szCs w:val="32"/>
      </w:rPr>
    </w:lvl>
    <w:lvl w:ilvl="4" w:tentative="0">
      <w:start w:val="1"/>
      <w:numFmt w:val="decimal"/>
      <w:suff w:val="nothing"/>
      <w:lvlText w:val="%1.%2.%3.%4.%5　"/>
      <w:legacy w:legacy="1" w:legacySpace="0" w:legacyIndent="0"/>
      <w:lvlJc w:val="left"/>
      <w:pPr>
        <w:ind w:left="0" w:firstLine="0"/>
      </w:pPr>
      <w:rPr>
        <w:rFonts w:hint="eastAsia" w:ascii="黑体" w:hAnsi="黑体" w:eastAsia="黑体"/>
        <w:b w:val="0"/>
        <w:i w:val="0"/>
        <w:sz w:val="21"/>
      </w:rPr>
    </w:lvl>
    <w:lvl w:ilvl="5" w:tentative="0">
      <w:start w:val="1"/>
      <w:numFmt w:val="decimal"/>
      <w:suff w:val="nothing"/>
      <w:lvlText w:val="%1.%2.%3.%4.%5.%6　"/>
      <w:legacy w:legacy="1" w:legacySpace="0" w:legacyIndent="0"/>
      <w:lvlJc w:val="left"/>
      <w:pPr>
        <w:ind w:left="0" w:firstLine="0"/>
      </w:pPr>
      <w:rPr>
        <w:rFonts w:hint="eastAsia" w:ascii="黑体" w:hAnsi="黑体" w:eastAsia="黑体"/>
        <w:b w:val="0"/>
        <w:i w:val="0"/>
        <w:sz w:val="21"/>
      </w:rPr>
    </w:lvl>
    <w:lvl w:ilvl="6" w:tentative="0">
      <w:start w:val="1"/>
      <w:numFmt w:val="decimal"/>
      <w:suff w:val="nothing"/>
      <w:lvlText w:val="%1%2.%3.%4.%5.%6.%7　"/>
      <w:legacy w:legacy="1" w:legacySpace="0" w:legacyIndent="0"/>
      <w:lvlJc w:val="left"/>
      <w:pPr>
        <w:ind w:left="0" w:firstLine="0"/>
      </w:pPr>
      <w:rPr>
        <w:rFonts w:hint="eastAsia" w:ascii="黑体" w:hAnsi="黑体" w:eastAsia="黑体"/>
        <w:b w:val="0"/>
        <w:i w:val="0"/>
        <w:sz w:val="21"/>
      </w:rPr>
    </w:lvl>
    <w:lvl w:ilvl="7" w:tentative="0">
      <w:start w:val="1"/>
      <w:numFmt w:val="decimal"/>
      <w:lvlText w:val="%1.%2.%3.%4.%5.%6.%7.%8"/>
      <w:legacy w:legacy="1" w:legacySpace="0" w:legacyIndent="1418"/>
      <w:lvlJc w:val="left"/>
      <w:pPr>
        <w:ind w:left="3969" w:hanging="1418"/>
      </w:pPr>
      <w:rPr>
        <w:rFonts w:hint="eastAsia"/>
      </w:rPr>
    </w:lvl>
    <w:lvl w:ilvl="8" w:tentative="0">
      <w:start w:val="1"/>
      <w:numFmt w:val="decimal"/>
      <w:lvlText w:val="%1.%2.%3.%4.%5.%6.%7.%8.%9"/>
      <w:legacy w:legacy="1" w:legacySpace="0" w:legacyIndent="1700"/>
      <w:lvlJc w:val="left"/>
      <w:pPr>
        <w:ind w:left="4677" w:hanging="1700"/>
      </w:pPr>
      <w:rPr>
        <w:rFonts w:hint="eastAsia"/>
      </w:rPr>
    </w:lvl>
  </w:abstractNum>
  <w:abstractNum w:abstractNumId="2">
    <w:nsid w:val="D47DE865"/>
    <w:multiLevelType w:val="multilevel"/>
    <w:tmpl w:val="D47DE865"/>
    <w:lvl w:ilvl="0" w:tentative="0">
      <w:start w:val="1"/>
      <w:numFmt w:val="lowerLetter"/>
      <w:pStyle w:val="253"/>
      <w:lvlText w:val="%1)"/>
      <w:legacy w:legacy="1" w:legacySpace="0" w:legacyIndent="419"/>
      <w:lvlJc w:val="left"/>
      <w:pPr>
        <w:ind w:left="839" w:hanging="419"/>
      </w:pPr>
      <w:rPr>
        <w:rFonts w:hint="eastAsia" w:ascii="宋体" w:hAnsi="宋体" w:eastAsia="宋体"/>
        <w:b w:val="0"/>
        <w:i w:val="0"/>
        <w:sz w:val="32"/>
        <w:szCs w:val="32"/>
      </w:rPr>
    </w:lvl>
    <w:lvl w:ilvl="1" w:tentative="0">
      <w:start w:val="1"/>
      <w:numFmt w:val="decimal"/>
      <w:lvlText w:val="%2)"/>
      <w:legacy w:legacy="1" w:legacySpace="0" w:legacyIndent="420"/>
      <w:lvlJc w:val="left"/>
      <w:pPr>
        <w:ind w:left="1259" w:hanging="420"/>
      </w:pPr>
      <w:rPr>
        <w:rFonts w:hint="eastAsia" w:ascii="宋体" w:hAnsi="宋体" w:eastAsia="宋体"/>
        <w:b w:val="0"/>
        <w:i w:val="0"/>
        <w:sz w:val="20"/>
      </w:rPr>
    </w:lvl>
    <w:lvl w:ilvl="2" w:tentative="0">
      <w:start w:val="1"/>
      <w:numFmt w:val="decimal"/>
      <w:lvlText w:val="(%3)"/>
      <w:legacy w:legacy="1" w:legacySpace="0" w:legacyIndent="419"/>
      <w:lvlJc w:val="left"/>
      <w:pPr>
        <w:ind w:left="1678" w:hanging="419"/>
      </w:pPr>
      <w:rPr>
        <w:rFonts w:hint="eastAsia" w:ascii="宋体" w:hAnsi="宋体" w:eastAsia="宋体"/>
        <w:b w:val="0"/>
        <w:i w:val="0"/>
        <w:sz w:val="20"/>
        <w:szCs w:val="21"/>
      </w:rPr>
    </w:lvl>
    <w:lvl w:ilvl="3" w:tentative="0">
      <w:start w:val="1"/>
      <w:numFmt w:val="decimal"/>
      <w:lvlText w:val="%4."/>
      <w:legacy w:legacy="1" w:legacySpace="0" w:legacyIndent="420"/>
      <w:lvlJc w:val="left"/>
      <w:pPr>
        <w:ind w:left="2098" w:hanging="420"/>
      </w:pPr>
      <w:rPr>
        <w:rFonts w:hint="eastAsia"/>
      </w:rPr>
    </w:lvl>
    <w:lvl w:ilvl="4" w:tentative="0">
      <w:start w:val="1"/>
      <w:numFmt w:val="lowerLetter"/>
      <w:lvlText w:val="%5)"/>
      <w:legacy w:legacy="1" w:legacySpace="0" w:legacyIndent="419"/>
      <w:lvlJc w:val="left"/>
      <w:pPr>
        <w:ind w:left="2517" w:hanging="419"/>
      </w:pPr>
      <w:rPr>
        <w:rFonts w:hint="eastAsia"/>
      </w:rPr>
    </w:lvl>
    <w:lvl w:ilvl="5" w:tentative="0">
      <w:start w:val="1"/>
      <w:numFmt w:val="lowerRoman"/>
      <w:lvlText w:val="%6."/>
      <w:legacy w:legacy="1" w:legacySpace="0" w:legacyIndent="420"/>
      <w:lvlJc w:val="right"/>
      <w:pPr>
        <w:ind w:left="2937" w:hanging="420"/>
      </w:pPr>
      <w:rPr>
        <w:rFonts w:hint="eastAsia"/>
      </w:rPr>
    </w:lvl>
    <w:lvl w:ilvl="6" w:tentative="0">
      <w:start w:val="1"/>
      <w:numFmt w:val="decimal"/>
      <w:lvlText w:val="%7."/>
      <w:legacy w:legacy="1" w:legacySpace="0" w:legacyIndent="414"/>
      <w:lvlJc w:val="left"/>
      <w:pPr>
        <w:ind w:left="3356" w:hanging="414"/>
      </w:pPr>
      <w:rPr>
        <w:rFonts w:hint="eastAsia"/>
      </w:rPr>
    </w:lvl>
    <w:lvl w:ilvl="7" w:tentative="0">
      <w:start w:val="1"/>
      <w:numFmt w:val="lowerLetter"/>
      <w:lvlText w:val="%8)"/>
      <w:legacy w:legacy="1" w:legacySpace="0" w:legacyIndent="414"/>
      <w:lvlJc w:val="left"/>
      <w:pPr>
        <w:ind w:left="3776" w:hanging="414"/>
      </w:pPr>
      <w:rPr>
        <w:rFonts w:hint="eastAsia"/>
      </w:rPr>
    </w:lvl>
    <w:lvl w:ilvl="8" w:tentative="0">
      <w:start w:val="1"/>
      <w:numFmt w:val="lowerRoman"/>
      <w:lvlText w:val="%9."/>
      <w:legacy w:legacy="1" w:legacySpace="0" w:legacyIndent="420"/>
      <w:lvlJc w:val="right"/>
      <w:pPr>
        <w:ind w:left="4201" w:hanging="420"/>
      </w:pPr>
      <w:rPr>
        <w:rFonts w:hint="eastAsia"/>
      </w:rPr>
    </w:lvl>
  </w:abstractNum>
  <w:abstractNum w:abstractNumId="3">
    <w:nsid w:val="07ED3FEA"/>
    <w:multiLevelType w:val="multilevel"/>
    <w:tmpl w:val="07ED3FEA"/>
    <w:lvl w:ilvl="0" w:tentative="0">
      <w:start w:val="1"/>
      <w:numFmt w:val="none"/>
      <w:pStyle w:val="228"/>
      <w:lvlText w:val="%1"/>
      <w:legacy w:legacy="1" w:legacySpace="0" w:legacyIndent="425"/>
      <w:lvlJc w:val="left"/>
      <w:pPr>
        <w:ind w:left="425" w:hanging="425"/>
      </w:pPr>
      <w:rPr>
        <w:rFonts w:hint="eastAsia"/>
      </w:rPr>
    </w:lvl>
    <w:lvl w:ilvl="1" w:tentative="0">
      <w:start w:val="1"/>
      <w:numFmt w:val="decimal"/>
      <w:suff w:val="nothing"/>
      <w:lvlText w:val="%10.%2 "/>
      <w:legacy w:legacy="1" w:legacySpace="0" w:legacyIndent="0"/>
      <w:lvlJc w:val="left"/>
      <w:pPr>
        <w:ind w:left="0" w:firstLine="0"/>
      </w:pPr>
      <w:rPr>
        <w:rFonts w:hint="eastAsia" w:ascii="黑体" w:hAnsi="黑体" w:eastAsia="黑体"/>
        <w:b w:val="0"/>
        <w:i w:val="0"/>
        <w:sz w:val="21"/>
      </w:rPr>
    </w:lvl>
    <w:lvl w:ilvl="2" w:tentative="0">
      <w:start w:val="1"/>
      <w:numFmt w:val="decimal"/>
      <w:suff w:val="nothing"/>
      <w:lvlText w:val="%10.%2.%3 "/>
      <w:legacy w:legacy="1" w:legacySpace="0" w:legacyIndent="0"/>
      <w:lvlJc w:val="left"/>
      <w:pPr>
        <w:ind w:left="0" w:firstLine="0"/>
      </w:pPr>
      <w:rPr>
        <w:rFonts w:hint="eastAsia" w:ascii="黑体" w:hAnsi="黑体" w:eastAsia="黑体"/>
        <w:b w:val="0"/>
        <w:i w:val="0"/>
        <w:sz w:val="21"/>
      </w:rPr>
    </w:lvl>
    <w:lvl w:ilvl="3" w:tentative="0">
      <w:start w:val="1"/>
      <w:numFmt w:val="decimal"/>
      <w:suff w:val="nothing"/>
      <w:lvlText w:val="%10.%2.%3.%4 "/>
      <w:legacy w:legacy="1" w:legacySpace="0" w:legacyIndent="0"/>
      <w:lvlJc w:val="left"/>
      <w:pPr>
        <w:ind w:left="0" w:firstLine="0"/>
      </w:pPr>
      <w:rPr>
        <w:rFonts w:hint="eastAsia" w:ascii="黑体" w:hAnsi="黑体" w:eastAsia="黑体"/>
        <w:b w:val="0"/>
        <w:i w:val="0"/>
        <w:sz w:val="21"/>
      </w:rPr>
    </w:lvl>
    <w:lvl w:ilvl="4" w:tentative="0">
      <w:start w:val="1"/>
      <w:numFmt w:val="decimal"/>
      <w:suff w:val="nothing"/>
      <w:lvlText w:val="%10.%2.%3.%4.%5 "/>
      <w:legacy w:legacy="1" w:legacySpace="0" w:legacyIndent="0"/>
      <w:lvlJc w:val="left"/>
      <w:pPr>
        <w:ind w:left="0" w:firstLine="0"/>
      </w:pPr>
      <w:rPr>
        <w:rFonts w:hint="eastAsia" w:ascii="黑体" w:hAnsi="黑体" w:eastAsia="黑体"/>
        <w:b w:val="0"/>
        <w:i w:val="0"/>
        <w:sz w:val="21"/>
      </w:rPr>
    </w:lvl>
    <w:lvl w:ilvl="5" w:tentative="0">
      <w:start w:val="1"/>
      <w:numFmt w:val="decimal"/>
      <w:suff w:val="nothing"/>
      <w:lvlText w:val="%10.%2.%3.%4.%5.%6 "/>
      <w:legacy w:legacy="1" w:legacySpace="0" w:legacyIndent="0"/>
      <w:lvlJc w:val="left"/>
      <w:pPr>
        <w:ind w:left="0" w:firstLine="0"/>
      </w:pPr>
      <w:rPr>
        <w:rFonts w:hint="eastAsia" w:ascii="黑体" w:hAnsi="黑体" w:eastAsia="黑体"/>
        <w:b w:val="0"/>
        <w:i w:val="0"/>
        <w:sz w:val="21"/>
      </w:rPr>
    </w:lvl>
    <w:lvl w:ilvl="6" w:tentative="0">
      <w:start w:val="1"/>
      <w:numFmt w:val="decimal"/>
      <w:lvlText w:val="%1.%2.%3.%4.%5.%6.%7"/>
      <w:legacy w:legacy="1" w:legacySpace="0" w:legacyIndent="1276"/>
      <w:lvlJc w:val="left"/>
      <w:pPr>
        <w:ind w:left="3827" w:hanging="1276"/>
      </w:pPr>
      <w:rPr>
        <w:rFonts w:hint="eastAsia"/>
      </w:rPr>
    </w:lvl>
    <w:lvl w:ilvl="7" w:tentative="0">
      <w:start w:val="1"/>
      <w:numFmt w:val="decimal"/>
      <w:lvlText w:val="%1.%2.%3.%4.%5.%6.%7.%8"/>
      <w:legacy w:legacy="1" w:legacySpace="0" w:legacyIndent="1418"/>
      <w:lvlJc w:val="left"/>
      <w:pPr>
        <w:ind w:left="4394" w:hanging="1418"/>
      </w:pPr>
      <w:rPr>
        <w:rFonts w:hint="eastAsia"/>
      </w:rPr>
    </w:lvl>
    <w:lvl w:ilvl="8" w:tentative="0">
      <w:start w:val="1"/>
      <w:numFmt w:val="decimal"/>
      <w:lvlText w:val="%1.%2.%3.%4.%5.%6.%7.%8.%9"/>
      <w:legacy w:legacy="1" w:legacySpace="0" w:legacyIndent="1700"/>
      <w:lvlJc w:val="left"/>
      <w:pPr>
        <w:ind w:left="5102" w:hanging="1700"/>
      </w:pPr>
      <w:rPr>
        <w:rFonts w:hint="eastAsia"/>
      </w:rPr>
    </w:lvl>
  </w:abstractNum>
  <w:abstractNum w:abstractNumId="4">
    <w:nsid w:val="3E6F727F"/>
    <w:multiLevelType w:val="multilevel"/>
    <w:tmpl w:val="3E6F727F"/>
    <w:lvl w:ilvl="0" w:tentative="0">
      <w:start w:val="1"/>
      <w:numFmt w:val="lowerLetter"/>
      <w:lvlText w:val="%1)"/>
      <w:legacy w:legacy="1" w:legacySpace="0" w:legacyIndent="480"/>
      <w:lvlJc w:val="left"/>
      <w:pPr>
        <w:ind w:left="1065" w:hanging="480"/>
      </w:pPr>
      <w:rPr>
        <w:rFonts w:hint="default"/>
      </w:rPr>
    </w:lvl>
    <w:lvl w:ilvl="1" w:tentative="0">
      <w:start w:val="1"/>
      <w:numFmt w:val="lowerLetter"/>
      <w:lvlText w:val="%2)"/>
      <w:legacy w:legacy="1" w:legacySpace="0" w:legacyIndent="420"/>
      <w:lvlJc w:val="left"/>
      <w:pPr>
        <w:ind w:left="1425" w:hanging="420"/>
      </w:pPr>
    </w:lvl>
    <w:lvl w:ilvl="2" w:tentative="0">
      <w:start w:val="1"/>
      <w:numFmt w:val="lowerRoman"/>
      <w:lvlText w:val="%3."/>
      <w:legacy w:legacy="1" w:legacySpace="0" w:legacyIndent="420"/>
      <w:lvlJc w:val="right"/>
      <w:pPr>
        <w:ind w:left="1845" w:hanging="420"/>
      </w:pPr>
    </w:lvl>
    <w:lvl w:ilvl="3" w:tentative="0">
      <w:start w:val="1"/>
      <w:numFmt w:val="decimal"/>
      <w:lvlText w:val="%4."/>
      <w:legacy w:legacy="1" w:legacySpace="0" w:legacyIndent="420"/>
      <w:lvlJc w:val="left"/>
      <w:pPr>
        <w:ind w:left="2265" w:hanging="420"/>
      </w:pPr>
    </w:lvl>
    <w:lvl w:ilvl="4" w:tentative="0">
      <w:start w:val="1"/>
      <w:numFmt w:val="lowerLetter"/>
      <w:lvlText w:val="%5)"/>
      <w:legacy w:legacy="1" w:legacySpace="0" w:legacyIndent="420"/>
      <w:lvlJc w:val="left"/>
      <w:pPr>
        <w:ind w:left="2685" w:hanging="420"/>
      </w:pPr>
    </w:lvl>
    <w:lvl w:ilvl="5" w:tentative="0">
      <w:start w:val="1"/>
      <w:numFmt w:val="lowerRoman"/>
      <w:lvlText w:val="%6."/>
      <w:legacy w:legacy="1" w:legacySpace="0" w:legacyIndent="420"/>
      <w:lvlJc w:val="right"/>
      <w:pPr>
        <w:ind w:left="3105" w:hanging="420"/>
      </w:pPr>
    </w:lvl>
    <w:lvl w:ilvl="6" w:tentative="0">
      <w:start w:val="1"/>
      <w:numFmt w:val="decimal"/>
      <w:lvlText w:val="%7."/>
      <w:legacy w:legacy="1" w:legacySpace="0" w:legacyIndent="420"/>
      <w:lvlJc w:val="left"/>
      <w:pPr>
        <w:ind w:left="3525" w:hanging="420"/>
      </w:pPr>
    </w:lvl>
    <w:lvl w:ilvl="7" w:tentative="0">
      <w:start w:val="1"/>
      <w:numFmt w:val="lowerLetter"/>
      <w:lvlText w:val="%8)"/>
      <w:legacy w:legacy="1" w:legacySpace="0" w:legacyIndent="420"/>
      <w:lvlJc w:val="left"/>
      <w:pPr>
        <w:ind w:left="3945" w:hanging="420"/>
      </w:pPr>
    </w:lvl>
    <w:lvl w:ilvl="8" w:tentative="0">
      <w:start w:val="1"/>
      <w:numFmt w:val="lowerRoman"/>
      <w:lvlText w:val="%9."/>
      <w:legacy w:legacy="1" w:legacySpace="0" w:legacyIndent="420"/>
      <w:lvlJc w:val="right"/>
      <w:pPr>
        <w:ind w:left="4365" w:hanging="420"/>
      </w:pPr>
    </w:lvl>
  </w:abstractNum>
  <w:abstractNum w:abstractNumId="5">
    <w:nsid w:val="44C50F90"/>
    <w:multiLevelType w:val="multilevel"/>
    <w:tmpl w:val="44C50F90"/>
    <w:lvl w:ilvl="0" w:tentative="0">
      <w:start w:val="1"/>
      <w:numFmt w:val="lowerLetter"/>
      <w:pStyle w:val="236"/>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宋体" w:eastAsia="宋体"/>
        <w:sz w:val="21"/>
      </w:rPr>
    </w:lvl>
    <w:lvl w:ilvl="2" w:tentative="0">
      <w:start w:val="1"/>
      <w:numFmt w:val="decimal"/>
      <w:lvlText w:val="(%3)"/>
      <w:legacy w:legacy="1" w:legacySpace="0" w:legacyIndent="425"/>
      <w:lvlJc w:val="left"/>
      <w:pPr>
        <w:ind w:left="1701" w:hanging="425"/>
      </w:pPr>
      <w:rPr>
        <w:rFonts w:hint="eastAsia" w:ascii="宋体" w:hAnsi="宋体"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7D5C08A4"/>
    <w:multiLevelType w:val="multilevel"/>
    <w:tmpl w:val="7D5C08A4"/>
    <w:lvl w:ilvl="0" w:tentative="0">
      <w:start w:val="1"/>
      <w:numFmt w:val="none"/>
      <w:suff w:val="nothing"/>
      <w:lvlText w:val=""/>
      <w:lvlJc w:val="center"/>
      <w:pPr>
        <w:ind w:left="0" w:firstLine="288"/>
      </w:pPr>
    </w:lvl>
    <w:lvl w:ilvl="1" w:tentative="0">
      <w:start w:val="1"/>
      <w:numFmt w:val="chineseCountingThousand"/>
      <w:pStyle w:val="3"/>
      <w:suff w:val="nothing"/>
      <w:lvlText w:val="%2、"/>
      <w:lvlJc w:val="left"/>
      <w:pPr>
        <w:ind w:left="0" w:firstLine="442"/>
      </w:pPr>
      <w:rPr>
        <w:rFonts w:hint="eastAsia" w:ascii="黑体" w:eastAsia="黑体"/>
        <w:b w:val="0"/>
        <w:i w:val="0"/>
        <w:sz w:val="24"/>
      </w:rPr>
    </w:lvl>
    <w:lvl w:ilvl="2" w:tentative="0">
      <w:start w:val="1"/>
      <w:numFmt w:val="chineseCountingThousand"/>
      <w:pStyle w:val="5"/>
      <w:suff w:val="nothing"/>
      <w:lvlText w:val="(%3)"/>
      <w:lvlJc w:val="left"/>
      <w:pPr>
        <w:ind w:left="0" w:firstLine="442"/>
      </w:pPr>
    </w:lvl>
    <w:lvl w:ilvl="3" w:tentative="0">
      <w:start w:val="1"/>
      <w:numFmt w:val="none"/>
      <w:pStyle w:val="6"/>
      <w:suff w:val="nothing"/>
      <w:lvlText w:val="1."/>
      <w:lvlJc w:val="left"/>
      <w:pPr>
        <w:ind w:left="0" w:firstLine="567"/>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5"/>
    <w:lvlOverride w:ilvl="0">
      <w:startOverride w:val="1"/>
      <w:lvl w:ilvl="0" w:tentative="1">
        <w:start w:val="1"/>
        <w:numFmt w:val="lowerLetter"/>
        <w:lvlText w:val="%1)"/>
        <w:lvlJc w:val="left"/>
        <w:pPr>
          <w:tabs>
            <w:tab w:val="left" w:pos="851"/>
          </w:tabs>
          <w:ind w:left="851" w:hanging="426"/>
        </w:pPr>
        <w:rPr>
          <w:rFonts w:hint="eastAsia" w:ascii="宋体" w:hAnsi="宋体" w:eastAsia="宋体"/>
          <w:sz w:val="21"/>
        </w:rPr>
      </w:lvl>
    </w:lvlOverride>
    <w:lvlOverride w:ilvl="1">
      <w:startOverride w:val="1"/>
      <w:lvl w:ilvl="1" w:tentative="1">
        <w:start w:val="1"/>
        <w:numFmt w:val="decimal"/>
        <w:lvlText w:val="%2)"/>
        <w:lvlJc w:val="left"/>
        <w:pPr>
          <w:tabs>
            <w:tab w:val="left" w:pos="1276"/>
          </w:tabs>
          <w:ind w:left="1276" w:hanging="425"/>
        </w:pPr>
        <w:rPr>
          <w:rFonts w:hint="eastAsia" w:ascii="宋体" w:hAnsi="宋体" w:eastAsia="宋体"/>
          <w:sz w:val="21"/>
        </w:rPr>
      </w:lvl>
    </w:lvlOverride>
    <w:lvlOverride w:ilvl="2">
      <w:startOverride w:val="1"/>
      <w:lvl w:ilvl="2" w:tentative="1">
        <w:start w:val="1"/>
        <w:numFmt w:val="decimal"/>
        <w:lvlText w:val="(%3)"/>
        <w:legacy w:legacy="1" w:legacySpace="0" w:legacyIndent="425"/>
        <w:lvlJc w:val="left"/>
        <w:pPr>
          <w:ind w:left="1701" w:hanging="425"/>
        </w:pPr>
        <w:rPr>
          <w:rFonts w:hint="eastAsia" w:ascii="宋体" w:hAnsi="宋体" w:eastAsia="宋体"/>
          <w:sz w:val="21"/>
        </w:rPr>
      </w:lvl>
    </w:lvlOverride>
    <w:lvlOverride w:ilvl="3">
      <w:startOverride w:val="1"/>
      <w:lvl w:ilvl="3" w:tentative="1">
        <w:start w:val="1"/>
        <w:numFmt w:val="decimal"/>
        <w:lvlText w:val="%4."/>
        <w:lvlJc w:val="left"/>
        <w:pPr>
          <w:tabs>
            <w:tab w:val="left" w:pos="2100"/>
          </w:tabs>
          <w:ind w:left="2099" w:hanging="419"/>
        </w:pPr>
        <w:rPr>
          <w:rFonts w:hint="eastAsia"/>
        </w:rPr>
      </w:lvl>
    </w:lvlOverride>
    <w:lvlOverride w:ilvl="4">
      <w:startOverride w:val="1"/>
      <w:lvl w:ilvl="4" w:tentative="1">
        <w:start w:val="1"/>
        <w:numFmt w:val="lowerLetter"/>
        <w:lvlText w:val="%5)"/>
        <w:lvlJc w:val="left"/>
        <w:pPr>
          <w:tabs>
            <w:tab w:val="left" w:pos="2520"/>
          </w:tabs>
          <w:ind w:left="2519" w:hanging="419"/>
        </w:pPr>
        <w:rPr>
          <w:rFonts w:hint="eastAsia"/>
        </w:rPr>
      </w:lvl>
    </w:lvlOverride>
    <w:lvlOverride w:ilvl="5">
      <w:startOverride w:val="1"/>
      <w:lvl w:ilvl="5" w:tentative="1">
        <w:start w:val="1"/>
        <w:numFmt w:val="lowerRoman"/>
        <w:lvlText w:val="%6."/>
        <w:lvlJc w:val="right"/>
        <w:pPr>
          <w:tabs>
            <w:tab w:val="left" w:pos="2940"/>
          </w:tabs>
          <w:ind w:left="2939" w:hanging="419"/>
        </w:pPr>
        <w:rPr>
          <w:rFonts w:hint="eastAsia"/>
        </w:rPr>
      </w:lvl>
    </w:lvlOverride>
    <w:lvlOverride w:ilvl="6">
      <w:startOverride w:val="1"/>
      <w:lvl w:ilvl="6" w:tentative="1">
        <w:start w:val="1"/>
        <w:numFmt w:val="decimal"/>
        <w:lvlText w:val="%7."/>
        <w:lvlJc w:val="left"/>
        <w:pPr>
          <w:tabs>
            <w:tab w:val="left" w:pos="3360"/>
          </w:tabs>
          <w:ind w:left="3359" w:hanging="419"/>
        </w:pPr>
        <w:rPr>
          <w:rFonts w:hint="eastAsia"/>
        </w:rPr>
      </w:lvl>
    </w:lvlOverride>
    <w:lvlOverride w:ilvl="7">
      <w:startOverride w:val="1"/>
      <w:lvl w:ilvl="7" w:tentative="1">
        <w:start w:val="1"/>
        <w:numFmt w:val="lowerLetter"/>
        <w:lvlText w:val="%8)"/>
        <w:lvlJc w:val="left"/>
        <w:pPr>
          <w:tabs>
            <w:tab w:val="left" w:pos="3780"/>
          </w:tabs>
          <w:ind w:left="3779" w:hanging="419"/>
        </w:pPr>
        <w:rPr>
          <w:rFonts w:hint="eastAsia"/>
        </w:rPr>
      </w:lvl>
    </w:lvlOverride>
    <w:lvlOverride w:ilvl="8">
      <w:startOverride w:val="1"/>
      <w:lvl w:ilvl="8" w:tentative="1">
        <w:start w:val="1"/>
        <w:numFmt w:val="lowerRoman"/>
        <w:lvlText w:val="%9."/>
        <w:lvlJc w:val="right"/>
        <w:pPr>
          <w:tabs>
            <w:tab w:val="left" w:pos="4200"/>
          </w:tabs>
          <w:ind w:left="4199" w:hanging="419"/>
        </w:pPr>
        <w:rPr>
          <w:rFonts w:hint="eastAsia"/>
        </w:rPr>
      </w:lvl>
    </w:lvlOverride>
  </w:num>
  <w:num w:numId="8">
    <w:abstractNumId w:val="5"/>
    <w:lvlOverride w:ilvl="0">
      <w:startOverride w:val="1"/>
      <w:lvl w:ilvl="0" w:tentative="1">
        <w:start w:val="1"/>
        <w:numFmt w:val="lowerLetter"/>
        <w:lvlText w:val="%1)"/>
        <w:lvlJc w:val="left"/>
        <w:pPr>
          <w:tabs>
            <w:tab w:val="left" w:pos="851"/>
          </w:tabs>
          <w:ind w:left="851" w:hanging="426"/>
        </w:pPr>
        <w:rPr>
          <w:rFonts w:hint="eastAsia" w:ascii="宋体" w:hAnsi="宋体" w:eastAsia="宋体"/>
          <w:sz w:val="21"/>
        </w:rPr>
      </w:lvl>
    </w:lvlOverride>
    <w:lvlOverride w:ilvl="1">
      <w:startOverride w:val="1"/>
      <w:lvl w:ilvl="1" w:tentative="1">
        <w:start w:val="1"/>
        <w:numFmt w:val="decimal"/>
        <w:lvlText w:val="%2)"/>
        <w:lvlJc w:val="left"/>
        <w:pPr>
          <w:tabs>
            <w:tab w:val="left" w:pos="1276"/>
          </w:tabs>
          <w:ind w:left="1276" w:hanging="425"/>
        </w:pPr>
        <w:rPr>
          <w:rFonts w:hint="eastAsia" w:ascii="宋体" w:hAnsi="宋体" w:eastAsia="宋体"/>
          <w:sz w:val="21"/>
        </w:rPr>
      </w:lvl>
    </w:lvlOverride>
    <w:lvlOverride w:ilvl="2">
      <w:startOverride w:val="1"/>
      <w:lvl w:ilvl="2" w:tentative="1">
        <w:start w:val="1"/>
        <w:numFmt w:val="decimal"/>
        <w:lvlText w:val="(%3)"/>
        <w:legacy w:legacy="1" w:legacySpace="0" w:legacyIndent="425"/>
        <w:lvlJc w:val="left"/>
        <w:pPr>
          <w:ind w:left="1701" w:hanging="425"/>
        </w:pPr>
        <w:rPr>
          <w:rFonts w:hint="eastAsia" w:ascii="宋体" w:hAnsi="宋体" w:eastAsia="宋体"/>
          <w:sz w:val="21"/>
        </w:rPr>
      </w:lvl>
    </w:lvlOverride>
    <w:lvlOverride w:ilvl="3">
      <w:startOverride w:val="1"/>
      <w:lvl w:ilvl="3" w:tentative="1">
        <w:start w:val="1"/>
        <w:numFmt w:val="decimal"/>
        <w:lvlText w:val="%4."/>
        <w:lvlJc w:val="left"/>
        <w:pPr>
          <w:tabs>
            <w:tab w:val="left" w:pos="2100"/>
          </w:tabs>
          <w:ind w:left="2099" w:hanging="419"/>
        </w:pPr>
        <w:rPr>
          <w:rFonts w:hint="eastAsia"/>
        </w:rPr>
      </w:lvl>
    </w:lvlOverride>
    <w:lvlOverride w:ilvl="4">
      <w:startOverride w:val="1"/>
      <w:lvl w:ilvl="4" w:tentative="1">
        <w:start w:val="1"/>
        <w:numFmt w:val="lowerLetter"/>
        <w:lvlText w:val="%5)"/>
        <w:lvlJc w:val="left"/>
        <w:pPr>
          <w:tabs>
            <w:tab w:val="left" w:pos="2520"/>
          </w:tabs>
          <w:ind w:left="2519" w:hanging="419"/>
        </w:pPr>
        <w:rPr>
          <w:rFonts w:hint="eastAsia"/>
        </w:rPr>
      </w:lvl>
    </w:lvlOverride>
    <w:lvlOverride w:ilvl="5">
      <w:startOverride w:val="1"/>
      <w:lvl w:ilvl="5" w:tentative="1">
        <w:start w:val="1"/>
        <w:numFmt w:val="lowerRoman"/>
        <w:lvlText w:val="%6."/>
        <w:lvlJc w:val="right"/>
        <w:pPr>
          <w:tabs>
            <w:tab w:val="left" w:pos="2940"/>
          </w:tabs>
          <w:ind w:left="2939" w:hanging="419"/>
        </w:pPr>
        <w:rPr>
          <w:rFonts w:hint="eastAsia"/>
        </w:rPr>
      </w:lvl>
    </w:lvlOverride>
    <w:lvlOverride w:ilvl="6">
      <w:startOverride w:val="1"/>
      <w:lvl w:ilvl="6" w:tentative="1">
        <w:start w:val="1"/>
        <w:numFmt w:val="decimal"/>
        <w:lvlText w:val="%7."/>
        <w:lvlJc w:val="left"/>
        <w:pPr>
          <w:tabs>
            <w:tab w:val="left" w:pos="3360"/>
          </w:tabs>
          <w:ind w:left="3359" w:hanging="419"/>
        </w:pPr>
        <w:rPr>
          <w:rFonts w:hint="eastAsia"/>
        </w:rPr>
      </w:lvl>
    </w:lvlOverride>
    <w:lvlOverride w:ilvl="7">
      <w:startOverride w:val="1"/>
      <w:lvl w:ilvl="7" w:tentative="1">
        <w:start w:val="1"/>
        <w:numFmt w:val="lowerLetter"/>
        <w:lvlText w:val="%8)"/>
        <w:lvlJc w:val="left"/>
        <w:pPr>
          <w:tabs>
            <w:tab w:val="left" w:pos="3780"/>
          </w:tabs>
          <w:ind w:left="3779" w:hanging="419"/>
        </w:pPr>
        <w:rPr>
          <w:rFonts w:hint="eastAsia"/>
        </w:rPr>
      </w:lvl>
    </w:lvlOverride>
    <w:lvlOverride w:ilvl="8">
      <w:startOverride w:val="1"/>
      <w:lvl w:ilvl="8" w:tentative="1">
        <w:start w:val="1"/>
        <w:numFmt w:val="lowerRoman"/>
        <w:lvlText w:val="%9."/>
        <w:lvlJc w:val="right"/>
        <w:pPr>
          <w:tabs>
            <w:tab w:val="left" w:pos="4200"/>
          </w:tabs>
          <w:ind w:left="4199" w:hanging="419"/>
        </w:pPr>
        <w:rPr>
          <w:rFonts w:hint="eastAsia"/>
        </w:rPr>
      </w:lvl>
    </w:lvlOverride>
  </w:num>
  <w:num w:numId="9">
    <w:abstractNumId w:val="5"/>
    <w:lvlOverride w:ilvl="0">
      <w:startOverride w:val="1"/>
      <w:lvl w:ilvl="0" w:tentative="1">
        <w:start w:val="1"/>
        <w:numFmt w:val="lowerLetter"/>
        <w:lvlText w:val="%1)"/>
        <w:lvlJc w:val="left"/>
        <w:pPr>
          <w:tabs>
            <w:tab w:val="left" w:pos="851"/>
          </w:tabs>
          <w:ind w:left="851" w:hanging="426"/>
        </w:pPr>
        <w:rPr>
          <w:rFonts w:hint="eastAsia" w:ascii="宋体" w:hAnsi="宋体" w:eastAsia="宋体"/>
          <w:sz w:val="21"/>
        </w:rPr>
      </w:lvl>
    </w:lvlOverride>
    <w:lvlOverride w:ilvl="1">
      <w:startOverride w:val="1"/>
      <w:lvl w:ilvl="1" w:tentative="1">
        <w:start w:val="1"/>
        <w:numFmt w:val="decimal"/>
        <w:lvlText w:val="%2)"/>
        <w:lvlJc w:val="left"/>
        <w:pPr>
          <w:tabs>
            <w:tab w:val="left" w:pos="1276"/>
          </w:tabs>
          <w:ind w:left="1276" w:hanging="425"/>
        </w:pPr>
        <w:rPr>
          <w:rFonts w:hint="eastAsia" w:ascii="宋体" w:hAnsi="宋体" w:eastAsia="宋体"/>
          <w:sz w:val="21"/>
        </w:rPr>
      </w:lvl>
    </w:lvlOverride>
    <w:lvlOverride w:ilvl="2">
      <w:startOverride w:val="1"/>
      <w:lvl w:ilvl="2" w:tentative="1">
        <w:start w:val="1"/>
        <w:numFmt w:val="decimal"/>
        <w:lvlText w:val="(%3)"/>
        <w:legacy w:legacy="1" w:legacySpace="0" w:legacyIndent="425"/>
        <w:lvlJc w:val="left"/>
        <w:pPr>
          <w:ind w:left="1701" w:hanging="425"/>
        </w:pPr>
        <w:rPr>
          <w:rFonts w:hint="eastAsia" w:ascii="宋体" w:hAnsi="宋体" w:eastAsia="宋体"/>
          <w:sz w:val="21"/>
        </w:rPr>
      </w:lvl>
    </w:lvlOverride>
    <w:lvlOverride w:ilvl="3">
      <w:startOverride w:val="1"/>
      <w:lvl w:ilvl="3" w:tentative="1">
        <w:start w:val="1"/>
        <w:numFmt w:val="decimal"/>
        <w:lvlText w:val="%4."/>
        <w:lvlJc w:val="left"/>
        <w:pPr>
          <w:tabs>
            <w:tab w:val="left" w:pos="2100"/>
          </w:tabs>
          <w:ind w:left="2099" w:hanging="419"/>
        </w:pPr>
        <w:rPr>
          <w:rFonts w:hint="eastAsia"/>
        </w:rPr>
      </w:lvl>
    </w:lvlOverride>
    <w:lvlOverride w:ilvl="4">
      <w:startOverride w:val="1"/>
      <w:lvl w:ilvl="4" w:tentative="1">
        <w:start w:val="1"/>
        <w:numFmt w:val="lowerLetter"/>
        <w:lvlText w:val="%5)"/>
        <w:lvlJc w:val="left"/>
        <w:pPr>
          <w:tabs>
            <w:tab w:val="left" w:pos="2520"/>
          </w:tabs>
          <w:ind w:left="2519" w:hanging="419"/>
        </w:pPr>
        <w:rPr>
          <w:rFonts w:hint="eastAsia"/>
        </w:rPr>
      </w:lvl>
    </w:lvlOverride>
    <w:lvlOverride w:ilvl="5">
      <w:startOverride w:val="1"/>
      <w:lvl w:ilvl="5" w:tentative="1">
        <w:start w:val="1"/>
        <w:numFmt w:val="lowerRoman"/>
        <w:lvlText w:val="%6."/>
        <w:lvlJc w:val="right"/>
        <w:pPr>
          <w:tabs>
            <w:tab w:val="left" w:pos="2940"/>
          </w:tabs>
          <w:ind w:left="2939" w:hanging="419"/>
        </w:pPr>
        <w:rPr>
          <w:rFonts w:hint="eastAsia"/>
        </w:rPr>
      </w:lvl>
    </w:lvlOverride>
    <w:lvlOverride w:ilvl="6">
      <w:startOverride w:val="1"/>
      <w:lvl w:ilvl="6" w:tentative="1">
        <w:start w:val="1"/>
        <w:numFmt w:val="decimal"/>
        <w:lvlText w:val="%7."/>
        <w:lvlJc w:val="left"/>
        <w:pPr>
          <w:tabs>
            <w:tab w:val="left" w:pos="3360"/>
          </w:tabs>
          <w:ind w:left="3359" w:hanging="419"/>
        </w:pPr>
        <w:rPr>
          <w:rFonts w:hint="eastAsia"/>
        </w:rPr>
      </w:lvl>
    </w:lvlOverride>
    <w:lvlOverride w:ilvl="7">
      <w:startOverride w:val="1"/>
      <w:lvl w:ilvl="7" w:tentative="1">
        <w:start w:val="1"/>
        <w:numFmt w:val="lowerLetter"/>
        <w:lvlText w:val="%8)"/>
        <w:lvlJc w:val="left"/>
        <w:pPr>
          <w:tabs>
            <w:tab w:val="left" w:pos="3780"/>
          </w:tabs>
          <w:ind w:left="3779" w:hanging="419"/>
        </w:pPr>
        <w:rPr>
          <w:rFonts w:hint="eastAsia"/>
        </w:rPr>
      </w:lvl>
    </w:lvlOverride>
    <w:lvlOverride w:ilvl="8">
      <w:startOverride w:val="1"/>
      <w:lvl w:ilvl="8" w:tentative="1">
        <w:start w:val="1"/>
        <w:numFmt w:val="lowerRoman"/>
        <w:lvlText w:val="%9."/>
        <w:lvlJc w:val="right"/>
        <w:pPr>
          <w:tabs>
            <w:tab w:val="left" w:pos="4200"/>
          </w:tabs>
          <w:ind w:left="4199" w:hanging="419"/>
        </w:pPr>
        <w:rPr>
          <w:rFonts w:hint="eastAsia"/>
        </w:rPr>
      </w:lvl>
    </w:lvlOverride>
  </w:num>
  <w:num w:numId="10">
    <w:abstractNumId w:val="5"/>
    <w:lvlOverride w:ilvl="0">
      <w:startOverride w:val="1"/>
      <w:lvl w:ilvl="0" w:tentative="1">
        <w:start w:val="1"/>
        <w:numFmt w:val="lowerLetter"/>
        <w:lvlText w:val="%1)"/>
        <w:lvlJc w:val="left"/>
        <w:pPr>
          <w:tabs>
            <w:tab w:val="left" w:pos="851"/>
          </w:tabs>
          <w:ind w:left="851" w:hanging="426"/>
        </w:pPr>
        <w:rPr>
          <w:rFonts w:hint="eastAsia" w:ascii="宋体" w:hAnsi="宋体" w:eastAsia="宋体"/>
          <w:sz w:val="21"/>
        </w:rPr>
      </w:lvl>
    </w:lvlOverride>
    <w:lvlOverride w:ilvl="1">
      <w:startOverride w:val="1"/>
      <w:lvl w:ilvl="1" w:tentative="1">
        <w:start w:val="1"/>
        <w:numFmt w:val="decimal"/>
        <w:lvlText w:val="%2)"/>
        <w:lvlJc w:val="left"/>
        <w:pPr>
          <w:tabs>
            <w:tab w:val="left" w:pos="1276"/>
          </w:tabs>
          <w:ind w:left="1276" w:hanging="425"/>
        </w:pPr>
        <w:rPr>
          <w:rFonts w:hint="eastAsia" w:ascii="宋体" w:hAnsi="宋体" w:eastAsia="宋体"/>
          <w:sz w:val="21"/>
        </w:rPr>
      </w:lvl>
    </w:lvlOverride>
    <w:lvlOverride w:ilvl="2">
      <w:startOverride w:val="1"/>
      <w:lvl w:ilvl="2" w:tentative="1">
        <w:start w:val="1"/>
        <w:numFmt w:val="decimal"/>
        <w:lvlText w:val="(%3)"/>
        <w:legacy w:legacy="1" w:legacySpace="0" w:legacyIndent="425"/>
        <w:lvlJc w:val="left"/>
        <w:pPr>
          <w:ind w:left="1701" w:hanging="425"/>
        </w:pPr>
        <w:rPr>
          <w:rFonts w:hint="eastAsia" w:ascii="宋体" w:hAnsi="宋体" w:eastAsia="宋体"/>
          <w:sz w:val="21"/>
        </w:rPr>
      </w:lvl>
    </w:lvlOverride>
    <w:lvlOverride w:ilvl="3">
      <w:startOverride w:val="1"/>
      <w:lvl w:ilvl="3" w:tentative="1">
        <w:start w:val="1"/>
        <w:numFmt w:val="decimal"/>
        <w:lvlText w:val="%4."/>
        <w:lvlJc w:val="left"/>
        <w:pPr>
          <w:tabs>
            <w:tab w:val="left" w:pos="2100"/>
          </w:tabs>
          <w:ind w:left="2099" w:hanging="419"/>
        </w:pPr>
        <w:rPr>
          <w:rFonts w:hint="eastAsia"/>
        </w:rPr>
      </w:lvl>
    </w:lvlOverride>
    <w:lvlOverride w:ilvl="4">
      <w:startOverride w:val="1"/>
      <w:lvl w:ilvl="4" w:tentative="1">
        <w:start w:val="1"/>
        <w:numFmt w:val="lowerLetter"/>
        <w:lvlText w:val="%5)"/>
        <w:lvlJc w:val="left"/>
        <w:pPr>
          <w:tabs>
            <w:tab w:val="left" w:pos="2520"/>
          </w:tabs>
          <w:ind w:left="2519" w:hanging="419"/>
        </w:pPr>
        <w:rPr>
          <w:rFonts w:hint="eastAsia"/>
        </w:rPr>
      </w:lvl>
    </w:lvlOverride>
    <w:lvlOverride w:ilvl="5">
      <w:startOverride w:val="1"/>
      <w:lvl w:ilvl="5" w:tentative="1">
        <w:start w:val="1"/>
        <w:numFmt w:val="lowerRoman"/>
        <w:lvlText w:val="%6."/>
        <w:lvlJc w:val="right"/>
        <w:pPr>
          <w:tabs>
            <w:tab w:val="left" w:pos="2940"/>
          </w:tabs>
          <w:ind w:left="2939" w:hanging="419"/>
        </w:pPr>
        <w:rPr>
          <w:rFonts w:hint="eastAsia"/>
        </w:rPr>
      </w:lvl>
    </w:lvlOverride>
    <w:lvlOverride w:ilvl="6">
      <w:startOverride w:val="1"/>
      <w:lvl w:ilvl="6" w:tentative="1">
        <w:start w:val="1"/>
        <w:numFmt w:val="decimal"/>
        <w:lvlText w:val="%7."/>
        <w:lvlJc w:val="left"/>
        <w:pPr>
          <w:tabs>
            <w:tab w:val="left" w:pos="3360"/>
          </w:tabs>
          <w:ind w:left="3359" w:hanging="419"/>
        </w:pPr>
        <w:rPr>
          <w:rFonts w:hint="eastAsia"/>
        </w:rPr>
      </w:lvl>
    </w:lvlOverride>
    <w:lvlOverride w:ilvl="7">
      <w:startOverride w:val="1"/>
      <w:lvl w:ilvl="7" w:tentative="1">
        <w:start w:val="1"/>
        <w:numFmt w:val="lowerLetter"/>
        <w:lvlText w:val="%8)"/>
        <w:lvlJc w:val="left"/>
        <w:pPr>
          <w:tabs>
            <w:tab w:val="left" w:pos="3780"/>
          </w:tabs>
          <w:ind w:left="3779" w:hanging="419"/>
        </w:pPr>
        <w:rPr>
          <w:rFonts w:hint="eastAsia"/>
        </w:rPr>
      </w:lvl>
    </w:lvlOverride>
    <w:lvlOverride w:ilvl="8">
      <w:startOverride w:val="1"/>
      <w:lvl w:ilvl="8" w:tentative="1">
        <w:start w:val="1"/>
        <w:numFmt w:val="lowerRoman"/>
        <w:lvlText w:val="%9."/>
        <w:lvlJc w:val="right"/>
        <w:pPr>
          <w:tabs>
            <w:tab w:val="left" w:pos="4200"/>
          </w:tabs>
          <w:ind w:left="4199" w:hanging="419"/>
        </w:pPr>
        <w:rPr>
          <w:rFonts w:hint="eastAsia"/>
        </w:rPr>
      </w:lvl>
    </w:lvlOverride>
  </w:num>
  <w:num w:numId="11">
    <w:abstractNumId w:val="5"/>
    <w:lvlOverride w:ilvl="0">
      <w:startOverride w:val="1"/>
      <w:lvl w:ilvl="0" w:tentative="1">
        <w:start w:val="1"/>
        <w:numFmt w:val="lowerLetter"/>
        <w:lvlText w:val="%1)"/>
        <w:lvlJc w:val="left"/>
        <w:pPr>
          <w:tabs>
            <w:tab w:val="left" w:pos="851"/>
          </w:tabs>
          <w:ind w:left="851" w:hanging="426"/>
        </w:pPr>
        <w:rPr>
          <w:rFonts w:hint="eastAsia" w:ascii="宋体" w:hAnsi="宋体" w:eastAsia="宋体"/>
          <w:sz w:val="21"/>
        </w:rPr>
      </w:lvl>
    </w:lvlOverride>
    <w:lvlOverride w:ilvl="1">
      <w:startOverride w:val="1"/>
      <w:lvl w:ilvl="1" w:tentative="1">
        <w:start w:val="1"/>
        <w:numFmt w:val="decimal"/>
        <w:lvlText w:val="%2)"/>
        <w:lvlJc w:val="left"/>
        <w:pPr>
          <w:tabs>
            <w:tab w:val="left" w:pos="1276"/>
          </w:tabs>
          <w:ind w:left="1276" w:hanging="425"/>
        </w:pPr>
        <w:rPr>
          <w:rFonts w:hint="eastAsia" w:ascii="宋体" w:hAnsi="宋体" w:eastAsia="宋体"/>
          <w:sz w:val="21"/>
        </w:rPr>
      </w:lvl>
    </w:lvlOverride>
    <w:lvlOverride w:ilvl="2">
      <w:startOverride w:val="1"/>
      <w:lvl w:ilvl="2" w:tentative="1">
        <w:start w:val="1"/>
        <w:numFmt w:val="decimal"/>
        <w:lvlText w:val="(%3)"/>
        <w:legacy w:legacy="1" w:legacySpace="0" w:legacyIndent="425"/>
        <w:lvlJc w:val="left"/>
        <w:pPr>
          <w:ind w:left="1701" w:hanging="425"/>
        </w:pPr>
        <w:rPr>
          <w:rFonts w:hint="eastAsia" w:ascii="宋体" w:hAnsi="宋体" w:eastAsia="宋体"/>
          <w:sz w:val="21"/>
        </w:rPr>
      </w:lvl>
    </w:lvlOverride>
    <w:lvlOverride w:ilvl="3">
      <w:startOverride w:val="1"/>
      <w:lvl w:ilvl="3" w:tentative="1">
        <w:start w:val="1"/>
        <w:numFmt w:val="decimal"/>
        <w:lvlText w:val="%4."/>
        <w:lvlJc w:val="left"/>
        <w:pPr>
          <w:tabs>
            <w:tab w:val="left" w:pos="2100"/>
          </w:tabs>
          <w:ind w:left="2099" w:hanging="419"/>
        </w:pPr>
        <w:rPr>
          <w:rFonts w:hint="eastAsia"/>
        </w:rPr>
      </w:lvl>
    </w:lvlOverride>
    <w:lvlOverride w:ilvl="4">
      <w:startOverride w:val="1"/>
      <w:lvl w:ilvl="4" w:tentative="1">
        <w:start w:val="1"/>
        <w:numFmt w:val="lowerLetter"/>
        <w:lvlText w:val="%5)"/>
        <w:lvlJc w:val="left"/>
        <w:pPr>
          <w:tabs>
            <w:tab w:val="left" w:pos="2520"/>
          </w:tabs>
          <w:ind w:left="2519" w:hanging="419"/>
        </w:pPr>
        <w:rPr>
          <w:rFonts w:hint="eastAsia"/>
        </w:rPr>
      </w:lvl>
    </w:lvlOverride>
    <w:lvlOverride w:ilvl="5">
      <w:startOverride w:val="1"/>
      <w:lvl w:ilvl="5" w:tentative="1">
        <w:start w:val="1"/>
        <w:numFmt w:val="lowerRoman"/>
        <w:lvlText w:val="%6."/>
        <w:lvlJc w:val="right"/>
        <w:pPr>
          <w:tabs>
            <w:tab w:val="left" w:pos="2940"/>
          </w:tabs>
          <w:ind w:left="2939" w:hanging="419"/>
        </w:pPr>
        <w:rPr>
          <w:rFonts w:hint="eastAsia"/>
        </w:rPr>
      </w:lvl>
    </w:lvlOverride>
    <w:lvlOverride w:ilvl="6">
      <w:startOverride w:val="1"/>
      <w:lvl w:ilvl="6" w:tentative="1">
        <w:start w:val="1"/>
        <w:numFmt w:val="decimal"/>
        <w:lvlText w:val="%7."/>
        <w:lvlJc w:val="left"/>
        <w:pPr>
          <w:tabs>
            <w:tab w:val="left" w:pos="3360"/>
          </w:tabs>
          <w:ind w:left="3359" w:hanging="419"/>
        </w:pPr>
        <w:rPr>
          <w:rFonts w:hint="eastAsia"/>
        </w:rPr>
      </w:lvl>
    </w:lvlOverride>
    <w:lvlOverride w:ilvl="7">
      <w:startOverride w:val="1"/>
      <w:lvl w:ilvl="7" w:tentative="1">
        <w:start w:val="1"/>
        <w:numFmt w:val="lowerLetter"/>
        <w:lvlText w:val="%8)"/>
        <w:lvlJc w:val="left"/>
        <w:pPr>
          <w:tabs>
            <w:tab w:val="left" w:pos="3780"/>
          </w:tabs>
          <w:ind w:left="3779" w:hanging="419"/>
        </w:pPr>
        <w:rPr>
          <w:rFonts w:hint="eastAsia"/>
        </w:rPr>
      </w:lvl>
    </w:lvlOverride>
    <w:lvlOverride w:ilvl="8">
      <w:startOverride w:val="1"/>
      <w:lvl w:ilvl="8" w:tentative="1">
        <w:start w:val="1"/>
        <w:numFmt w:val="lowerRoman"/>
        <w:lvlText w:val="%9."/>
        <w:lvlJc w:val="right"/>
        <w:pPr>
          <w:tabs>
            <w:tab w:val="left" w:pos="4200"/>
          </w:tabs>
          <w:ind w:left="4199" w:hanging="419"/>
        </w:pPr>
        <w:rPr>
          <w:rFonts w:hint="eastAsia"/>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6191"/>
    <w:rsid w:val="0002766E"/>
    <w:rsid w:val="000646D8"/>
    <w:rsid w:val="00070C6C"/>
    <w:rsid w:val="000B7C3E"/>
    <w:rsid w:val="000D7746"/>
    <w:rsid w:val="000E16B6"/>
    <w:rsid w:val="000F0408"/>
    <w:rsid w:val="001356EA"/>
    <w:rsid w:val="001470F9"/>
    <w:rsid w:val="001478A0"/>
    <w:rsid w:val="00150374"/>
    <w:rsid w:val="001A7904"/>
    <w:rsid w:val="002438CB"/>
    <w:rsid w:val="002501C1"/>
    <w:rsid w:val="00255183"/>
    <w:rsid w:val="00281011"/>
    <w:rsid w:val="002C4293"/>
    <w:rsid w:val="00305DBF"/>
    <w:rsid w:val="0032271B"/>
    <w:rsid w:val="003349A5"/>
    <w:rsid w:val="00377F31"/>
    <w:rsid w:val="003B1F72"/>
    <w:rsid w:val="003D00A1"/>
    <w:rsid w:val="003D32B1"/>
    <w:rsid w:val="003E6477"/>
    <w:rsid w:val="003F4624"/>
    <w:rsid w:val="0040107D"/>
    <w:rsid w:val="00425056"/>
    <w:rsid w:val="00437BB1"/>
    <w:rsid w:val="004607E9"/>
    <w:rsid w:val="0049313F"/>
    <w:rsid w:val="004940AE"/>
    <w:rsid w:val="004A0A4D"/>
    <w:rsid w:val="004A45D5"/>
    <w:rsid w:val="004F79F5"/>
    <w:rsid w:val="00541049"/>
    <w:rsid w:val="0055049C"/>
    <w:rsid w:val="005A6110"/>
    <w:rsid w:val="005B6D71"/>
    <w:rsid w:val="005B75EA"/>
    <w:rsid w:val="005C0E90"/>
    <w:rsid w:val="0061293E"/>
    <w:rsid w:val="00651DF8"/>
    <w:rsid w:val="00660E40"/>
    <w:rsid w:val="006801B9"/>
    <w:rsid w:val="00684208"/>
    <w:rsid w:val="00692018"/>
    <w:rsid w:val="006E6032"/>
    <w:rsid w:val="006E666D"/>
    <w:rsid w:val="007048FD"/>
    <w:rsid w:val="007050E3"/>
    <w:rsid w:val="00726BCC"/>
    <w:rsid w:val="00731FBB"/>
    <w:rsid w:val="00750AEF"/>
    <w:rsid w:val="00774647"/>
    <w:rsid w:val="0079414A"/>
    <w:rsid w:val="007E1611"/>
    <w:rsid w:val="00803C82"/>
    <w:rsid w:val="00833EB9"/>
    <w:rsid w:val="008356FB"/>
    <w:rsid w:val="008A1F0A"/>
    <w:rsid w:val="008A30F3"/>
    <w:rsid w:val="008A3933"/>
    <w:rsid w:val="008B42CE"/>
    <w:rsid w:val="008E75EF"/>
    <w:rsid w:val="008E7F17"/>
    <w:rsid w:val="008F60A2"/>
    <w:rsid w:val="009A5605"/>
    <w:rsid w:val="009A599F"/>
    <w:rsid w:val="009A6985"/>
    <w:rsid w:val="00A01C3E"/>
    <w:rsid w:val="00A24E16"/>
    <w:rsid w:val="00A30EE8"/>
    <w:rsid w:val="00A31B12"/>
    <w:rsid w:val="00A52EAA"/>
    <w:rsid w:val="00A56F91"/>
    <w:rsid w:val="00A74F41"/>
    <w:rsid w:val="00A920F6"/>
    <w:rsid w:val="00AE23CE"/>
    <w:rsid w:val="00AE68D0"/>
    <w:rsid w:val="00AE78F5"/>
    <w:rsid w:val="00B04F9D"/>
    <w:rsid w:val="00B26820"/>
    <w:rsid w:val="00BD61CA"/>
    <w:rsid w:val="00BE18E0"/>
    <w:rsid w:val="00BE5C03"/>
    <w:rsid w:val="00BF2FE3"/>
    <w:rsid w:val="00BF5343"/>
    <w:rsid w:val="00C0205A"/>
    <w:rsid w:val="00C0717F"/>
    <w:rsid w:val="00C65DE0"/>
    <w:rsid w:val="00C713B7"/>
    <w:rsid w:val="00CB041C"/>
    <w:rsid w:val="00CE1804"/>
    <w:rsid w:val="00CE2C05"/>
    <w:rsid w:val="00D108F5"/>
    <w:rsid w:val="00D14A3A"/>
    <w:rsid w:val="00D26191"/>
    <w:rsid w:val="00D30425"/>
    <w:rsid w:val="00D51B35"/>
    <w:rsid w:val="00D613C9"/>
    <w:rsid w:val="00D849EC"/>
    <w:rsid w:val="00D96376"/>
    <w:rsid w:val="00DC3CC3"/>
    <w:rsid w:val="00DE168E"/>
    <w:rsid w:val="00DF30C7"/>
    <w:rsid w:val="00E13B85"/>
    <w:rsid w:val="00E15AC8"/>
    <w:rsid w:val="00E33FAC"/>
    <w:rsid w:val="00E62D50"/>
    <w:rsid w:val="00EC3E0D"/>
    <w:rsid w:val="00EC7A10"/>
    <w:rsid w:val="00ED08D3"/>
    <w:rsid w:val="00F07373"/>
    <w:rsid w:val="00F10297"/>
    <w:rsid w:val="00F27D21"/>
    <w:rsid w:val="00F500A7"/>
    <w:rsid w:val="00F5620E"/>
    <w:rsid w:val="1DEC3C3D"/>
    <w:rsid w:val="5E7E6AE1"/>
    <w:rsid w:val="5FFFB131"/>
    <w:rsid w:val="73FD3427"/>
    <w:rsid w:val="762F48DF"/>
    <w:rsid w:val="77FC1C75"/>
    <w:rsid w:val="7CD9EFD0"/>
    <w:rsid w:val="7CE1D2A8"/>
    <w:rsid w:val="7F966A37"/>
    <w:rsid w:val="7FF66E5C"/>
    <w:rsid w:val="B77FE41D"/>
    <w:rsid w:val="BB7A3EAD"/>
    <w:rsid w:val="BF7BFFD6"/>
    <w:rsid w:val="D39FDFF4"/>
    <w:rsid w:val="D8FCA235"/>
    <w:rsid w:val="DE7C4E06"/>
    <w:rsid w:val="DFFFA90B"/>
    <w:rsid w:val="E7ADCC1D"/>
    <w:rsid w:val="EEEB7FEA"/>
    <w:rsid w:val="F4F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rFonts w:ascii="Times New Roman" w:hAnsi="Times New Roman"/>
      <w:b/>
      <w:kern w:val="44"/>
      <w:sz w:val="44"/>
      <w:szCs w:val="20"/>
    </w:rPr>
  </w:style>
  <w:style w:type="paragraph" w:styleId="3">
    <w:name w:val="heading 2"/>
    <w:basedOn w:val="1"/>
    <w:next w:val="4"/>
    <w:link w:val="52"/>
    <w:qFormat/>
    <w:uiPriority w:val="0"/>
    <w:pPr>
      <w:keepNext/>
      <w:keepLines/>
      <w:numPr>
        <w:ilvl w:val="1"/>
        <w:numId w:val="1"/>
      </w:numPr>
      <w:spacing w:line="500" w:lineRule="atLeast"/>
      <w:outlineLvl w:val="1"/>
    </w:pPr>
    <w:rPr>
      <w:rFonts w:ascii="黑体" w:hAnsi="Arial" w:eastAsia="黑体" w:cs="宋体"/>
      <w:kern w:val="0"/>
      <w:szCs w:val="20"/>
    </w:rPr>
  </w:style>
  <w:style w:type="paragraph" w:styleId="5">
    <w:name w:val="heading 3"/>
    <w:basedOn w:val="1"/>
    <w:next w:val="4"/>
    <w:link w:val="53"/>
    <w:qFormat/>
    <w:uiPriority w:val="0"/>
    <w:pPr>
      <w:keepNext/>
      <w:keepLines/>
      <w:numPr>
        <w:ilvl w:val="2"/>
        <w:numId w:val="1"/>
      </w:numPr>
      <w:spacing w:line="500" w:lineRule="atLeast"/>
      <w:outlineLvl w:val="2"/>
    </w:pPr>
    <w:rPr>
      <w:rFonts w:ascii="宋体" w:hAnsi="Times New Roman" w:eastAsia="黑体" w:cs="宋体"/>
      <w:sz w:val="24"/>
      <w:szCs w:val="20"/>
    </w:rPr>
  </w:style>
  <w:style w:type="paragraph" w:styleId="6">
    <w:name w:val="heading 4"/>
    <w:basedOn w:val="1"/>
    <w:next w:val="4"/>
    <w:link w:val="54"/>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7">
    <w:name w:val="heading 5"/>
    <w:basedOn w:val="1"/>
    <w:next w:val="4"/>
    <w:link w:val="55"/>
    <w:qFormat/>
    <w:uiPriority w:val="0"/>
    <w:pPr>
      <w:keepNext/>
      <w:keepLines/>
      <w:numPr>
        <w:ilvl w:val="4"/>
        <w:numId w:val="1"/>
      </w:numPr>
      <w:spacing w:before="280" w:after="290" w:line="374" w:lineRule="auto"/>
      <w:outlineLvl w:val="4"/>
    </w:pPr>
    <w:rPr>
      <w:rFonts w:ascii="宋体" w:hAnsi="Times New Roman" w:cs="宋体"/>
      <w:b/>
      <w:sz w:val="28"/>
      <w:szCs w:val="20"/>
    </w:rPr>
  </w:style>
  <w:style w:type="paragraph" w:styleId="8">
    <w:name w:val="heading 6"/>
    <w:basedOn w:val="1"/>
    <w:next w:val="4"/>
    <w:link w:val="56"/>
    <w:qFormat/>
    <w:uiPriority w:val="0"/>
    <w:pPr>
      <w:keepNext/>
      <w:keepLines/>
      <w:numPr>
        <w:ilvl w:val="5"/>
        <w:numId w:val="1"/>
      </w:numPr>
      <w:spacing w:before="240" w:after="64" w:line="319" w:lineRule="auto"/>
      <w:outlineLvl w:val="5"/>
    </w:pPr>
    <w:rPr>
      <w:rFonts w:ascii="Times New Roman" w:hAnsi="Times New Roman"/>
      <w:sz w:val="18"/>
      <w:szCs w:val="18"/>
    </w:rPr>
  </w:style>
  <w:style w:type="paragraph" w:styleId="9">
    <w:name w:val="heading 7"/>
    <w:basedOn w:val="1"/>
    <w:next w:val="4"/>
    <w:link w:val="57"/>
    <w:qFormat/>
    <w:uiPriority w:val="0"/>
    <w:pPr>
      <w:keepNext/>
      <w:keepLines/>
      <w:numPr>
        <w:ilvl w:val="6"/>
        <w:numId w:val="1"/>
      </w:numPr>
      <w:spacing w:before="240" w:after="64" w:line="319" w:lineRule="auto"/>
      <w:outlineLvl w:val="6"/>
    </w:pPr>
    <w:rPr>
      <w:rFonts w:ascii="宋体" w:hAnsi="Times New Roman"/>
      <w:b/>
      <w:sz w:val="24"/>
      <w:szCs w:val="20"/>
    </w:rPr>
  </w:style>
  <w:style w:type="paragraph" w:styleId="10">
    <w:name w:val="heading 8"/>
    <w:basedOn w:val="1"/>
    <w:next w:val="4"/>
    <w:link w:val="58"/>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1">
    <w:name w:val="heading 9"/>
    <w:basedOn w:val="1"/>
    <w:next w:val="4"/>
    <w:link w:val="59"/>
    <w:qFormat/>
    <w:uiPriority w:val="0"/>
    <w:pPr>
      <w:keepNext/>
      <w:keepLines/>
      <w:numPr>
        <w:ilvl w:val="8"/>
        <w:numId w:val="1"/>
      </w:numPr>
      <w:spacing w:line="500" w:lineRule="atLeast"/>
      <w:jc w:val="center"/>
      <w:outlineLvl w:val="8"/>
    </w:pPr>
    <w:rPr>
      <w:rFonts w:ascii="宋体" w:hAnsi="Times New Roman"/>
      <w:sz w:val="4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0"/>
    </w:rPr>
  </w:style>
  <w:style w:type="paragraph" w:styleId="12">
    <w:name w:val="List 3"/>
    <w:basedOn w:val="1"/>
    <w:qFormat/>
    <w:uiPriority w:val="0"/>
    <w:pPr>
      <w:ind w:left="100" w:leftChars="400" w:hanging="200" w:hangingChars="200"/>
    </w:pPr>
    <w:rPr>
      <w:rFonts w:ascii="Times New Roman" w:hAnsi="Times New Roman"/>
      <w:kern w:val="0"/>
      <w:szCs w:val="21"/>
    </w:rPr>
  </w:style>
  <w:style w:type="paragraph" w:styleId="13">
    <w:name w:val="toc 7"/>
    <w:basedOn w:val="1"/>
    <w:next w:val="1"/>
    <w:unhideWhenUsed/>
    <w:qFormat/>
    <w:uiPriority w:val="39"/>
    <w:pPr>
      <w:ind w:left="2520" w:leftChars="1200"/>
    </w:pPr>
    <w:rPr>
      <w:szCs w:val="22"/>
    </w:rPr>
  </w:style>
  <w:style w:type="paragraph" w:styleId="14">
    <w:name w:val="Document Map"/>
    <w:basedOn w:val="1"/>
    <w:link w:val="172"/>
    <w:semiHidden/>
    <w:qFormat/>
    <w:uiPriority w:val="0"/>
    <w:rPr>
      <w:rFonts w:ascii="宋体"/>
      <w:sz w:val="18"/>
      <w:szCs w:val="18"/>
    </w:rPr>
  </w:style>
  <w:style w:type="paragraph" w:styleId="15">
    <w:name w:val="toa heading"/>
    <w:basedOn w:val="1"/>
    <w:next w:val="1"/>
    <w:qFormat/>
    <w:uiPriority w:val="0"/>
    <w:pPr>
      <w:spacing w:before="120"/>
    </w:pPr>
    <w:rPr>
      <w:rFonts w:ascii="Calibri Light" w:hAnsi="Calibri Light"/>
      <w:sz w:val="24"/>
    </w:rPr>
  </w:style>
  <w:style w:type="paragraph" w:styleId="16">
    <w:name w:val="annotation text"/>
    <w:basedOn w:val="1"/>
    <w:link w:val="76"/>
    <w:qFormat/>
    <w:uiPriority w:val="0"/>
    <w:pPr>
      <w:jc w:val="left"/>
    </w:pPr>
    <w:rPr>
      <w:rFonts w:ascii="Times New Roman" w:hAnsi="Times New Roman"/>
    </w:rPr>
  </w:style>
  <w:style w:type="paragraph" w:styleId="17">
    <w:name w:val="Body Text"/>
    <w:basedOn w:val="1"/>
    <w:link w:val="69"/>
    <w:qFormat/>
    <w:uiPriority w:val="0"/>
    <w:pPr>
      <w:spacing w:after="120"/>
    </w:pPr>
    <w:rPr>
      <w:rFonts w:ascii="Times New Roman" w:hAnsi="Times New Roman"/>
    </w:rPr>
  </w:style>
  <w:style w:type="paragraph" w:styleId="18">
    <w:name w:val="Body Text Indent"/>
    <w:basedOn w:val="1"/>
    <w:link w:val="92"/>
    <w:qFormat/>
    <w:uiPriority w:val="0"/>
    <w:pPr>
      <w:adjustRightInd w:val="0"/>
      <w:spacing w:line="360" w:lineRule="atLeast"/>
      <w:ind w:firstLine="600"/>
      <w:textAlignment w:val="baseline"/>
    </w:pPr>
    <w:rPr>
      <w:rFonts w:ascii="Times New Roman" w:hAnsi="Times New Roman"/>
      <w:kern w:val="0"/>
      <w:sz w:val="30"/>
      <w:szCs w:val="20"/>
    </w:rPr>
  </w:style>
  <w:style w:type="paragraph" w:styleId="19">
    <w:name w:val="List 2"/>
    <w:basedOn w:val="1"/>
    <w:qFormat/>
    <w:uiPriority w:val="0"/>
    <w:pPr>
      <w:ind w:left="100" w:leftChars="200" w:hanging="200" w:hangingChars="200"/>
    </w:pPr>
    <w:rPr>
      <w:rFonts w:ascii="Times New Roman" w:hAnsi="Times New Roman"/>
      <w:kern w:val="0"/>
      <w:szCs w:val="21"/>
    </w:rPr>
  </w:style>
  <w:style w:type="paragraph" w:styleId="20">
    <w:name w:val="toc 5"/>
    <w:basedOn w:val="1"/>
    <w:next w:val="1"/>
    <w:qFormat/>
    <w:uiPriority w:val="39"/>
    <w:pPr>
      <w:ind w:left="1680" w:leftChars="800"/>
    </w:pPr>
    <w:rPr>
      <w:rFonts w:ascii="Times New Roman" w:hAnsi="Times New Roman"/>
    </w:rPr>
  </w:style>
  <w:style w:type="paragraph" w:styleId="21">
    <w:name w:val="toc 3"/>
    <w:basedOn w:val="1"/>
    <w:next w:val="1"/>
    <w:qFormat/>
    <w:uiPriority w:val="39"/>
    <w:pPr>
      <w:tabs>
        <w:tab w:val="right" w:leader="dot" w:pos="9403"/>
      </w:tabs>
      <w:spacing w:line="360" w:lineRule="auto"/>
      <w:ind w:left="840" w:leftChars="400"/>
    </w:pPr>
    <w:rPr>
      <w:rFonts w:ascii="Times New Roman" w:hAnsi="Times New Roman"/>
    </w:rPr>
  </w:style>
  <w:style w:type="paragraph" w:styleId="22">
    <w:name w:val="Plain Text"/>
    <w:basedOn w:val="1"/>
    <w:link w:val="72"/>
    <w:qFormat/>
    <w:uiPriority w:val="0"/>
    <w:rPr>
      <w:rFonts w:ascii="宋体" w:hAnsi="Courier New"/>
    </w:rPr>
  </w:style>
  <w:style w:type="paragraph" w:styleId="23">
    <w:name w:val="toc 8"/>
    <w:basedOn w:val="1"/>
    <w:next w:val="1"/>
    <w:unhideWhenUsed/>
    <w:qFormat/>
    <w:uiPriority w:val="39"/>
    <w:pPr>
      <w:ind w:left="2940" w:leftChars="1400"/>
    </w:pPr>
    <w:rPr>
      <w:szCs w:val="22"/>
    </w:rPr>
  </w:style>
  <w:style w:type="paragraph" w:styleId="24">
    <w:name w:val="Date"/>
    <w:basedOn w:val="1"/>
    <w:next w:val="1"/>
    <w:link w:val="60"/>
    <w:qFormat/>
    <w:uiPriority w:val="0"/>
    <w:pPr>
      <w:ind w:left="100" w:leftChars="2500"/>
    </w:pPr>
  </w:style>
  <w:style w:type="paragraph" w:styleId="25">
    <w:name w:val="Body Text Indent 2"/>
    <w:basedOn w:val="1"/>
    <w:link w:val="73"/>
    <w:qFormat/>
    <w:uiPriority w:val="0"/>
    <w:pPr>
      <w:spacing w:after="120" w:line="480" w:lineRule="auto"/>
      <w:ind w:left="420" w:leftChars="200"/>
    </w:pPr>
    <w:rPr>
      <w:rFonts w:ascii="Times New Roman" w:hAnsi="Times New Roman"/>
    </w:rPr>
  </w:style>
  <w:style w:type="paragraph" w:styleId="26">
    <w:name w:val="Balloon Text"/>
    <w:basedOn w:val="1"/>
    <w:link w:val="63"/>
    <w:qFormat/>
    <w:uiPriority w:val="0"/>
    <w:rPr>
      <w:sz w:val="18"/>
      <w:szCs w:val="18"/>
    </w:rPr>
  </w:style>
  <w:style w:type="paragraph" w:styleId="27">
    <w:name w:val="footer"/>
    <w:basedOn w:val="1"/>
    <w:link w:val="62"/>
    <w:qFormat/>
    <w:uiPriority w:val="99"/>
    <w:pPr>
      <w:tabs>
        <w:tab w:val="center" w:pos="4153"/>
        <w:tab w:val="right" w:pos="8306"/>
      </w:tabs>
      <w:snapToGrid w:val="0"/>
      <w:jc w:val="left"/>
    </w:pPr>
    <w:rPr>
      <w:sz w:val="18"/>
      <w:szCs w:val="18"/>
    </w:rPr>
  </w:style>
  <w:style w:type="paragraph" w:styleId="28">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403"/>
      </w:tabs>
      <w:spacing w:line="360" w:lineRule="auto"/>
    </w:pPr>
    <w:rPr>
      <w:rFonts w:ascii="Times New Roman" w:hAnsi="Times New Roman"/>
    </w:rPr>
  </w:style>
  <w:style w:type="paragraph" w:styleId="30">
    <w:name w:val="toc 4"/>
    <w:basedOn w:val="1"/>
    <w:next w:val="1"/>
    <w:qFormat/>
    <w:uiPriority w:val="39"/>
    <w:pPr>
      <w:ind w:left="1260" w:leftChars="600"/>
    </w:pPr>
    <w:rPr>
      <w:rFonts w:ascii="Times New Roman" w:hAnsi="Times New Roman"/>
    </w:rPr>
  </w:style>
  <w:style w:type="paragraph" w:styleId="31">
    <w:name w:val="List"/>
    <w:basedOn w:val="1"/>
    <w:qFormat/>
    <w:uiPriority w:val="0"/>
    <w:pPr>
      <w:ind w:left="200" w:hanging="200" w:hangingChars="200"/>
    </w:pPr>
    <w:rPr>
      <w:rFonts w:ascii="Times New Roman" w:hAnsi="Times New Roman"/>
      <w:kern w:val="0"/>
      <w:szCs w:val="21"/>
    </w:rPr>
  </w:style>
  <w:style w:type="paragraph" w:styleId="32">
    <w:name w:val="footnote text"/>
    <w:basedOn w:val="1"/>
    <w:link w:val="212"/>
    <w:semiHidden/>
    <w:qFormat/>
    <w:uiPriority w:val="0"/>
    <w:pPr>
      <w:snapToGrid w:val="0"/>
      <w:jc w:val="left"/>
    </w:pPr>
    <w:rPr>
      <w:rFonts w:ascii="Times New Roman" w:hAnsi="Times New Roman"/>
      <w:sz w:val="18"/>
      <w:szCs w:val="18"/>
    </w:rPr>
  </w:style>
  <w:style w:type="paragraph" w:styleId="33">
    <w:name w:val="toc 6"/>
    <w:basedOn w:val="1"/>
    <w:next w:val="1"/>
    <w:unhideWhenUsed/>
    <w:qFormat/>
    <w:uiPriority w:val="39"/>
    <w:pPr>
      <w:ind w:left="2100" w:leftChars="1000"/>
    </w:pPr>
    <w:rPr>
      <w:szCs w:val="22"/>
    </w:rPr>
  </w:style>
  <w:style w:type="paragraph" w:styleId="34">
    <w:name w:val="Body Text Indent 3"/>
    <w:basedOn w:val="1"/>
    <w:link w:val="82"/>
    <w:qFormat/>
    <w:uiPriority w:val="0"/>
    <w:pPr>
      <w:spacing w:after="120"/>
      <w:ind w:left="420" w:leftChars="200"/>
    </w:pPr>
    <w:rPr>
      <w:rFonts w:ascii="Times New Roman" w:hAnsi="Times New Roman"/>
      <w:sz w:val="16"/>
      <w:szCs w:val="16"/>
    </w:rPr>
  </w:style>
  <w:style w:type="paragraph" w:styleId="35">
    <w:name w:val="toc 2"/>
    <w:basedOn w:val="1"/>
    <w:next w:val="1"/>
    <w:qFormat/>
    <w:uiPriority w:val="39"/>
    <w:pPr>
      <w:tabs>
        <w:tab w:val="left" w:leader="dot" w:pos="8820"/>
      </w:tabs>
      <w:spacing w:line="360" w:lineRule="exact"/>
      <w:ind w:firstLine="1155" w:firstLineChars="550"/>
    </w:pPr>
    <w:rPr>
      <w:rFonts w:ascii="Times New Roman" w:hAnsi="Times New Roman"/>
    </w:rPr>
  </w:style>
  <w:style w:type="paragraph" w:styleId="36">
    <w:name w:val="toc 9"/>
    <w:basedOn w:val="1"/>
    <w:next w:val="1"/>
    <w:unhideWhenUsed/>
    <w:qFormat/>
    <w:uiPriority w:val="39"/>
    <w:pPr>
      <w:ind w:left="3360" w:leftChars="1600"/>
    </w:pPr>
    <w:rPr>
      <w:szCs w:val="22"/>
    </w:rPr>
  </w:style>
  <w:style w:type="paragraph" w:styleId="37">
    <w:name w:val="Body Text 2"/>
    <w:basedOn w:val="1"/>
    <w:link w:val="74"/>
    <w:qFormat/>
    <w:uiPriority w:val="0"/>
    <w:pPr>
      <w:spacing w:after="120" w:line="480" w:lineRule="auto"/>
    </w:pPr>
    <w:rPr>
      <w:rFonts w:ascii="Times New Roman" w:hAnsi="Times New Roman"/>
    </w:rPr>
  </w:style>
  <w:style w:type="paragraph" w:styleId="38">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9">
    <w:name w:val="Normal (Web)"/>
    <w:basedOn w:val="1"/>
    <w:qFormat/>
    <w:uiPriority w:val="99"/>
    <w:pPr>
      <w:spacing w:before="100" w:beforeAutospacing="1" w:after="100" w:afterAutospacing="1"/>
      <w:jc w:val="left"/>
    </w:pPr>
    <w:rPr>
      <w:kern w:val="0"/>
      <w:sz w:val="24"/>
    </w:rPr>
  </w:style>
  <w:style w:type="paragraph" w:styleId="40">
    <w:name w:val="annotation subject"/>
    <w:basedOn w:val="16"/>
    <w:next w:val="16"/>
    <w:link w:val="77"/>
    <w:qFormat/>
    <w:uiPriority w:val="0"/>
    <w:rPr>
      <w:b/>
      <w:bCs/>
    </w:rPr>
  </w:style>
  <w:style w:type="paragraph" w:styleId="41">
    <w:name w:val="Body Text First Indent"/>
    <w:basedOn w:val="17"/>
    <w:link w:val="97"/>
    <w:qFormat/>
    <w:uiPriority w:val="0"/>
    <w:pPr>
      <w:ind w:firstLine="420" w:firstLineChars="100"/>
    </w:pPr>
    <w:rPr>
      <w:rFonts w:ascii="黑体"/>
      <w:spacing w:val="2"/>
      <w:position w:val="8"/>
      <w:szCs w:val="21"/>
    </w:rPr>
  </w:style>
  <w:style w:type="table" w:styleId="43">
    <w:name w:val="Table Grid"/>
    <w:basedOn w:val="4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333333"/>
      <w:u w:val="none"/>
    </w:rPr>
  </w:style>
  <w:style w:type="character" w:styleId="49">
    <w:name w:val="annotation reference"/>
    <w:qFormat/>
    <w:uiPriority w:val="0"/>
    <w:rPr>
      <w:sz w:val="21"/>
      <w:szCs w:val="21"/>
    </w:rPr>
  </w:style>
  <w:style w:type="character" w:styleId="50">
    <w:name w:val="footnote reference"/>
    <w:semiHidden/>
    <w:qFormat/>
    <w:uiPriority w:val="0"/>
    <w:rPr>
      <w:vertAlign w:val="superscript"/>
    </w:rPr>
  </w:style>
  <w:style w:type="character" w:customStyle="1" w:styleId="51">
    <w:name w:val="标题 1 Char"/>
    <w:basedOn w:val="44"/>
    <w:link w:val="2"/>
    <w:qFormat/>
    <w:uiPriority w:val="0"/>
    <w:rPr>
      <w:rFonts w:ascii="Times New Roman" w:hAnsi="Times New Roman" w:eastAsia="宋体" w:cs="Times New Roman"/>
      <w:b/>
      <w:kern w:val="44"/>
      <w:sz w:val="44"/>
      <w:szCs w:val="20"/>
    </w:rPr>
  </w:style>
  <w:style w:type="character" w:customStyle="1" w:styleId="52">
    <w:name w:val="标题 2 Char"/>
    <w:basedOn w:val="44"/>
    <w:link w:val="3"/>
    <w:qFormat/>
    <w:uiPriority w:val="0"/>
    <w:rPr>
      <w:rFonts w:ascii="黑体" w:hAnsi="Arial" w:eastAsia="黑体" w:cs="宋体"/>
      <w:kern w:val="0"/>
      <w:szCs w:val="20"/>
    </w:rPr>
  </w:style>
  <w:style w:type="character" w:customStyle="1" w:styleId="53">
    <w:name w:val="标题 3 Char"/>
    <w:basedOn w:val="44"/>
    <w:link w:val="5"/>
    <w:qFormat/>
    <w:uiPriority w:val="0"/>
    <w:rPr>
      <w:rFonts w:ascii="宋体" w:hAnsi="Times New Roman" w:eastAsia="黑体" w:cs="宋体"/>
      <w:sz w:val="24"/>
      <w:szCs w:val="20"/>
    </w:rPr>
  </w:style>
  <w:style w:type="character" w:customStyle="1" w:styleId="54">
    <w:name w:val="标题 4 Char"/>
    <w:basedOn w:val="44"/>
    <w:link w:val="6"/>
    <w:qFormat/>
    <w:uiPriority w:val="0"/>
    <w:rPr>
      <w:rFonts w:ascii="Arial" w:hAnsi="Arial" w:eastAsia="黑体" w:cs="Times New Roman"/>
      <w:b/>
      <w:sz w:val="28"/>
      <w:szCs w:val="20"/>
    </w:rPr>
  </w:style>
  <w:style w:type="character" w:customStyle="1" w:styleId="55">
    <w:name w:val="标题 5 Char"/>
    <w:basedOn w:val="44"/>
    <w:link w:val="7"/>
    <w:qFormat/>
    <w:uiPriority w:val="0"/>
    <w:rPr>
      <w:rFonts w:ascii="宋体" w:hAnsi="Times New Roman" w:eastAsia="宋体" w:cs="宋体"/>
      <w:b/>
      <w:sz w:val="28"/>
      <w:szCs w:val="20"/>
    </w:rPr>
  </w:style>
  <w:style w:type="character" w:customStyle="1" w:styleId="56">
    <w:name w:val="标题 6 Char"/>
    <w:basedOn w:val="44"/>
    <w:link w:val="8"/>
    <w:qFormat/>
    <w:uiPriority w:val="0"/>
    <w:rPr>
      <w:rFonts w:ascii="Times New Roman" w:hAnsi="Times New Roman" w:eastAsia="宋体" w:cs="Times New Roman"/>
      <w:sz w:val="18"/>
      <w:szCs w:val="18"/>
    </w:rPr>
  </w:style>
  <w:style w:type="character" w:customStyle="1" w:styleId="57">
    <w:name w:val="标题 7 Char"/>
    <w:basedOn w:val="44"/>
    <w:link w:val="9"/>
    <w:qFormat/>
    <w:uiPriority w:val="0"/>
    <w:rPr>
      <w:rFonts w:ascii="宋体" w:hAnsi="Times New Roman" w:eastAsia="宋体" w:cs="Times New Roman"/>
      <w:b/>
      <w:sz w:val="24"/>
      <w:szCs w:val="20"/>
    </w:rPr>
  </w:style>
  <w:style w:type="character" w:customStyle="1" w:styleId="58">
    <w:name w:val="标题 8 Char"/>
    <w:basedOn w:val="44"/>
    <w:link w:val="10"/>
    <w:qFormat/>
    <w:uiPriority w:val="0"/>
    <w:rPr>
      <w:rFonts w:ascii="Arial" w:hAnsi="Arial" w:eastAsia="黑体" w:cs="Times New Roman"/>
      <w:sz w:val="24"/>
      <w:szCs w:val="20"/>
    </w:rPr>
  </w:style>
  <w:style w:type="character" w:customStyle="1" w:styleId="59">
    <w:name w:val="标题 9 Char"/>
    <w:basedOn w:val="44"/>
    <w:link w:val="11"/>
    <w:qFormat/>
    <w:uiPriority w:val="0"/>
    <w:rPr>
      <w:rFonts w:ascii="宋体" w:hAnsi="Times New Roman" w:eastAsia="宋体" w:cs="Times New Roman"/>
      <w:sz w:val="44"/>
      <w:szCs w:val="20"/>
    </w:rPr>
  </w:style>
  <w:style w:type="character" w:customStyle="1" w:styleId="60">
    <w:name w:val="日期 Char"/>
    <w:basedOn w:val="44"/>
    <w:link w:val="24"/>
    <w:qFormat/>
    <w:uiPriority w:val="0"/>
    <w:rPr>
      <w:rFonts w:ascii="Calibri" w:hAnsi="Calibri" w:eastAsia="宋体" w:cs="Times New Roman"/>
      <w:szCs w:val="24"/>
    </w:rPr>
  </w:style>
  <w:style w:type="character" w:customStyle="1" w:styleId="61">
    <w:name w:val="页眉 Char"/>
    <w:basedOn w:val="44"/>
    <w:link w:val="28"/>
    <w:qFormat/>
    <w:uiPriority w:val="99"/>
    <w:rPr>
      <w:rFonts w:ascii="Calibri" w:hAnsi="Calibri" w:eastAsia="宋体" w:cs="Times New Roman"/>
      <w:sz w:val="18"/>
      <w:szCs w:val="18"/>
    </w:rPr>
  </w:style>
  <w:style w:type="character" w:customStyle="1" w:styleId="62">
    <w:name w:val="页脚 Char"/>
    <w:basedOn w:val="44"/>
    <w:link w:val="27"/>
    <w:qFormat/>
    <w:uiPriority w:val="99"/>
    <w:rPr>
      <w:rFonts w:ascii="Calibri" w:hAnsi="Calibri" w:eastAsia="宋体" w:cs="Times New Roman"/>
      <w:sz w:val="18"/>
      <w:szCs w:val="18"/>
    </w:rPr>
  </w:style>
  <w:style w:type="character" w:customStyle="1" w:styleId="63">
    <w:name w:val="批注框文本 Char"/>
    <w:basedOn w:val="44"/>
    <w:link w:val="26"/>
    <w:qFormat/>
    <w:uiPriority w:val="0"/>
    <w:rPr>
      <w:rFonts w:ascii="Calibri" w:hAnsi="Calibri" w:eastAsia="宋体" w:cs="Times New Roman"/>
      <w:sz w:val="18"/>
      <w:szCs w:val="18"/>
    </w:rPr>
  </w:style>
  <w:style w:type="paragraph" w:customStyle="1" w:styleId="64">
    <w:name w:val="Char Char2 Char Char"/>
    <w:basedOn w:val="1"/>
    <w:qFormat/>
    <w:uiPriority w:val="0"/>
    <w:pPr>
      <w:autoSpaceDE w:val="0"/>
      <w:autoSpaceDN w:val="0"/>
    </w:pPr>
    <w:rPr>
      <w:rFonts w:ascii="Tahoma" w:hAnsi="Tahoma"/>
      <w:sz w:val="24"/>
      <w:szCs w:val="20"/>
    </w:rPr>
  </w:style>
  <w:style w:type="paragraph" w:customStyle="1" w:styleId="65">
    <w:name w:val="默认段落字体 Para Char Char"/>
    <w:basedOn w:val="1"/>
    <w:qFormat/>
    <w:uiPriority w:val="0"/>
    <w:rPr>
      <w:rFonts w:ascii="Times New Roman" w:hAnsi="Times New Roman"/>
    </w:rPr>
  </w:style>
  <w:style w:type="paragraph" w:customStyle="1" w:styleId="66">
    <w:name w:val="名称"/>
    <w:basedOn w:val="1"/>
    <w:qFormat/>
    <w:uiPriority w:val="0"/>
    <w:pPr>
      <w:ind w:firstLine="6840" w:firstLineChars="3800"/>
    </w:pPr>
    <w:rPr>
      <w:rFonts w:ascii="Times New Roman" w:hAnsi="Times New Roman" w:cs="宋体"/>
      <w:b/>
      <w:sz w:val="18"/>
      <w:szCs w:val="20"/>
    </w:rPr>
  </w:style>
  <w:style w:type="paragraph" w:customStyle="1" w:styleId="67">
    <w:name w:val="内文文字"/>
    <w:qFormat/>
    <w:uiPriority w:val="0"/>
    <w:pPr>
      <w:widowControl w:val="0"/>
      <w:autoSpaceDE w:val="0"/>
      <w:autoSpaceDN w:val="0"/>
      <w:adjustRightInd w:val="0"/>
      <w:spacing w:line="290" w:lineRule="atLeast"/>
      <w:ind w:firstLine="397"/>
      <w:jc w:val="both"/>
    </w:pPr>
    <w:rPr>
      <w:rFonts w:hint="eastAsia" w:ascii="汉仪书宋一简" w:hAnsi="Times New Roman" w:eastAsia="汉仪书宋一简" w:cs="Times New Roman"/>
      <w:color w:val="000000"/>
      <w:kern w:val="0"/>
      <w:sz w:val="18"/>
      <w:szCs w:val="20"/>
      <w:lang w:val="en-US" w:eastAsia="zh-CN" w:bidi="ar-SA"/>
    </w:rPr>
  </w:style>
  <w:style w:type="character" w:customStyle="1" w:styleId="68">
    <w:name w:val="正文文本 Char"/>
    <w:basedOn w:val="44"/>
    <w:link w:val="17"/>
    <w:qFormat/>
    <w:uiPriority w:val="0"/>
    <w:rPr>
      <w:rFonts w:ascii="Calibri" w:hAnsi="Calibri" w:eastAsia="宋体" w:cs="Times New Roman"/>
      <w:szCs w:val="24"/>
    </w:rPr>
  </w:style>
  <w:style w:type="character" w:customStyle="1" w:styleId="69">
    <w:name w:val="正文文本 Char1"/>
    <w:link w:val="17"/>
    <w:qFormat/>
    <w:uiPriority w:val="0"/>
    <w:rPr>
      <w:rFonts w:ascii="Times New Roman" w:hAnsi="Times New Roman" w:eastAsia="宋体" w:cs="Times New Roman"/>
      <w:szCs w:val="24"/>
    </w:rPr>
  </w:style>
  <w:style w:type="paragraph" w:customStyle="1" w:styleId="70">
    <w:name w:val="xl24"/>
    <w:basedOn w:val="1"/>
    <w:qFormat/>
    <w:uiPriority w:val="0"/>
    <w:pPr>
      <w:widowControl/>
      <w:pBdr>
        <w:bottom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18"/>
      <w:szCs w:val="18"/>
    </w:rPr>
  </w:style>
  <w:style w:type="character" w:customStyle="1" w:styleId="71">
    <w:name w:val="Char Char2"/>
    <w:qFormat/>
    <w:locked/>
    <w:uiPriority w:val="0"/>
    <w:rPr>
      <w:rFonts w:eastAsia="宋体"/>
      <w:kern w:val="2"/>
      <w:sz w:val="18"/>
      <w:lang w:val="en-US" w:eastAsia="zh-CN" w:bidi="ar-SA"/>
    </w:rPr>
  </w:style>
  <w:style w:type="character" w:customStyle="1" w:styleId="72">
    <w:name w:val="纯文本 Char"/>
    <w:basedOn w:val="44"/>
    <w:link w:val="22"/>
    <w:qFormat/>
    <w:uiPriority w:val="0"/>
    <w:rPr>
      <w:rFonts w:ascii="宋体" w:hAnsi="Courier New" w:eastAsia="宋体" w:cs="Times New Roman"/>
      <w:szCs w:val="24"/>
    </w:rPr>
  </w:style>
  <w:style w:type="character" w:customStyle="1" w:styleId="73">
    <w:name w:val="正文文本缩进 2 Char"/>
    <w:basedOn w:val="44"/>
    <w:link w:val="25"/>
    <w:qFormat/>
    <w:uiPriority w:val="0"/>
    <w:rPr>
      <w:rFonts w:ascii="Times New Roman" w:hAnsi="Times New Roman" w:eastAsia="宋体" w:cs="Times New Roman"/>
      <w:szCs w:val="24"/>
    </w:rPr>
  </w:style>
  <w:style w:type="character" w:customStyle="1" w:styleId="74">
    <w:name w:val="正文文本 2 Char"/>
    <w:basedOn w:val="44"/>
    <w:link w:val="37"/>
    <w:qFormat/>
    <w:uiPriority w:val="0"/>
    <w:rPr>
      <w:rFonts w:ascii="Times New Roman" w:hAnsi="Times New Roman" w:eastAsia="宋体" w:cs="Times New Roman"/>
      <w:szCs w:val="24"/>
    </w:rPr>
  </w:style>
  <w:style w:type="paragraph" w:customStyle="1" w:styleId="75">
    <w:name w:val="Char Char Char Char"/>
    <w:basedOn w:val="1"/>
    <w:qFormat/>
    <w:uiPriority w:val="0"/>
    <w:pPr>
      <w:autoSpaceDE w:val="0"/>
      <w:autoSpaceDN w:val="0"/>
    </w:pPr>
    <w:rPr>
      <w:rFonts w:ascii="Tahoma" w:hAnsi="Tahoma"/>
      <w:sz w:val="24"/>
      <w:szCs w:val="20"/>
    </w:rPr>
  </w:style>
  <w:style w:type="character" w:customStyle="1" w:styleId="76">
    <w:name w:val="批注文字 Char"/>
    <w:basedOn w:val="44"/>
    <w:link w:val="16"/>
    <w:qFormat/>
    <w:uiPriority w:val="0"/>
    <w:rPr>
      <w:rFonts w:ascii="Times New Roman" w:hAnsi="Times New Roman" w:eastAsia="宋体" w:cs="Times New Roman"/>
      <w:szCs w:val="24"/>
    </w:rPr>
  </w:style>
  <w:style w:type="character" w:customStyle="1" w:styleId="77">
    <w:name w:val="批注主题 Char"/>
    <w:basedOn w:val="76"/>
    <w:link w:val="40"/>
    <w:qFormat/>
    <w:uiPriority w:val="0"/>
    <w:rPr>
      <w:b/>
      <w:bCs/>
    </w:rPr>
  </w:style>
  <w:style w:type="character" w:customStyle="1" w:styleId="78">
    <w:name w:val="纯文本 Char1"/>
    <w:semiHidden/>
    <w:qFormat/>
    <w:uiPriority w:val="0"/>
    <w:rPr>
      <w:rFonts w:ascii="宋体" w:hAnsi="Courier New" w:cs="Courier New"/>
      <w:kern w:val="2"/>
      <w:sz w:val="21"/>
      <w:szCs w:val="21"/>
    </w:rPr>
  </w:style>
  <w:style w:type="paragraph" w:customStyle="1" w:styleId="79">
    <w:name w:val="xl30"/>
    <w:basedOn w:val="1"/>
    <w:qFormat/>
    <w:uiPriority w:val="0"/>
    <w:pPr>
      <w:widowControl/>
      <w:spacing w:before="100" w:beforeAutospacing="1" w:after="100" w:afterAutospacing="1"/>
    </w:pPr>
    <w:rPr>
      <w:rFonts w:ascii="Arial Unicode MS" w:hAnsi="Arial Unicode MS" w:eastAsia="Arial Unicode MS" w:cs="Century"/>
      <w:color w:val="000000"/>
      <w:kern w:val="0"/>
      <w:sz w:val="18"/>
      <w:szCs w:val="18"/>
    </w:rPr>
  </w:style>
  <w:style w:type="character" w:customStyle="1" w:styleId="80">
    <w:name w:val="Char Char30"/>
    <w:qFormat/>
    <w:locked/>
    <w:uiPriority w:val="0"/>
    <w:rPr>
      <w:rFonts w:eastAsia="宋体"/>
      <w:kern w:val="2"/>
      <w:sz w:val="18"/>
      <w:lang w:val="en-US" w:eastAsia="zh-CN" w:bidi="ar-SA"/>
    </w:rPr>
  </w:style>
  <w:style w:type="character" w:customStyle="1" w:styleId="81">
    <w:name w:val="Char Char29"/>
    <w:qFormat/>
    <w:locked/>
    <w:uiPriority w:val="0"/>
    <w:rPr>
      <w:rFonts w:eastAsia="宋体"/>
      <w:kern w:val="2"/>
      <w:sz w:val="18"/>
      <w:szCs w:val="18"/>
      <w:lang w:val="en-US" w:eastAsia="zh-CN" w:bidi="ar-SA"/>
    </w:rPr>
  </w:style>
  <w:style w:type="character" w:customStyle="1" w:styleId="82">
    <w:name w:val="正文文本缩进 3 Char"/>
    <w:basedOn w:val="44"/>
    <w:link w:val="34"/>
    <w:qFormat/>
    <w:uiPriority w:val="0"/>
    <w:rPr>
      <w:rFonts w:ascii="Times New Roman" w:hAnsi="Times New Roman" w:eastAsia="宋体" w:cs="Times New Roman"/>
      <w:sz w:val="16"/>
      <w:szCs w:val="16"/>
    </w:rPr>
  </w:style>
  <w:style w:type="character" w:customStyle="1" w:styleId="83">
    <w:name w:val="font71"/>
    <w:qFormat/>
    <w:uiPriority w:val="0"/>
    <w:rPr>
      <w:rFonts w:hint="eastAsia" w:ascii="汉仪报宋简" w:eastAsia="汉仪报宋简"/>
      <w:color w:val="000000"/>
      <w:sz w:val="16"/>
      <w:szCs w:val="16"/>
      <w:u w:val="none"/>
      <w:vertAlign w:val="superscript"/>
    </w:rPr>
  </w:style>
  <w:style w:type="character" w:customStyle="1" w:styleId="84">
    <w:name w:val="font31"/>
    <w:qFormat/>
    <w:uiPriority w:val="0"/>
    <w:rPr>
      <w:rFonts w:hint="eastAsia" w:ascii="汉仪报宋简" w:eastAsia="汉仪报宋简"/>
      <w:color w:val="000000"/>
      <w:sz w:val="16"/>
      <w:szCs w:val="16"/>
      <w:u w:val="none"/>
    </w:rPr>
  </w:style>
  <w:style w:type="character" w:customStyle="1" w:styleId="85">
    <w:name w:val="font101"/>
    <w:qFormat/>
    <w:uiPriority w:val="0"/>
    <w:rPr>
      <w:rFonts w:hint="eastAsia" w:ascii="汉仪报宋简" w:eastAsia="汉仪报宋简"/>
      <w:color w:val="000000"/>
      <w:sz w:val="16"/>
      <w:szCs w:val="16"/>
      <w:u w:val="none"/>
      <w:vertAlign w:val="superscript"/>
    </w:rPr>
  </w:style>
  <w:style w:type="character" w:customStyle="1" w:styleId="86">
    <w:name w:val="font91"/>
    <w:qFormat/>
    <w:uiPriority w:val="0"/>
    <w:rPr>
      <w:rFonts w:hint="eastAsia" w:ascii="汉仪报宋简" w:eastAsia="汉仪报宋简"/>
      <w:color w:val="000000"/>
      <w:sz w:val="16"/>
      <w:szCs w:val="16"/>
      <w:u w:val="none"/>
    </w:rPr>
  </w:style>
  <w:style w:type="character" w:customStyle="1" w:styleId="87">
    <w:name w:val="font11"/>
    <w:qFormat/>
    <w:uiPriority w:val="0"/>
    <w:rPr>
      <w:rFonts w:hint="eastAsia" w:ascii="汉仪报宋简" w:eastAsia="汉仪报宋简"/>
      <w:color w:val="000000"/>
      <w:sz w:val="16"/>
      <w:szCs w:val="16"/>
      <w:u w:val="none"/>
      <w:vertAlign w:val="superscript"/>
    </w:rPr>
  </w:style>
  <w:style w:type="character" w:customStyle="1" w:styleId="88">
    <w:name w:val="font21"/>
    <w:qFormat/>
    <w:uiPriority w:val="0"/>
    <w:rPr>
      <w:rFonts w:hint="eastAsia" w:ascii="汉仪报宋简" w:eastAsia="汉仪报宋简"/>
      <w:color w:val="000000"/>
      <w:sz w:val="16"/>
      <w:szCs w:val="16"/>
      <w:u w:val="none"/>
    </w:rPr>
  </w:style>
  <w:style w:type="character" w:customStyle="1" w:styleId="89">
    <w:name w:val="Char Char31"/>
    <w:qFormat/>
    <w:locked/>
    <w:uiPriority w:val="0"/>
    <w:rPr>
      <w:rFonts w:eastAsia="宋体"/>
      <w:kern w:val="2"/>
      <w:sz w:val="18"/>
      <w:lang w:val="en-US" w:eastAsia="zh-CN" w:bidi="ar-SA"/>
    </w:rPr>
  </w:style>
  <w:style w:type="paragraph" w:customStyle="1" w:styleId="90">
    <w:name w:val="Char Char17 Char Char"/>
    <w:basedOn w:val="1"/>
    <w:qFormat/>
    <w:uiPriority w:val="0"/>
    <w:rPr>
      <w:rFonts w:ascii="Times New Roman" w:hAnsi="Times New Roman"/>
    </w:rPr>
  </w:style>
  <w:style w:type="character" w:customStyle="1" w:styleId="91">
    <w:name w:val="Char Char12"/>
    <w:qFormat/>
    <w:uiPriority w:val="0"/>
    <w:rPr>
      <w:rFonts w:ascii="黑体" w:eastAsia="黑体"/>
      <w:spacing w:val="2"/>
      <w:kern w:val="2"/>
      <w:position w:val="8"/>
      <w:sz w:val="18"/>
      <w:lang w:val="en-US" w:eastAsia="zh-CN" w:bidi="ar-SA"/>
    </w:rPr>
  </w:style>
  <w:style w:type="character" w:customStyle="1" w:styleId="92">
    <w:name w:val="正文文本缩进 Char"/>
    <w:basedOn w:val="44"/>
    <w:link w:val="18"/>
    <w:qFormat/>
    <w:uiPriority w:val="0"/>
    <w:rPr>
      <w:rFonts w:ascii="Times New Roman" w:hAnsi="Times New Roman" w:eastAsia="宋体" w:cs="Times New Roman"/>
      <w:kern w:val="0"/>
      <w:sz w:val="30"/>
      <w:szCs w:val="20"/>
    </w:rPr>
  </w:style>
  <w:style w:type="character" w:customStyle="1" w:styleId="93">
    <w:name w:val="Char Char9"/>
    <w:qFormat/>
    <w:locked/>
    <w:uiPriority w:val="0"/>
    <w:rPr>
      <w:rFonts w:eastAsia="宋体"/>
      <w:kern w:val="2"/>
      <w:sz w:val="18"/>
      <w:szCs w:val="18"/>
      <w:lang w:val="en-US" w:eastAsia="zh-CN" w:bidi="ar-SA"/>
    </w:rPr>
  </w:style>
  <w:style w:type="character" w:customStyle="1" w:styleId="94">
    <w:name w:val="Char Char7"/>
    <w:qFormat/>
    <w:uiPriority w:val="0"/>
    <w:rPr>
      <w:rFonts w:eastAsia="宋体"/>
      <w:kern w:val="2"/>
      <w:sz w:val="18"/>
      <w:szCs w:val="18"/>
      <w:lang w:val="en-US" w:eastAsia="zh-CN" w:bidi="ar-SA"/>
    </w:rPr>
  </w:style>
  <w:style w:type="character" w:customStyle="1" w:styleId="95">
    <w:name w:val="Char Char6"/>
    <w:qFormat/>
    <w:uiPriority w:val="0"/>
    <w:rPr>
      <w:rFonts w:eastAsia="宋体"/>
      <w:kern w:val="2"/>
      <w:sz w:val="16"/>
      <w:szCs w:val="16"/>
      <w:lang w:val="en-US" w:eastAsia="zh-CN" w:bidi="ar-SA"/>
    </w:rPr>
  </w:style>
  <w:style w:type="paragraph" w:customStyle="1" w:styleId="96">
    <w:name w:val="xl28"/>
    <w:basedOn w:val="1"/>
    <w:qFormat/>
    <w:uiPriority w:val="0"/>
    <w:pPr>
      <w:widowControl/>
      <w:pBdr>
        <w:right w:val="single" w:color="auto" w:sz="4" w:space="0"/>
      </w:pBdr>
      <w:spacing w:before="100" w:beforeAutospacing="1" w:after="100" w:afterAutospacing="1"/>
      <w:textAlignment w:val="top"/>
    </w:pPr>
    <w:rPr>
      <w:rFonts w:ascii="Arial Unicode MS" w:hAnsi="Arial Unicode MS" w:eastAsia="Arial Unicode MS" w:cs="Century"/>
      <w:kern w:val="0"/>
      <w:sz w:val="18"/>
      <w:szCs w:val="18"/>
    </w:rPr>
  </w:style>
  <w:style w:type="character" w:customStyle="1" w:styleId="97">
    <w:name w:val="正文首行缩进 Char"/>
    <w:basedOn w:val="68"/>
    <w:link w:val="41"/>
    <w:qFormat/>
    <w:uiPriority w:val="0"/>
    <w:rPr>
      <w:rFonts w:ascii="黑体" w:hAnsi="Times New Roman"/>
      <w:spacing w:val="2"/>
      <w:position w:val="8"/>
      <w:szCs w:val="21"/>
    </w:rPr>
  </w:style>
  <w:style w:type="paragraph" w:customStyle="1" w:styleId="98">
    <w:name w:val="Char Char Char Char1"/>
    <w:basedOn w:val="1"/>
    <w:qFormat/>
    <w:uiPriority w:val="0"/>
    <w:pPr>
      <w:autoSpaceDE w:val="0"/>
      <w:autoSpaceDN w:val="0"/>
    </w:pPr>
    <w:rPr>
      <w:rFonts w:ascii="Tahoma" w:hAnsi="Tahoma"/>
      <w:sz w:val="24"/>
      <w:szCs w:val="20"/>
    </w:rPr>
  </w:style>
  <w:style w:type="character" w:customStyle="1" w:styleId="99">
    <w:name w:val="Char Char1"/>
    <w:qFormat/>
    <w:locked/>
    <w:uiPriority w:val="0"/>
    <w:rPr>
      <w:rFonts w:ascii="黑体" w:eastAsia="黑体"/>
      <w:spacing w:val="2"/>
      <w:kern w:val="2"/>
      <w:position w:val="8"/>
      <w:sz w:val="18"/>
      <w:lang w:val="en-US" w:eastAsia="zh-CN" w:bidi="ar-SA"/>
    </w:rPr>
  </w:style>
  <w:style w:type="character" w:customStyle="1" w:styleId="100">
    <w:name w:val="Char Char"/>
    <w:qFormat/>
    <w:locked/>
    <w:uiPriority w:val="0"/>
    <w:rPr>
      <w:rFonts w:ascii="黑体" w:eastAsia="宋体"/>
      <w:spacing w:val="2"/>
      <w:kern w:val="2"/>
      <w:position w:val="8"/>
      <w:sz w:val="21"/>
      <w:szCs w:val="21"/>
      <w:lang w:val="en-US" w:eastAsia="zh-CN" w:bidi="ar-SA"/>
    </w:rPr>
  </w:style>
  <w:style w:type="character" w:customStyle="1" w:styleId="101">
    <w:name w:val="Char Char8"/>
    <w:qFormat/>
    <w:locked/>
    <w:uiPriority w:val="0"/>
    <w:rPr>
      <w:rFonts w:ascii="宋体" w:hAnsi="宋体" w:eastAsia="宋体"/>
      <w:kern w:val="2"/>
      <w:sz w:val="21"/>
      <w:szCs w:val="24"/>
      <w:lang w:val="en-US" w:eastAsia="zh-CN" w:bidi="ar-SA"/>
    </w:rPr>
  </w:style>
  <w:style w:type="character" w:customStyle="1" w:styleId="102">
    <w:name w:val="Char Char Char"/>
    <w:qFormat/>
    <w:locked/>
    <w:uiPriority w:val="0"/>
    <w:rPr>
      <w:rFonts w:ascii="宋体" w:hAnsi="Courier New" w:eastAsia="宋体"/>
      <w:kern w:val="2"/>
      <w:sz w:val="21"/>
      <w:lang w:val="en-US" w:eastAsia="zh-CN" w:bidi="ar-SA"/>
    </w:rPr>
  </w:style>
  <w:style w:type="character" w:customStyle="1" w:styleId="103">
    <w:name w:val="Char Char3"/>
    <w:semiHidden/>
    <w:qFormat/>
    <w:locked/>
    <w:uiPriority w:val="0"/>
    <w:rPr>
      <w:rFonts w:ascii="宋体" w:hAnsi="宋体" w:eastAsia="宋体"/>
      <w:kern w:val="2"/>
      <w:sz w:val="18"/>
      <w:szCs w:val="18"/>
      <w:lang w:val="en-US" w:eastAsia="zh-CN" w:bidi="ar-SA"/>
    </w:rPr>
  </w:style>
  <w:style w:type="paragraph" w:customStyle="1" w:styleId="104">
    <w:name w:val="font5"/>
    <w:basedOn w:val="1"/>
    <w:qFormat/>
    <w:uiPriority w:val="0"/>
    <w:pPr>
      <w:widowControl/>
      <w:spacing w:before="100" w:beforeAutospacing="1" w:after="100" w:afterAutospacing="1"/>
      <w:jc w:val="left"/>
    </w:pPr>
    <w:rPr>
      <w:rFonts w:hint="eastAsia" w:ascii="宋体" w:hAnsi="宋体" w:cs="Century"/>
      <w:kern w:val="0"/>
      <w:sz w:val="18"/>
      <w:szCs w:val="18"/>
    </w:rPr>
  </w:style>
  <w:style w:type="paragraph" w:customStyle="1" w:styleId="105">
    <w:name w:val="xl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106">
    <w:name w:val="xl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107">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108">
    <w:name w:val="xl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109">
    <w:name w:val="xl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1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111">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112">
    <w:name w:val="正文缩进2"/>
    <w:basedOn w:val="1"/>
    <w:qFormat/>
    <w:uiPriority w:val="0"/>
    <w:pPr>
      <w:spacing w:line="500" w:lineRule="atLeast"/>
      <w:ind w:firstLine="525"/>
    </w:pPr>
    <w:rPr>
      <w:rFonts w:ascii="宋体" w:hAnsi="Times New Roman"/>
      <w:kern w:val="0"/>
      <w:szCs w:val="20"/>
    </w:rPr>
  </w:style>
  <w:style w:type="paragraph" w:customStyle="1" w:styleId="113">
    <w:name w:val="MTDisplayEquation"/>
    <w:basedOn w:val="1"/>
    <w:qFormat/>
    <w:uiPriority w:val="0"/>
    <w:pPr>
      <w:widowControl/>
      <w:tabs>
        <w:tab w:val="center" w:pos="4320"/>
        <w:tab w:val="right" w:pos="8640"/>
      </w:tabs>
      <w:spacing w:line="240" w:lineRule="atLeast"/>
      <w:ind w:firstLine="576"/>
    </w:pPr>
    <w:rPr>
      <w:rFonts w:ascii="Times New Roman" w:hAnsi="Times New Roman"/>
      <w:kern w:val="0"/>
      <w:sz w:val="22"/>
      <w:szCs w:val="20"/>
    </w:rPr>
  </w:style>
  <w:style w:type="character" w:customStyle="1" w:styleId="114">
    <w:name w:val="a121"/>
    <w:qFormat/>
    <w:uiPriority w:val="0"/>
    <w:rPr>
      <w:sz w:val="24"/>
      <w:szCs w:val="24"/>
    </w:rPr>
  </w:style>
  <w:style w:type="character" w:customStyle="1" w:styleId="115">
    <w:name w:val="pubglobal_floatdivstyle021"/>
    <w:qFormat/>
    <w:uiPriority w:val="0"/>
    <w:rPr>
      <w:color w:val="0055AA"/>
    </w:rPr>
  </w:style>
  <w:style w:type="paragraph" w:customStyle="1" w:styleId="116">
    <w:name w:val="HTML Top of Form"/>
    <w:basedOn w:val="1"/>
    <w:next w:val="1"/>
    <w:link w:val="117"/>
    <w:qFormat/>
    <w:uiPriority w:val="0"/>
    <w:pPr>
      <w:pBdr>
        <w:bottom w:val="single" w:color="auto" w:sz="6" w:space="1"/>
      </w:pBdr>
      <w:jc w:val="center"/>
    </w:pPr>
    <w:rPr>
      <w:rFonts w:ascii="Arial" w:hAnsi="Arial" w:cs="Arial"/>
      <w:vanish/>
      <w:sz w:val="16"/>
      <w:szCs w:val="16"/>
    </w:rPr>
  </w:style>
  <w:style w:type="character" w:customStyle="1" w:styleId="117">
    <w:name w:val="z-窗体顶端 Char"/>
    <w:basedOn w:val="44"/>
    <w:link w:val="116"/>
    <w:qFormat/>
    <w:uiPriority w:val="0"/>
    <w:rPr>
      <w:rFonts w:ascii="Arial" w:hAnsi="Arial" w:eastAsia="宋体" w:cs="Arial"/>
      <w:vanish/>
      <w:sz w:val="16"/>
      <w:szCs w:val="16"/>
    </w:rPr>
  </w:style>
  <w:style w:type="paragraph" w:customStyle="1" w:styleId="118">
    <w:name w:val="HTML Bottom of Form"/>
    <w:basedOn w:val="1"/>
    <w:next w:val="1"/>
    <w:link w:val="119"/>
    <w:qFormat/>
    <w:uiPriority w:val="0"/>
    <w:pPr>
      <w:pBdr>
        <w:top w:val="single" w:color="auto" w:sz="6" w:space="1"/>
      </w:pBdr>
      <w:jc w:val="center"/>
    </w:pPr>
    <w:rPr>
      <w:rFonts w:ascii="Arial" w:hAnsi="Arial" w:cs="Arial"/>
      <w:vanish/>
      <w:sz w:val="16"/>
      <w:szCs w:val="16"/>
    </w:rPr>
  </w:style>
  <w:style w:type="character" w:customStyle="1" w:styleId="119">
    <w:name w:val="z-窗体底端 Char"/>
    <w:basedOn w:val="44"/>
    <w:link w:val="118"/>
    <w:qFormat/>
    <w:uiPriority w:val="0"/>
    <w:rPr>
      <w:rFonts w:ascii="Arial" w:hAnsi="Arial" w:eastAsia="宋体" w:cs="Arial"/>
      <w:vanish/>
      <w:sz w:val="16"/>
      <w:szCs w:val="16"/>
    </w:rPr>
  </w:style>
  <w:style w:type="character" w:customStyle="1" w:styleId="120">
    <w:name w:val="formtitle"/>
    <w:basedOn w:val="44"/>
    <w:qFormat/>
    <w:uiPriority w:val="0"/>
  </w:style>
  <w:style w:type="paragraph" w:customStyle="1" w:styleId="1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23">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24">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2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2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8">
    <w:name w:val="xl73"/>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18"/>
      <w:szCs w:val="18"/>
    </w:rPr>
  </w:style>
  <w:style w:type="paragraph" w:customStyle="1" w:styleId="129">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30">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31">
    <w:name w:val="xl76"/>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132">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33">
    <w:name w:val="xl78"/>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134">
    <w:name w:val="xl79"/>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135">
    <w:name w:val="xf"/>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136">
    <w:name w:val="xf1"/>
    <w:basedOn w:val="1"/>
    <w:qFormat/>
    <w:uiPriority w:val="0"/>
    <w:pPr>
      <w:widowControl/>
      <w:spacing w:before="100" w:beforeAutospacing="1" w:after="100" w:afterAutospacing="1" w:line="300" w:lineRule="atLeast"/>
      <w:jc w:val="left"/>
    </w:pPr>
    <w:rPr>
      <w:rFonts w:ascii="宋体" w:hAnsi="宋体"/>
      <w:color w:val="000000"/>
      <w:kern w:val="0"/>
      <w:szCs w:val="21"/>
    </w:rPr>
  </w:style>
  <w:style w:type="paragraph" w:customStyle="1" w:styleId="137">
    <w:name w:val="xfb"/>
    <w:basedOn w:val="1"/>
    <w:qFormat/>
    <w:uiPriority w:val="0"/>
    <w:pPr>
      <w:widowControl/>
      <w:spacing w:before="100" w:beforeAutospacing="1" w:after="100" w:afterAutospacing="1" w:line="300" w:lineRule="atLeast"/>
      <w:jc w:val="left"/>
    </w:pPr>
    <w:rPr>
      <w:rFonts w:hint="eastAsia" w:ascii="黑体" w:hAnsi="宋体" w:eastAsia="黑体"/>
      <w:color w:val="000000"/>
      <w:kern w:val="0"/>
      <w:sz w:val="27"/>
      <w:szCs w:val="27"/>
    </w:rPr>
  </w:style>
  <w:style w:type="character" w:customStyle="1" w:styleId="138">
    <w:name w:val="HTML 预设格式 Char"/>
    <w:basedOn w:val="44"/>
    <w:link w:val="38"/>
    <w:qFormat/>
    <w:uiPriority w:val="0"/>
    <w:rPr>
      <w:rFonts w:ascii="Arial" w:hAnsi="Arial" w:eastAsia="宋体" w:cs="Arial"/>
      <w:kern w:val="0"/>
      <w:szCs w:val="21"/>
    </w:rPr>
  </w:style>
  <w:style w:type="character" w:customStyle="1" w:styleId="139">
    <w:name w:val="Char Char4"/>
    <w:qFormat/>
    <w:uiPriority w:val="0"/>
    <w:rPr>
      <w:rFonts w:eastAsia="仿宋_GB2312"/>
      <w:bCs/>
      <w:kern w:val="44"/>
      <w:sz w:val="18"/>
      <w:szCs w:val="18"/>
      <w:lang w:val="en-US" w:eastAsia="zh-CN" w:bidi="ar-SA"/>
    </w:rPr>
  </w:style>
  <w:style w:type="paragraph" w:customStyle="1" w:styleId="140">
    <w:name w:val="Char Char Char1 Char Char Char Char"/>
    <w:basedOn w:val="1"/>
    <w:qFormat/>
    <w:uiPriority w:val="0"/>
    <w:pPr>
      <w:autoSpaceDE w:val="0"/>
      <w:autoSpaceDN w:val="0"/>
    </w:pPr>
    <w:rPr>
      <w:rFonts w:ascii="Tahoma" w:hAnsi="Tahoma"/>
      <w:sz w:val="24"/>
      <w:szCs w:val="20"/>
    </w:rPr>
  </w:style>
  <w:style w:type="paragraph" w:customStyle="1" w:styleId="141">
    <w:name w:val="xl27"/>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8"/>
      <w:szCs w:val="18"/>
    </w:rPr>
  </w:style>
  <w:style w:type="paragraph" w:customStyle="1" w:styleId="142">
    <w:name w:val="xl31"/>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Times New Roman" w:hAnsi="Times New Roman" w:eastAsia="Arial Unicode MS"/>
      <w:kern w:val="0"/>
      <w:sz w:val="18"/>
      <w:szCs w:val="18"/>
    </w:rPr>
  </w:style>
  <w:style w:type="paragraph" w:customStyle="1" w:styleId="14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kern w:val="0"/>
      <w:szCs w:val="21"/>
    </w:rPr>
  </w:style>
  <w:style w:type="paragraph" w:customStyle="1" w:styleId="144">
    <w:name w:val="样式1"/>
    <w:basedOn w:val="1"/>
    <w:qFormat/>
    <w:uiPriority w:val="0"/>
    <w:pPr>
      <w:spacing w:line="600" w:lineRule="exact"/>
    </w:pPr>
    <w:rPr>
      <w:rFonts w:ascii="仿宋_GB2312" w:hAnsi="Times New Roman" w:eastAsia="仿宋_GB2312"/>
      <w:color w:val="000000"/>
      <w:sz w:val="28"/>
      <w:szCs w:val="28"/>
    </w:rPr>
  </w:style>
  <w:style w:type="character" w:customStyle="1" w:styleId="145">
    <w:name w:val="grame"/>
    <w:basedOn w:val="44"/>
    <w:qFormat/>
    <w:uiPriority w:val="0"/>
  </w:style>
  <w:style w:type="paragraph" w:customStyle="1" w:styleId="146">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18"/>
      <w:szCs w:val="18"/>
    </w:rPr>
  </w:style>
  <w:style w:type="paragraph" w:customStyle="1" w:styleId="147">
    <w:name w:val="xl49"/>
    <w:basedOn w:val="1"/>
    <w:qFormat/>
    <w:uiPriority w:val="0"/>
    <w:pPr>
      <w:widowControl/>
      <w:spacing w:before="100" w:beforeAutospacing="1" w:after="100" w:afterAutospacing="1"/>
      <w:jc w:val="left"/>
    </w:pPr>
    <w:rPr>
      <w:rFonts w:ascii="Arial Unicode MS" w:hAnsi="Arial Unicode MS" w:eastAsia="Arial Unicode MS"/>
      <w:color w:val="000000"/>
      <w:kern w:val="0"/>
      <w:sz w:val="18"/>
      <w:szCs w:val="18"/>
    </w:rPr>
  </w:style>
  <w:style w:type="character" w:customStyle="1" w:styleId="148">
    <w:name w:val="Char Char5"/>
    <w:qFormat/>
    <w:uiPriority w:val="0"/>
    <w:rPr>
      <w:rFonts w:eastAsia="宋体"/>
      <w:kern w:val="2"/>
      <w:sz w:val="18"/>
      <w:szCs w:val="18"/>
      <w:lang w:val="en-US" w:eastAsia="zh-CN" w:bidi="ar-SA"/>
    </w:rPr>
  </w:style>
  <w:style w:type="paragraph" w:customStyle="1" w:styleId="149">
    <w:name w:val="Char Char Char1 Char Char Char Char Char Char Char"/>
    <w:basedOn w:val="1"/>
    <w:qFormat/>
    <w:uiPriority w:val="0"/>
    <w:pPr>
      <w:autoSpaceDE w:val="0"/>
      <w:autoSpaceDN w:val="0"/>
    </w:pPr>
    <w:rPr>
      <w:rFonts w:ascii="Tahoma" w:hAnsi="Tahoma"/>
      <w:sz w:val="24"/>
      <w:szCs w:val="20"/>
    </w:rPr>
  </w:style>
  <w:style w:type="paragraph" w:customStyle="1" w:styleId="150">
    <w:name w:val="Char Char Char Char Char Char Char Char Char Char Char Char1 Char Char Char Char"/>
    <w:basedOn w:val="1"/>
    <w:qFormat/>
    <w:uiPriority w:val="0"/>
    <w:pPr>
      <w:tabs>
        <w:tab w:val="left" w:pos="432"/>
      </w:tabs>
      <w:spacing w:line="400" w:lineRule="exact"/>
      <w:ind w:left="432" w:hanging="432"/>
    </w:pPr>
    <w:rPr>
      <w:rFonts w:ascii="Times New Roman" w:hAnsi="Times New Roman"/>
      <w:szCs w:val="20"/>
    </w:rPr>
  </w:style>
  <w:style w:type="character" w:customStyle="1" w:styleId="151">
    <w:name w:val="Char Char Char1"/>
    <w:qFormat/>
    <w:uiPriority w:val="0"/>
    <w:rPr>
      <w:rFonts w:ascii="宋体" w:hAnsi="Courier New" w:eastAsia="宋体"/>
      <w:kern w:val="2"/>
      <w:sz w:val="21"/>
      <w:szCs w:val="21"/>
      <w:lang w:val="en-US" w:eastAsia="zh-CN" w:bidi="ar-SA"/>
    </w:rPr>
  </w:style>
  <w:style w:type="character" w:customStyle="1" w:styleId="152">
    <w:name w:val="MTEquationSection"/>
    <w:qFormat/>
    <w:uiPriority w:val="0"/>
    <w:rPr>
      <w:rFonts w:ascii="黑体" w:hAnsi="宋体" w:eastAsia="黑体"/>
      <w:b/>
      <w:vanish/>
      <w:color w:val="FF0000"/>
      <w:sz w:val="32"/>
      <w:szCs w:val="32"/>
    </w:rPr>
  </w:style>
  <w:style w:type="paragraph" w:customStyle="1" w:styleId="153">
    <w:name w:val="二级目录"/>
    <w:basedOn w:val="1"/>
    <w:link w:val="154"/>
    <w:qFormat/>
    <w:uiPriority w:val="0"/>
    <w:pPr>
      <w:adjustRightInd w:val="0"/>
      <w:snapToGrid w:val="0"/>
      <w:spacing w:line="600" w:lineRule="exact"/>
      <w:ind w:firstLine="640" w:firstLineChars="200"/>
    </w:pPr>
    <w:rPr>
      <w:rFonts w:ascii="仿宋_GB2312" w:hAnsi="宋体" w:eastAsia="仿宋_GB2312" w:cs="仿宋_GB2312"/>
      <w:bCs/>
      <w:sz w:val="32"/>
      <w:szCs w:val="32"/>
    </w:rPr>
  </w:style>
  <w:style w:type="character" w:customStyle="1" w:styleId="154">
    <w:name w:val="二级目录 Char"/>
    <w:link w:val="153"/>
    <w:qFormat/>
    <w:locked/>
    <w:uiPriority w:val="0"/>
    <w:rPr>
      <w:rFonts w:ascii="仿宋_GB2312" w:hAnsi="宋体" w:eastAsia="仿宋_GB2312" w:cs="仿宋_GB2312"/>
      <w:bCs/>
      <w:sz w:val="32"/>
      <w:szCs w:val="32"/>
    </w:rPr>
  </w:style>
  <w:style w:type="character" w:customStyle="1" w:styleId="155">
    <w:name w:val="Char Char16"/>
    <w:qFormat/>
    <w:locked/>
    <w:uiPriority w:val="0"/>
    <w:rPr>
      <w:rFonts w:eastAsia="宋体"/>
      <w:kern w:val="2"/>
      <w:sz w:val="18"/>
      <w:szCs w:val="18"/>
      <w:lang w:val="en-US" w:eastAsia="zh-CN" w:bidi="ar-SA"/>
    </w:rPr>
  </w:style>
  <w:style w:type="character" w:customStyle="1" w:styleId="156">
    <w:name w:val="Header Char"/>
    <w:qFormat/>
    <w:locked/>
    <w:uiPriority w:val="0"/>
    <w:rPr>
      <w:rFonts w:ascii="Calibri" w:hAnsi="Calibri" w:eastAsia="宋体"/>
      <w:kern w:val="2"/>
      <w:sz w:val="18"/>
      <w:szCs w:val="18"/>
      <w:lang w:val="en-US" w:eastAsia="zh-CN" w:bidi="ar-SA"/>
    </w:rPr>
  </w:style>
  <w:style w:type="paragraph" w:customStyle="1" w:styleId="157">
    <w:name w:val="列出段落1"/>
    <w:basedOn w:val="1"/>
    <w:qFormat/>
    <w:uiPriority w:val="0"/>
    <w:pPr>
      <w:ind w:firstLine="420" w:firstLineChars="200"/>
    </w:pPr>
    <w:rPr>
      <w:szCs w:val="22"/>
    </w:rPr>
  </w:style>
  <w:style w:type="character" w:customStyle="1" w:styleId="158">
    <w:name w:val="Balloon Text Char"/>
    <w:qFormat/>
    <w:locked/>
    <w:uiPriority w:val="0"/>
    <w:rPr>
      <w:rFonts w:ascii="Calibri" w:hAnsi="Calibri" w:eastAsia="宋体"/>
      <w:kern w:val="2"/>
      <w:sz w:val="18"/>
      <w:szCs w:val="18"/>
      <w:lang w:val="en-US" w:eastAsia="zh-CN" w:bidi="ar-SA"/>
    </w:rPr>
  </w:style>
  <w:style w:type="paragraph" w:customStyle="1" w:styleId="159">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60">
    <w:name w:val="Char Char Char Char Char Char Char Char Char Char Char Char1 Char Char Char Char1"/>
    <w:basedOn w:val="1"/>
    <w:qFormat/>
    <w:uiPriority w:val="0"/>
    <w:pPr>
      <w:tabs>
        <w:tab w:val="left" w:pos="432"/>
      </w:tabs>
      <w:spacing w:line="400" w:lineRule="exact"/>
      <w:ind w:left="432" w:hanging="432"/>
    </w:pPr>
    <w:rPr>
      <w:rFonts w:ascii="Times New Roman" w:hAnsi="Times New Roman"/>
    </w:rPr>
  </w:style>
  <w:style w:type="paragraph" w:customStyle="1" w:styleId="161">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6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font7"/>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64">
    <w:name w:val="font8"/>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65">
    <w:name w:val="font9"/>
    <w:basedOn w:val="1"/>
    <w:qFormat/>
    <w:uiPriority w:val="0"/>
    <w:pPr>
      <w:widowControl/>
      <w:spacing w:before="100" w:beforeAutospacing="1" w:after="100" w:afterAutospacing="1"/>
      <w:jc w:val="left"/>
    </w:pPr>
    <w:rPr>
      <w:rFonts w:ascii="宋体" w:hAnsi="宋体" w:cs="宋体"/>
      <w:b/>
      <w:bCs/>
      <w:color w:val="3333CC"/>
      <w:kern w:val="0"/>
      <w:sz w:val="20"/>
      <w:szCs w:val="20"/>
    </w:rPr>
  </w:style>
  <w:style w:type="paragraph" w:customStyle="1" w:styleId="166">
    <w:name w:val="font10"/>
    <w:basedOn w:val="1"/>
    <w:qFormat/>
    <w:uiPriority w:val="0"/>
    <w:pPr>
      <w:widowControl/>
      <w:spacing w:before="100" w:beforeAutospacing="1" w:after="100" w:afterAutospacing="1"/>
      <w:jc w:val="left"/>
    </w:pPr>
    <w:rPr>
      <w:rFonts w:ascii="Arial" w:hAnsi="Arial" w:cs="Arial"/>
      <w:b/>
      <w:bCs/>
      <w:color w:val="3333CC"/>
      <w:kern w:val="0"/>
      <w:sz w:val="20"/>
      <w:szCs w:val="20"/>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3333CC"/>
      <w:kern w:val="0"/>
      <w:sz w:val="18"/>
      <w:szCs w:val="18"/>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4"/>
    </w:rPr>
  </w:style>
  <w:style w:type="paragraph" w:customStyle="1" w:styleId="171">
    <w:name w:val="xl84"/>
    <w:basedOn w:val="1"/>
    <w:qFormat/>
    <w:uiPriority w:val="0"/>
    <w:pPr>
      <w:widowControl/>
      <w:spacing w:before="100" w:beforeAutospacing="1" w:after="100" w:afterAutospacing="1"/>
      <w:jc w:val="left"/>
      <w:textAlignment w:val="center"/>
    </w:pPr>
    <w:rPr>
      <w:rFonts w:ascii="Times New Roman" w:hAnsi="Times New Roman"/>
      <w:kern w:val="0"/>
      <w:sz w:val="24"/>
    </w:rPr>
  </w:style>
  <w:style w:type="character" w:customStyle="1" w:styleId="172">
    <w:name w:val="文档结构图 Char"/>
    <w:basedOn w:val="44"/>
    <w:link w:val="14"/>
    <w:semiHidden/>
    <w:qFormat/>
    <w:uiPriority w:val="0"/>
    <w:rPr>
      <w:rFonts w:ascii="宋体" w:hAnsi="Calibri" w:eastAsia="宋体" w:cs="Times New Roman"/>
      <w:sz w:val="18"/>
      <w:szCs w:val="18"/>
    </w:rPr>
  </w:style>
  <w:style w:type="character" w:customStyle="1" w:styleId="173">
    <w:name w:val="Plain Text Char"/>
    <w:qFormat/>
    <w:locked/>
    <w:uiPriority w:val="0"/>
    <w:rPr>
      <w:rFonts w:ascii="宋体" w:hAnsi="Courier New" w:eastAsia="宋体"/>
      <w:lang w:bidi="ar-SA"/>
    </w:rPr>
  </w:style>
  <w:style w:type="character" w:customStyle="1" w:styleId="174">
    <w:name w:val="Body Text Indent Char"/>
    <w:qFormat/>
    <w:locked/>
    <w:uiPriority w:val="0"/>
    <w:rPr>
      <w:rFonts w:eastAsia="宋体"/>
      <w:sz w:val="30"/>
      <w:lang w:bidi="ar-SA"/>
    </w:rPr>
  </w:style>
  <w:style w:type="character" w:customStyle="1" w:styleId="175">
    <w:name w:val="Body Text Indent 2 Char"/>
    <w:qFormat/>
    <w:locked/>
    <w:uiPriority w:val="0"/>
    <w:rPr>
      <w:rFonts w:eastAsia="宋体"/>
      <w:lang w:bidi="ar-SA"/>
    </w:rPr>
  </w:style>
  <w:style w:type="character" w:customStyle="1" w:styleId="176">
    <w:name w:val="Body Text Indent 3 Char"/>
    <w:qFormat/>
    <w:locked/>
    <w:uiPriority w:val="0"/>
    <w:rPr>
      <w:rFonts w:eastAsia="宋体"/>
      <w:sz w:val="16"/>
      <w:szCs w:val="16"/>
      <w:lang w:bidi="ar-SA"/>
    </w:rPr>
  </w:style>
  <w:style w:type="character" w:customStyle="1" w:styleId="177">
    <w:name w:val="Body Text 2 Char"/>
    <w:qFormat/>
    <w:locked/>
    <w:uiPriority w:val="0"/>
    <w:rPr>
      <w:rFonts w:eastAsia="宋体"/>
      <w:sz w:val="24"/>
      <w:szCs w:val="24"/>
      <w:lang w:bidi="ar-SA"/>
    </w:rPr>
  </w:style>
  <w:style w:type="character" w:customStyle="1" w:styleId="178">
    <w:name w:val="Body Text First Indent Char"/>
    <w:qFormat/>
    <w:locked/>
    <w:uiPriority w:val="0"/>
    <w:rPr>
      <w:rFonts w:ascii="黑体" w:eastAsia="宋体" w:cs="Times New Roman"/>
      <w:spacing w:val="2"/>
      <w:kern w:val="2"/>
      <w:position w:val="8"/>
      <w:sz w:val="21"/>
      <w:szCs w:val="21"/>
      <w:lang w:val="en-US" w:eastAsia="zh-CN" w:bidi="ar-SA"/>
    </w:rPr>
  </w:style>
  <w:style w:type="paragraph" w:customStyle="1" w:styleId="179">
    <w:name w:val="Char Char17"/>
    <w:basedOn w:val="1"/>
    <w:qFormat/>
    <w:uiPriority w:val="0"/>
    <w:rPr>
      <w:rFonts w:ascii="Times New Roman" w:hAnsi="Times New Roman"/>
    </w:rPr>
  </w:style>
  <w:style w:type="paragraph" w:customStyle="1" w:styleId="180">
    <w:name w:val="标题1"/>
    <w:qFormat/>
    <w:uiPriority w:val="0"/>
    <w:pPr>
      <w:spacing w:afterLines="100"/>
      <w:jc w:val="center"/>
    </w:pPr>
    <w:rPr>
      <w:rFonts w:ascii="黑体" w:hAnsi="Calibri" w:eastAsia="黑体" w:cs="Times New Roman"/>
      <w:kern w:val="0"/>
      <w:sz w:val="33"/>
      <w:szCs w:val="22"/>
      <w:lang w:val="en-US" w:eastAsia="zh-CN" w:bidi="ar-SA"/>
    </w:rPr>
  </w:style>
  <w:style w:type="paragraph" w:customStyle="1" w:styleId="181">
    <w:name w:val="p0"/>
    <w:basedOn w:val="1"/>
    <w:qFormat/>
    <w:uiPriority w:val="0"/>
    <w:pPr>
      <w:widowControl/>
    </w:pPr>
    <w:rPr>
      <w:rFonts w:cs="宋体"/>
      <w:kern w:val="0"/>
      <w:szCs w:val="21"/>
    </w:rPr>
  </w:style>
  <w:style w:type="character" w:customStyle="1" w:styleId="182">
    <w:name w:val="apple-style-span"/>
    <w:basedOn w:val="44"/>
    <w:qFormat/>
    <w:uiPriority w:val="0"/>
  </w:style>
  <w:style w:type="character" w:customStyle="1" w:styleId="183">
    <w:name w:val="Char Char43"/>
    <w:qFormat/>
    <w:locked/>
    <w:uiPriority w:val="0"/>
    <w:rPr>
      <w:rFonts w:eastAsia="宋体"/>
      <w:b/>
      <w:kern w:val="44"/>
      <w:sz w:val="44"/>
      <w:lang w:val="en-US" w:eastAsia="zh-CN" w:bidi="ar-SA"/>
    </w:rPr>
  </w:style>
  <w:style w:type="character" w:customStyle="1" w:styleId="184">
    <w:name w:val="Char Char42"/>
    <w:qFormat/>
    <w:locked/>
    <w:uiPriority w:val="0"/>
    <w:rPr>
      <w:rFonts w:ascii="黑体" w:hAnsi="Arial" w:eastAsia="黑体" w:cs="宋体"/>
      <w:sz w:val="21"/>
    </w:rPr>
  </w:style>
  <w:style w:type="character" w:customStyle="1" w:styleId="185">
    <w:name w:val="Char Char41"/>
    <w:qFormat/>
    <w:locked/>
    <w:uiPriority w:val="0"/>
    <w:rPr>
      <w:rFonts w:ascii="宋体" w:eastAsia="黑体" w:cs="宋体"/>
      <w:kern w:val="2"/>
      <w:sz w:val="24"/>
    </w:rPr>
  </w:style>
  <w:style w:type="character" w:customStyle="1" w:styleId="186">
    <w:name w:val="Char Char40"/>
    <w:qFormat/>
    <w:locked/>
    <w:uiPriority w:val="0"/>
    <w:rPr>
      <w:rFonts w:ascii="Arial" w:hAnsi="Arial" w:eastAsia="黑体"/>
      <w:b/>
      <w:kern w:val="2"/>
      <w:sz w:val="28"/>
    </w:rPr>
  </w:style>
  <w:style w:type="character" w:customStyle="1" w:styleId="187">
    <w:name w:val="Char Char39"/>
    <w:qFormat/>
    <w:locked/>
    <w:uiPriority w:val="0"/>
    <w:rPr>
      <w:rFonts w:ascii="宋体" w:cs="宋体"/>
      <w:b/>
      <w:kern w:val="2"/>
      <w:sz w:val="28"/>
    </w:rPr>
  </w:style>
  <w:style w:type="character" w:customStyle="1" w:styleId="188">
    <w:name w:val="Char Char38"/>
    <w:qFormat/>
    <w:locked/>
    <w:uiPriority w:val="0"/>
    <w:rPr>
      <w:rFonts w:ascii="Arial" w:hAnsi="Arial" w:eastAsia="黑体"/>
      <w:b/>
      <w:kern w:val="2"/>
      <w:sz w:val="24"/>
    </w:rPr>
  </w:style>
  <w:style w:type="character" w:customStyle="1" w:styleId="189">
    <w:name w:val="Char Char37"/>
    <w:qFormat/>
    <w:locked/>
    <w:uiPriority w:val="0"/>
    <w:rPr>
      <w:rFonts w:ascii="宋体"/>
      <w:b/>
      <w:kern w:val="2"/>
      <w:sz w:val="24"/>
    </w:rPr>
  </w:style>
  <w:style w:type="character" w:customStyle="1" w:styleId="190">
    <w:name w:val="Char Char36"/>
    <w:qFormat/>
    <w:locked/>
    <w:uiPriority w:val="0"/>
    <w:rPr>
      <w:rFonts w:ascii="Arial" w:hAnsi="Arial" w:eastAsia="黑体"/>
      <w:kern w:val="2"/>
      <w:sz w:val="24"/>
    </w:rPr>
  </w:style>
  <w:style w:type="character" w:customStyle="1" w:styleId="191">
    <w:name w:val="Char Char35"/>
    <w:qFormat/>
    <w:locked/>
    <w:uiPriority w:val="0"/>
    <w:rPr>
      <w:rFonts w:ascii="宋体"/>
      <w:kern w:val="2"/>
      <w:sz w:val="44"/>
    </w:rPr>
  </w:style>
  <w:style w:type="character" w:customStyle="1" w:styleId="192">
    <w:name w:val="Char Char34"/>
    <w:qFormat/>
    <w:uiPriority w:val="0"/>
    <w:rPr>
      <w:rFonts w:ascii="黑体" w:eastAsia="黑体"/>
      <w:spacing w:val="2"/>
      <w:kern w:val="2"/>
      <w:position w:val="8"/>
      <w:sz w:val="18"/>
      <w:lang w:val="en-US" w:eastAsia="zh-CN" w:bidi="ar-SA"/>
    </w:rPr>
  </w:style>
  <w:style w:type="character" w:customStyle="1" w:styleId="193">
    <w:name w:val="Char Char32"/>
    <w:qFormat/>
    <w:uiPriority w:val="0"/>
    <w:rPr>
      <w:rFonts w:eastAsia="宋体"/>
      <w:sz w:val="30"/>
      <w:lang w:val="en-US" w:eastAsia="zh-CN" w:bidi="ar-SA"/>
    </w:rPr>
  </w:style>
  <w:style w:type="character" w:customStyle="1" w:styleId="194">
    <w:name w:val="Char Char28"/>
    <w:qFormat/>
    <w:uiPriority w:val="0"/>
    <w:rPr>
      <w:rFonts w:eastAsia="宋体"/>
      <w:kern w:val="2"/>
      <w:sz w:val="18"/>
      <w:szCs w:val="18"/>
      <w:lang w:val="en-US" w:eastAsia="zh-CN" w:bidi="ar-SA"/>
    </w:rPr>
  </w:style>
  <w:style w:type="character" w:customStyle="1" w:styleId="195">
    <w:name w:val="Char Char27"/>
    <w:qFormat/>
    <w:uiPriority w:val="0"/>
    <w:rPr>
      <w:rFonts w:eastAsia="宋体"/>
      <w:kern w:val="2"/>
      <w:sz w:val="16"/>
      <w:szCs w:val="16"/>
      <w:lang w:val="en-US" w:eastAsia="zh-CN" w:bidi="ar-SA"/>
    </w:rPr>
  </w:style>
  <w:style w:type="paragraph" w:customStyle="1" w:styleId="196">
    <w:name w:val="列出段落2"/>
    <w:basedOn w:val="1"/>
    <w:qFormat/>
    <w:uiPriority w:val="0"/>
    <w:pPr>
      <w:ind w:firstLine="420" w:firstLineChars="200"/>
    </w:pPr>
    <w:rPr>
      <w:szCs w:val="22"/>
    </w:rPr>
  </w:style>
  <w:style w:type="character" w:customStyle="1" w:styleId="197">
    <w:name w:val="Char Char22"/>
    <w:qFormat/>
    <w:locked/>
    <w:uiPriority w:val="0"/>
    <w:rPr>
      <w:rFonts w:ascii="Arial" w:hAnsi="Arial" w:eastAsia="黑体"/>
      <w:b/>
      <w:kern w:val="2"/>
      <w:sz w:val="28"/>
      <w:lang w:val="en-US" w:eastAsia="zh-CN" w:bidi="ar-SA"/>
    </w:rPr>
  </w:style>
  <w:style w:type="paragraph" w:customStyle="1" w:styleId="198">
    <w:name w:val="2"/>
    <w:basedOn w:val="1"/>
    <w:qFormat/>
    <w:uiPriority w:val="0"/>
    <w:pPr>
      <w:autoSpaceDE w:val="0"/>
      <w:autoSpaceDN w:val="0"/>
    </w:pPr>
    <w:rPr>
      <w:rFonts w:ascii="Tahoma" w:hAnsi="Tahoma"/>
      <w:sz w:val="24"/>
      <w:szCs w:val="20"/>
    </w:rPr>
  </w:style>
  <w:style w:type="paragraph" w:customStyle="1" w:styleId="199">
    <w:name w:val="1"/>
    <w:basedOn w:val="1"/>
    <w:qFormat/>
    <w:uiPriority w:val="0"/>
    <w:pPr>
      <w:autoSpaceDE w:val="0"/>
      <w:autoSpaceDN w:val="0"/>
    </w:pPr>
    <w:rPr>
      <w:rFonts w:ascii="Tahoma" w:hAnsi="Tahoma"/>
      <w:sz w:val="24"/>
      <w:szCs w:val="20"/>
    </w:rPr>
  </w:style>
  <w:style w:type="paragraph" w:customStyle="1" w:styleId="200">
    <w:name w:val="表格内容"/>
    <w:basedOn w:val="22"/>
    <w:qFormat/>
    <w:uiPriority w:val="0"/>
    <w:rPr>
      <w:rFonts w:cs="Courier New"/>
      <w:sz w:val="18"/>
      <w:szCs w:val="21"/>
    </w:rPr>
  </w:style>
  <w:style w:type="paragraph" w:customStyle="1" w:styleId="201">
    <w:name w:val="xl4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color w:val="000000"/>
      <w:kern w:val="0"/>
      <w:sz w:val="32"/>
      <w:szCs w:val="32"/>
    </w:rPr>
  </w:style>
  <w:style w:type="paragraph" w:styleId="202">
    <w:name w:val="List Paragraph"/>
    <w:basedOn w:val="1"/>
    <w:qFormat/>
    <w:uiPriority w:val="0"/>
    <w:pPr>
      <w:ind w:firstLine="420" w:firstLineChars="200"/>
    </w:pPr>
    <w:rPr>
      <w:szCs w:val="22"/>
    </w:rPr>
  </w:style>
  <w:style w:type="paragraph" w:customStyle="1" w:styleId="203">
    <w:name w:val="Char Char Char Char2"/>
    <w:basedOn w:val="1"/>
    <w:qFormat/>
    <w:uiPriority w:val="0"/>
    <w:pPr>
      <w:autoSpaceDE w:val="0"/>
      <w:autoSpaceDN w:val="0"/>
    </w:pPr>
    <w:rPr>
      <w:rFonts w:ascii="Tahoma" w:hAnsi="Tahoma" w:cs="Tahoma"/>
      <w:sz w:val="24"/>
    </w:rPr>
  </w:style>
  <w:style w:type="paragraph" w:customStyle="1" w:styleId="2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05">
    <w:name w:val="Char Char26"/>
    <w:qFormat/>
    <w:locked/>
    <w:uiPriority w:val="0"/>
    <w:rPr>
      <w:rFonts w:eastAsia="宋体"/>
      <w:b/>
      <w:kern w:val="44"/>
      <w:sz w:val="44"/>
      <w:lang w:val="en-US" w:eastAsia="zh-CN" w:bidi="ar-SA"/>
    </w:rPr>
  </w:style>
  <w:style w:type="character" w:customStyle="1" w:styleId="206">
    <w:name w:val="Char Char25"/>
    <w:qFormat/>
    <w:locked/>
    <w:uiPriority w:val="0"/>
    <w:rPr>
      <w:rFonts w:ascii="黑体" w:hAnsi="Arial" w:eastAsia="黑体" w:cs="宋体"/>
      <w:sz w:val="21"/>
      <w:lang w:val="en-US" w:eastAsia="zh-CN" w:bidi="ar-SA"/>
    </w:rPr>
  </w:style>
  <w:style w:type="character" w:customStyle="1" w:styleId="207">
    <w:name w:val="Char Char24"/>
    <w:qFormat/>
    <w:locked/>
    <w:uiPriority w:val="0"/>
    <w:rPr>
      <w:rFonts w:ascii="宋体" w:eastAsia="黑体" w:cs="宋体"/>
      <w:kern w:val="2"/>
      <w:sz w:val="24"/>
      <w:lang w:val="en-US" w:eastAsia="zh-CN" w:bidi="ar-SA"/>
    </w:rPr>
  </w:style>
  <w:style w:type="character" w:customStyle="1" w:styleId="208">
    <w:name w:val="Char Char23"/>
    <w:qFormat/>
    <w:locked/>
    <w:uiPriority w:val="0"/>
    <w:rPr>
      <w:rFonts w:ascii="Arial" w:hAnsi="Arial" w:eastAsia="黑体"/>
      <w:b/>
      <w:kern w:val="2"/>
      <w:sz w:val="28"/>
      <w:lang w:val="en-US" w:eastAsia="zh-CN" w:bidi="ar-SA"/>
    </w:rPr>
  </w:style>
  <w:style w:type="paragraph" w:customStyle="1" w:styleId="209">
    <w:name w:val="Revision"/>
    <w:hidden/>
    <w:semiHidden/>
    <w:qFormat/>
    <w:uiPriority w:val="0"/>
    <w:rPr>
      <w:rFonts w:ascii="Times New Roman" w:hAnsi="Times New Roman" w:eastAsia="宋体" w:cs="Times New Roman"/>
      <w:kern w:val="2"/>
      <w:sz w:val="21"/>
      <w:szCs w:val="24"/>
      <w:lang w:val="en-US" w:eastAsia="zh-CN" w:bidi="ar-SA"/>
    </w:rPr>
  </w:style>
  <w:style w:type="character" w:customStyle="1" w:styleId="210">
    <w:name w:val="小黑 Char"/>
    <w:qFormat/>
    <w:uiPriority w:val="0"/>
    <w:rPr>
      <w:rFonts w:ascii="黑体" w:hAnsi="黑体" w:eastAsia="黑体" w:cs="宋体"/>
      <w:kern w:val="2"/>
      <w:sz w:val="24"/>
      <w:lang w:val="en-US" w:eastAsia="zh-CN" w:bidi="ar-SA"/>
    </w:rPr>
  </w:style>
  <w:style w:type="paragraph" w:customStyle="1" w:styleId="211">
    <w:name w:val="reader-word-layer reader-word-s5-2"/>
    <w:basedOn w:val="1"/>
    <w:qFormat/>
    <w:uiPriority w:val="0"/>
    <w:pPr>
      <w:widowControl/>
      <w:spacing w:before="100" w:beforeAutospacing="1" w:after="100" w:afterAutospacing="1"/>
      <w:jc w:val="left"/>
    </w:pPr>
    <w:rPr>
      <w:rFonts w:ascii="宋体" w:hAnsi="宋体" w:cs="宋体"/>
      <w:kern w:val="0"/>
      <w:sz w:val="24"/>
    </w:rPr>
  </w:style>
  <w:style w:type="character" w:customStyle="1" w:styleId="212">
    <w:name w:val="脚注文本 Char"/>
    <w:basedOn w:val="44"/>
    <w:link w:val="32"/>
    <w:semiHidden/>
    <w:qFormat/>
    <w:uiPriority w:val="0"/>
    <w:rPr>
      <w:rFonts w:ascii="Times New Roman" w:hAnsi="Times New Roman" w:eastAsia="宋体" w:cs="Times New Roman"/>
      <w:sz w:val="18"/>
      <w:szCs w:val="18"/>
    </w:rPr>
  </w:style>
  <w:style w:type="paragraph" w:customStyle="1" w:styleId="213">
    <w:name w:val="TOC Heading"/>
    <w:basedOn w:val="2"/>
    <w:next w:val="1"/>
    <w:qFormat/>
    <w:uiPriority w:val="39"/>
    <w:pPr>
      <w:widowControl/>
      <w:spacing w:before="240" w:after="0" w:line="259" w:lineRule="auto"/>
      <w:jc w:val="left"/>
      <w:outlineLvl w:val="9"/>
    </w:pPr>
    <w:rPr>
      <w:rFonts w:ascii="Calibri Light" w:hAnsi="Calibri Light"/>
      <w:b w:val="0"/>
      <w:color w:val="2E74B5"/>
      <w:kern w:val="0"/>
      <w:sz w:val="32"/>
      <w:szCs w:val="32"/>
    </w:rPr>
  </w:style>
  <w:style w:type="paragraph" w:styleId="2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_Style 8"/>
    <w:basedOn w:val="14"/>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216">
    <w:name w:val="red1"/>
    <w:basedOn w:val="44"/>
    <w:qFormat/>
    <w:uiPriority w:val="0"/>
  </w:style>
  <w:style w:type="paragraph" w:customStyle="1" w:styleId="21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218">
    <w:name w:val="标准文件_文件编号"/>
    <w:qFormat/>
    <w:uiPriority w:val="0"/>
    <w:pPr>
      <w:framePr w:w="9356" w:h="624" w:hRule="exact" w:hSpace="181" w:vSpace="181" w:wrap="around" w:vAnchor="page" w:hAnchor="page" w:x="1419" w:y="3284"/>
      <w:wordWrap w:val="0"/>
      <w:autoSpaceDE w:val="0"/>
      <w:autoSpaceDN w:val="0"/>
      <w:spacing w:line="280" w:lineRule="exact"/>
      <w:ind w:firstLine="0" w:firstLineChars="0"/>
      <w:jc w:val="right"/>
    </w:pPr>
    <w:rPr>
      <w:rFonts w:ascii="黑体" w:hAnsi="Times New Roman" w:eastAsia="黑体" w:cs="Times New Roman"/>
      <w:bCs/>
      <w:sz w:val="28"/>
      <w:szCs w:val="28"/>
      <w:lang w:val="en-US" w:eastAsia="zh-CN" w:bidi="ar-SA"/>
    </w:rPr>
  </w:style>
  <w:style w:type="paragraph" w:customStyle="1" w:styleId="2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标准文件_文件名称"/>
    <w:next w:val="219"/>
    <w:qFormat/>
    <w:uiPriority w:val="0"/>
    <w:pPr>
      <w:framePr w:w="9639" w:h="6976" w:hRule="exact" w:wrap="around" w:vAnchor="page" w:hAnchor="page" w:y="6408"/>
      <w:autoSpaceDE/>
      <w:autoSpaceDN/>
      <w:spacing w:line="700" w:lineRule="exact"/>
      <w:ind w:firstLine="0" w:firstLineChars="0"/>
      <w:jc w:val="center"/>
    </w:pPr>
    <w:rPr>
      <w:rFonts w:ascii="黑体" w:hAnsi="Times New Roman" w:eastAsia="黑体" w:cs="Times New Roman"/>
      <w:bCs/>
      <w:sz w:val="52"/>
      <w:lang w:val="en-US" w:eastAsia="zh-CN" w:bidi="ar-SA"/>
    </w:rPr>
  </w:style>
  <w:style w:type="paragraph" w:customStyle="1" w:styleId="221">
    <w:name w:val="其他发布日期"/>
    <w:basedOn w:val="222"/>
    <w:qFormat/>
    <w:uiPriority w:val="0"/>
    <w:pPr>
      <w:framePr w:w="3997" w:h="471" w:hRule="exact" w:vSpace="181" w:vAnchor="page" w:hAnchor="page" w:x="1419" w:y="14097"/>
    </w:pPr>
    <w:rPr>
      <w:rFonts w:ascii="Times New Roman" w:hAnsi="Times New Roman" w:eastAsia="黑体" w:cs="Times New Roman"/>
      <w:sz w:val="28"/>
      <w:lang w:val="en-US" w:eastAsia="zh-CN" w:bidi="ar-SA"/>
    </w:rPr>
  </w:style>
  <w:style w:type="paragraph" w:customStyle="1" w:styleId="2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3">
    <w:name w:val="其他实施日期"/>
    <w:basedOn w:val="224"/>
    <w:qFormat/>
    <w:uiPriority w:val="0"/>
    <w:pPr>
      <w:framePr w:w="3997" w:h="471" w:hRule="exact" w:vSpace="181" w:vAnchor="page" w:hAnchor="page" w:x="7089" w:y="14097"/>
      <w:jc w:val="right"/>
    </w:pPr>
    <w:rPr>
      <w:rFonts w:ascii="Times New Roman" w:hAnsi="Times New Roman" w:eastAsia="黑体" w:cs="Times New Roman"/>
      <w:sz w:val="28"/>
      <w:lang w:val="en-US" w:eastAsia="zh-CN" w:bidi="ar-SA"/>
    </w:rPr>
  </w:style>
  <w:style w:type="paragraph" w:customStyle="1" w:styleId="224">
    <w:name w:val="实施日期"/>
    <w:qFormat/>
    <w:uiPriority w:val="0"/>
    <w:pPr>
      <w:framePr w:wrap="auto" w:vAnchor="margin" w:hAnchor="text" w:xAlign="right" w:y="1"/>
      <w:jc w:val="right"/>
    </w:pPr>
    <w:rPr>
      <w:rFonts w:ascii="Times New Roman" w:hAnsi="Times New Roman" w:eastAsia="黑体" w:cs="Times New Roman"/>
      <w:sz w:val="28"/>
      <w:lang w:val="en-US" w:eastAsia="zh-CN" w:bidi="ar-SA"/>
    </w:rPr>
  </w:style>
  <w:style w:type="paragraph" w:customStyle="1" w:styleId="225">
    <w:name w:val="其他发布部门"/>
    <w:basedOn w:val="226"/>
    <w:qFormat/>
    <w:uiPriority w:val="0"/>
    <w:pPr>
      <w:spacing w:line="0" w:lineRule="atLeast"/>
      <w:jc w:val="center"/>
    </w:pPr>
    <w:rPr>
      <w:rFonts w:ascii="黑体" w:hAnsi="Times New Roman" w:eastAsia="黑体" w:cs="Times New Roman"/>
      <w:b w:val="0"/>
      <w:w w:val="135"/>
      <w:sz w:val="36"/>
      <w:lang w:val="en-US" w:eastAsia="zh-CN" w:bidi="ar-SA"/>
    </w:rPr>
  </w:style>
  <w:style w:type="paragraph" w:customStyle="1" w:styleId="226">
    <w:name w:val="发布部门"/>
    <w:next w:val="1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27">
    <w:name w:val="发布"/>
    <w:qFormat/>
    <w:uiPriority w:val="0"/>
    <w:rPr>
      <w:rFonts w:ascii="黑体" w:eastAsia="黑体"/>
      <w:spacing w:val="85"/>
      <w:w w:val="100"/>
      <w:position w:val="3"/>
      <w:sz w:val="28"/>
      <w:szCs w:val="28"/>
    </w:rPr>
  </w:style>
  <w:style w:type="paragraph" w:customStyle="1" w:styleId="228">
    <w:name w:val="标准文件_前言、引言标题"/>
    <w:next w:val="1"/>
    <w:qFormat/>
    <w:uiPriority w:val="0"/>
    <w:pPr>
      <w:numPr>
        <w:ilvl w:val="0"/>
        <w:numId w:val="2"/>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229">
    <w:name w:val="标准文件_正文标准名称"/>
    <w:qFormat/>
    <w:uiPriority w:val="0"/>
    <w:pPr>
      <w:spacing w:before="20" w:beforeLines="20" w:after="640" w:line="400" w:lineRule="exact"/>
      <w:jc w:val="center"/>
    </w:pPr>
    <w:rPr>
      <w:rFonts w:ascii="黑体" w:hAnsi="Times New Roman" w:eastAsia="黑体" w:cs="Times New Roman"/>
      <w:kern w:val="2"/>
      <w:sz w:val="32"/>
      <w:szCs w:val="32"/>
      <w:lang w:val="en-US" w:eastAsia="zh-CN" w:bidi="ar-SA"/>
    </w:rPr>
  </w:style>
  <w:style w:type="paragraph" w:customStyle="1" w:styleId="230">
    <w:name w:val="标准文件_章标题"/>
    <w:next w:val="219"/>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31">
    <w:name w:val="标准文件_术语条一"/>
    <w:next w:val="219"/>
    <w:qFormat/>
    <w:uiPriority w:val="0"/>
    <w:pPr>
      <w:numPr>
        <w:ilvl w:val="2"/>
        <w:numId w:val="3"/>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232">
    <w:name w:val="标准文件_一级无标题"/>
    <w:qFormat/>
    <w:uiPriority w:val="0"/>
    <w:pPr>
      <w:numPr>
        <w:ilvl w:val="2"/>
        <w:numId w:val="3"/>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233">
    <w:name w:val="标准文件_一级条标题"/>
    <w:next w:val="219"/>
    <w:qFormat/>
    <w:uiPriority w:val="0"/>
    <w:pPr>
      <w:numPr>
        <w:ilvl w:val="2"/>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4">
    <w:name w:val="标准文件_二级无标题"/>
    <w:qFormat/>
    <w:uiPriority w:val="0"/>
    <w:pPr>
      <w:widowControl w:val="0"/>
      <w:numPr>
        <w:ilvl w:val="3"/>
        <w:numId w:val="3"/>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235">
    <w:name w:val="标准文件_二级条标题"/>
    <w:next w:val="219"/>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36">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237">
    <w:name w:val="标准文件_三级无标题"/>
    <w:qFormat/>
    <w:uiPriority w:val="0"/>
    <w:pPr>
      <w:widowControl/>
      <w:numPr>
        <w:ilvl w:val="4"/>
        <w:numId w:val="3"/>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238">
    <w:name w:val="标准文件_三级条标题"/>
    <w:next w:val="219"/>
    <w:qFormat/>
    <w:uiPriority w:val="0"/>
    <w:pPr>
      <w:widowControl/>
      <w:numPr>
        <w:ilvl w:val="4"/>
        <w:numId w:val="3"/>
      </w:numPr>
      <w:spacing w:before="50" w:beforeLines="50" w:after="50" w:afterLines="50"/>
      <w:jc w:val="both"/>
      <w:outlineLvl w:val="3"/>
    </w:pPr>
    <w:rPr>
      <w:rFonts w:ascii="黑体" w:hAnsi="Times New Roman" w:eastAsia="黑体" w:cs="Times New Roman"/>
      <w:sz w:val="21"/>
      <w:lang w:val="en-US" w:eastAsia="zh-CN" w:bidi="ar-SA"/>
    </w:rPr>
  </w:style>
  <w:style w:type="paragraph" w:customStyle="1" w:styleId="239">
    <w:name w:val="标准文件_页眉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4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41">
    <w:name w:val="其他标准称谓"/>
    <w:next w:val="1"/>
    <w:qFormat/>
    <w:uiPriority w:val="0"/>
    <w:pPr>
      <w:framePr w:hSpace="181" w:vSpace="181" w:wrap="around" w:vAnchor="page" w:hAnchor="page" w:x="1419" w:y="2286" w:anchorLock="1"/>
      <w:spacing w:line="0" w:lineRule="atLeast"/>
      <w:jc w:val="distribute"/>
    </w:pPr>
    <w:rPr>
      <w:rFonts w:ascii="黑体" w:hAnsi="Times New Roman" w:eastAsia="黑体" w:cs="Times New Roman"/>
      <w:spacing w:val="-40"/>
      <w:sz w:val="48"/>
      <w:szCs w:val="52"/>
      <w:lang w:val="en-US" w:eastAsia="zh-CN" w:bidi="ar-SA"/>
    </w:rPr>
  </w:style>
  <w:style w:type="paragraph" w:customStyle="1" w:styleId="2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4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5">
    <w:name w:val="前言、引言标题"/>
    <w:next w:val="15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目次、标准名称标题"/>
    <w:basedOn w:val="1"/>
    <w:next w:val="15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7">
    <w:name w:val="章标题"/>
    <w:next w:val="159"/>
    <w:qFormat/>
    <w:uiPriority w:val="0"/>
    <w:pPr>
      <w:numPr>
        <w:ilvl w:val="0"/>
        <w:numId w:val="5"/>
      </w:numPr>
      <w:spacing w:before="100" w:beforeLines="100" w:after="100" w:afterLines="100"/>
      <w:jc w:val="both"/>
      <w:outlineLvl w:val="1"/>
    </w:pPr>
    <w:rPr>
      <w:rFonts w:ascii="黑体" w:hAnsi="Times New Roman" w:eastAsia="黑体" w:cs="Times New Roman"/>
      <w:sz w:val="21"/>
      <w:lang w:val="en-US" w:eastAsia="zh-CN" w:bidi="ar-SA"/>
    </w:rPr>
  </w:style>
  <w:style w:type="paragraph" w:customStyle="1" w:styleId="248">
    <w:name w:val="一级条标题"/>
    <w:next w:val="159"/>
    <w:qFormat/>
    <w:uiPriority w:val="0"/>
    <w:pPr>
      <w:numPr>
        <w:ilvl w:val="1"/>
        <w:numId w:val="5"/>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249">
    <w:name w:val="二级条标题"/>
    <w:basedOn w:val="248"/>
    <w:next w:val="159"/>
    <w:qFormat/>
    <w:uiPriority w:val="0"/>
    <w:pPr>
      <w:numPr>
        <w:ilvl w:val="2"/>
        <w:numId w:val="5"/>
      </w:numPr>
      <w:spacing w:before="50" w:beforeLines="0" w:after="50" w:afterLines="0"/>
      <w:outlineLvl w:val="3"/>
    </w:pPr>
  </w:style>
  <w:style w:type="paragraph" w:customStyle="1" w:styleId="250">
    <w:name w:val="二级无"/>
    <w:basedOn w:val="249"/>
    <w:qFormat/>
    <w:uiPriority w:val="0"/>
    <w:rPr>
      <w:rFonts w:ascii="宋体" w:eastAsia="宋体"/>
    </w:rPr>
  </w:style>
  <w:style w:type="paragraph" w:customStyle="1" w:styleId="251">
    <w:name w:val="三级无"/>
    <w:basedOn w:val="252"/>
    <w:qFormat/>
    <w:uiPriority w:val="0"/>
    <w:rPr>
      <w:rFonts w:ascii="宋体" w:eastAsia="宋体"/>
    </w:rPr>
  </w:style>
  <w:style w:type="paragraph" w:customStyle="1" w:styleId="252">
    <w:name w:val="三级条标题"/>
    <w:basedOn w:val="249"/>
    <w:next w:val="159"/>
    <w:qFormat/>
    <w:uiPriority w:val="0"/>
    <w:pPr>
      <w:numPr>
        <w:ilvl w:val="3"/>
        <w:numId w:val="5"/>
      </w:numPr>
      <w:outlineLvl w:val="4"/>
    </w:pPr>
  </w:style>
  <w:style w:type="paragraph" w:customStyle="1" w:styleId="253">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25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textRotate="1"/>
    <customShpInfo spid="_x0000_s2050" textRotate="1"/>
    <customShpInfo spid="_x0000_s2054" textRotate="1"/>
    <customShpInfo spid="_x0000_s2055" textRotate="1"/>
    <customShpInfo spid="_x0000_s2063" textRotate="1"/>
    <customShpInfo spid="_x0000_s2057" textRotate="1"/>
    <customShpInfo spid="_x0000_s2051" textRotate="1"/>
    <customShpInfo spid="_x0000_s2058" textRotate="1"/>
    <customShpInfo spid="_x0000_s2060" textRotate="1"/>
    <customShpInfo spid="_x0000_s2052" textRotate="1"/>
    <customShpInfo spid="_x0000_s2053" textRotate="1"/>
    <customShpInfo spid="_x0000_s2064" textRotate="1"/>
    <customShpInfo spid="_x0000_s1026"/>
    <customShpInfo spid="_x0000_s1029"/>
    <customShpInfo spid="_x0000_s1030"/>
    <customShpInfo spid="_x0000_s1031"/>
    <customShpInfo spid="_x0000_s1040"/>
    <customShpInfo spid="_x0000_s1033"/>
    <customShpInfo spid="_x0000_s1034"/>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77</Pages>
  <Words>8947</Words>
  <Characters>50998</Characters>
  <Lines>424</Lines>
  <Paragraphs>119</Paragraphs>
  <TotalTime>1</TotalTime>
  <ScaleCrop>false</ScaleCrop>
  <LinksUpToDate>false</LinksUpToDate>
  <CharactersWithSpaces>59826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2019-05-23T11:41:00Z</dcterms:created>
  <dc:creator>姚栋:</dc:creator>
  <cp:lastModifiedBy>uos</cp:lastModifiedBy>
  <cp:lastPrinted>2018-12-29T11:22:00Z</cp:lastPrinted>
  <dcterms:modified xsi:type="dcterms:W3CDTF">2021-09-27T11:35:03Z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