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632" w:firstLineChars="200"/>
        <w:jc w:val="right"/>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方正小标宋简体" w:eastAsia="方正小标宋简体"/>
          <w:spacing w:val="60"/>
          <w:sz w:val="74"/>
        </w:rPr>
      </w:pPr>
      <w:r>
        <w:rPr>
          <w:rFonts w:hint="eastAsia" w:ascii="方正小标宋简体" w:eastAsia="方正小标宋简体"/>
          <w:spacing w:val="60"/>
          <w:sz w:val="74"/>
        </w:rPr>
        <w:t>2021年度</w:t>
      </w:r>
    </w:p>
    <w:p>
      <w:pPr>
        <w:jc w:val="center"/>
        <w:rPr>
          <w:rFonts w:ascii="方正小标宋简体" w:eastAsia="方正小标宋简体"/>
          <w:spacing w:val="60"/>
          <w:sz w:val="74"/>
        </w:rPr>
      </w:pPr>
      <w:r>
        <w:rPr>
          <w:rFonts w:hint="eastAsia" w:ascii="方正小标宋简体" w:eastAsia="方正小标宋简体"/>
          <w:spacing w:val="60"/>
          <w:sz w:val="74"/>
        </w:rPr>
        <w:t>青岛市司法局部门决算</w:t>
      </w:r>
    </w:p>
    <w:p>
      <w:pPr>
        <w:jc w:val="center"/>
        <w:rPr>
          <w:rFonts w:ascii="楷体_GB2312" w:eastAsia="楷体_GB2312"/>
          <w:b/>
          <w:sz w:val="42"/>
        </w:rPr>
      </w:pPr>
    </w:p>
    <w:p>
      <w:pPr>
        <w:jc w:val="center"/>
        <w:rPr>
          <w:rFonts w:ascii="楷体_GB2312" w:eastAsia="楷体_GB2312"/>
          <w:b/>
          <w:sz w:val="42"/>
        </w:rPr>
      </w:pPr>
    </w:p>
    <w:p>
      <w:pPr>
        <w:jc w:val="center"/>
        <w:rPr>
          <w:rFonts w:ascii="仿宋_GB2312" w:eastAsia="仿宋_GB2312"/>
        </w:rPr>
      </w:pPr>
    </w:p>
    <w:p>
      <w:pPr>
        <w:rPr>
          <w:rFonts w:ascii="仿宋_GB2312" w:eastAsia="仿宋_GB2312"/>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p>
    <w:p>
      <w:pPr>
        <w:spacing w:after="305" w:afterLines="50" w:line="580" w:lineRule="exact"/>
        <w:jc w:val="center"/>
        <w:rPr>
          <w:rFonts w:ascii="方正小标宋简体" w:eastAsia="方正小标宋简体"/>
          <w:sz w:val="44"/>
          <w:szCs w:val="44"/>
        </w:rPr>
      </w:pPr>
      <w:r>
        <w:rPr>
          <w:rFonts w:hint="eastAsia" w:ascii="方正小标宋简体" w:eastAsia="方正小标宋简体"/>
          <w:sz w:val="44"/>
          <w:szCs w:val="44"/>
        </w:rPr>
        <w:t>目  录</w:t>
      </w:r>
    </w:p>
    <w:p>
      <w:pPr>
        <w:spacing w:line="580" w:lineRule="exact"/>
        <w:ind w:firstLine="316" w:firstLineChars="100"/>
        <w:rPr>
          <w:rFonts w:ascii="黑体" w:hAnsi="黑体" w:eastAsia="黑体"/>
        </w:rPr>
      </w:pPr>
      <w:r>
        <w:rPr>
          <w:rFonts w:hint="eastAsia" w:ascii="黑体" w:hAnsi="黑体" w:eastAsia="黑体"/>
        </w:rPr>
        <w:t>第一部分  部门概况</w:t>
      </w:r>
    </w:p>
    <w:p>
      <w:pPr>
        <w:spacing w:line="580" w:lineRule="exact"/>
        <w:ind w:firstLine="632" w:firstLineChars="200"/>
        <w:rPr>
          <w:rFonts w:ascii="仿宋_GB2312" w:eastAsia="仿宋_GB2312"/>
        </w:rPr>
      </w:pPr>
      <w:r>
        <w:rPr>
          <w:rFonts w:hint="eastAsia" w:ascii="仿宋_GB2312" w:eastAsia="仿宋_GB2312"/>
        </w:rPr>
        <w:t>一、部门职责</w:t>
      </w:r>
    </w:p>
    <w:p>
      <w:pPr>
        <w:spacing w:line="580" w:lineRule="exact"/>
        <w:ind w:firstLine="632" w:firstLineChars="200"/>
        <w:rPr>
          <w:rFonts w:ascii="仿宋_GB2312" w:eastAsia="仿宋_GB2312"/>
        </w:rPr>
      </w:pPr>
      <w:r>
        <w:rPr>
          <w:rFonts w:hint="eastAsia" w:ascii="仿宋_GB2312" w:eastAsia="仿宋_GB2312"/>
        </w:rPr>
        <w:t>二、机构设置</w:t>
      </w:r>
    </w:p>
    <w:p>
      <w:pPr>
        <w:spacing w:line="580" w:lineRule="exact"/>
        <w:ind w:firstLine="316" w:firstLineChars="100"/>
        <w:rPr>
          <w:rFonts w:ascii="黑体" w:hAnsi="黑体" w:eastAsia="黑体"/>
        </w:rPr>
      </w:pPr>
      <w:r>
        <w:rPr>
          <w:rFonts w:hint="eastAsia" w:ascii="黑体" w:hAnsi="黑体" w:eastAsia="黑体"/>
        </w:rPr>
        <w:t>第二部分  2021年度部门决算表</w:t>
      </w:r>
    </w:p>
    <w:p>
      <w:pPr>
        <w:spacing w:line="580" w:lineRule="exact"/>
        <w:ind w:firstLine="632" w:firstLineChars="200"/>
        <w:rPr>
          <w:rFonts w:ascii="仿宋_GB2312" w:eastAsia="仿宋_GB2312"/>
        </w:rPr>
      </w:pPr>
      <w:r>
        <w:rPr>
          <w:rFonts w:hint="eastAsia" w:ascii="仿宋_GB2312" w:eastAsia="仿宋_GB2312"/>
        </w:rPr>
        <w:t>一、收入支出决算总表</w:t>
      </w:r>
    </w:p>
    <w:p>
      <w:pPr>
        <w:spacing w:line="580" w:lineRule="exact"/>
        <w:ind w:firstLine="632" w:firstLineChars="200"/>
        <w:rPr>
          <w:rFonts w:ascii="仿宋_GB2312" w:eastAsia="仿宋_GB2312"/>
        </w:rPr>
      </w:pPr>
      <w:r>
        <w:rPr>
          <w:rFonts w:hint="eastAsia" w:ascii="仿宋_GB2312" w:eastAsia="仿宋_GB2312"/>
        </w:rPr>
        <w:t>二、收入决算表</w:t>
      </w:r>
    </w:p>
    <w:p>
      <w:pPr>
        <w:spacing w:line="580" w:lineRule="exact"/>
        <w:ind w:firstLine="632" w:firstLineChars="200"/>
        <w:rPr>
          <w:rFonts w:ascii="仿宋_GB2312" w:eastAsia="仿宋_GB2312"/>
        </w:rPr>
      </w:pPr>
      <w:r>
        <w:rPr>
          <w:rFonts w:hint="eastAsia" w:ascii="仿宋_GB2312" w:eastAsia="仿宋_GB2312"/>
        </w:rPr>
        <w:t>三、支出决算表</w:t>
      </w:r>
    </w:p>
    <w:p>
      <w:pPr>
        <w:spacing w:line="580" w:lineRule="exact"/>
        <w:ind w:firstLine="632" w:firstLineChars="200"/>
        <w:rPr>
          <w:rFonts w:ascii="仿宋_GB2312" w:eastAsia="仿宋_GB2312"/>
        </w:rPr>
      </w:pPr>
      <w:r>
        <w:rPr>
          <w:rFonts w:hint="eastAsia" w:ascii="仿宋_GB2312" w:eastAsia="仿宋_GB2312"/>
        </w:rPr>
        <w:t>四、财政拨款收入支出决算总表</w:t>
      </w:r>
    </w:p>
    <w:p>
      <w:pPr>
        <w:spacing w:line="580" w:lineRule="exact"/>
        <w:ind w:firstLine="632" w:firstLineChars="200"/>
        <w:rPr>
          <w:rFonts w:ascii="仿宋_GB2312" w:eastAsia="仿宋_GB2312"/>
        </w:rPr>
      </w:pPr>
      <w:r>
        <w:rPr>
          <w:rFonts w:hint="eastAsia" w:ascii="仿宋_GB2312" w:eastAsia="仿宋_GB2312"/>
        </w:rPr>
        <w:t>五、一般公共预算财政拨款支出决算表</w:t>
      </w:r>
    </w:p>
    <w:p>
      <w:pPr>
        <w:spacing w:line="580" w:lineRule="exact"/>
        <w:ind w:firstLine="632" w:firstLineChars="200"/>
        <w:rPr>
          <w:rFonts w:ascii="仿宋_GB2312" w:eastAsia="仿宋_GB2312"/>
        </w:rPr>
      </w:pPr>
      <w:r>
        <w:rPr>
          <w:rFonts w:hint="eastAsia" w:ascii="仿宋_GB2312" w:eastAsia="仿宋_GB2312"/>
        </w:rPr>
        <w:t>六、一般公共预算财政拨款基本支出决算表</w:t>
      </w:r>
    </w:p>
    <w:p>
      <w:pPr>
        <w:spacing w:line="580" w:lineRule="exact"/>
        <w:ind w:firstLine="632" w:firstLineChars="200"/>
        <w:rPr>
          <w:rFonts w:ascii="仿宋_GB2312" w:eastAsia="仿宋_GB2312"/>
        </w:rPr>
      </w:pPr>
      <w:r>
        <w:rPr>
          <w:rFonts w:hint="eastAsia" w:ascii="仿宋_GB2312" w:eastAsia="仿宋_GB2312"/>
        </w:rPr>
        <w:t>七、一般公共预算财政拨款“三公”经费支出决算表</w:t>
      </w:r>
    </w:p>
    <w:p>
      <w:pPr>
        <w:spacing w:line="580" w:lineRule="exact"/>
        <w:ind w:firstLine="632" w:firstLineChars="200"/>
        <w:rPr>
          <w:rFonts w:ascii="仿宋_GB2312" w:eastAsia="仿宋_GB2312"/>
        </w:rPr>
      </w:pPr>
      <w:r>
        <w:rPr>
          <w:rFonts w:hint="eastAsia" w:ascii="仿宋_GB2312" w:eastAsia="仿宋_GB2312"/>
        </w:rPr>
        <w:t>八、政府性基金预算财政拨款收入支出决算表</w:t>
      </w:r>
    </w:p>
    <w:p>
      <w:pPr>
        <w:spacing w:line="580" w:lineRule="exact"/>
        <w:ind w:firstLine="632" w:firstLineChars="200"/>
        <w:rPr>
          <w:rFonts w:ascii="仿宋_GB2312" w:eastAsia="仿宋_GB2312"/>
        </w:rPr>
      </w:pPr>
      <w:r>
        <w:rPr>
          <w:rFonts w:hint="eastAsia" w:ascii="仿宋_GB2312" w:eastAsia="仿宋_GB2312"/>
        </w:rPr>
        <w:t>九、国有资本经营预算财政拨款支出决算表</w:t>
      </w:r>
    </w:p>
    <w:p>
      <w:pPr>
        <w:spacing w:line="580" w:lineRule="exact"/>
        <w:ind w:firstLine="316" w:firstLineChars="100"/>
        <w:rPr>
          <w:rFonts w:ascii="黑体" w:hAnsi="黑体" w:eastAsia="黑体"/>
        </w:rPr>
      </w:pPr>
      <w:r>
        <w:rPr>
          <w:rFonts w:hint="eastAsia" w:ascii="黑体" w:hAnsi="黑体" w:eastAsia="黑体"/>
        </w:rPr>
        <w:t>第三部分  2021年度部门决算情况说明</w:t>
      </w:r>
    </w:p>
    <w:p>
      <w:pPr>
        <w:spacing w:line="580" w:lineRule="exact"/>
        <w:ind w:firstLine="316" w:firstLineChars="100"/>
        <w:rPr>
          <w:rFonts w:ascii="黑体" w:hAnsi="黑体" w:eastAsia="黑体"/>
        </w:rPr>
      </w:pPr>
      <w:r>
        <w:rPr>
          <w:rFonts w:hint="eastAsia" w:ascii="黑体" w:hAnsi="黑体" w:eastAsia="黑体"/>
        </w:rPr>
        <w:t>第四部分  名词解释</w:t>
      </w:r>
    </w:p>
    <w:p>
      <w:pPr>
        <w:spacing w:line="580" w:lineRule="exact"/>
        <w:ind w:firstLine="316" w:firstLineChars="100"/>
        <w:rPr>
          <w:rFonts w:ascii="黑体" w:hAnsi="黑体" w:eastAsia="黑体"/>
        </w:rPr>
      </w:pPr>
      <w:r>
        <w:rPr>
          <w:rFonts w:hint="eastAsia" w:ascii="黑体" w:hAnsi="黑体" w:eastAsia="黑体"/>
        </w:rPr>
        <w:t>第五部分  附件</w:t>
      </w:r>
    </w:p>
    <w:p>
      <w:pPr>
        <w:spacing w:line="580" w:lineRule="exact"/>
        <w:ind w:firstLine="316" w:firstLineChars="100"/>
        <w:rPr>
          <w:rFonts w:ascii="黑体" w:hAnsi="黑体" w:eastAsia="黑体"/>
        </w:rPr>
      </w:pPr>
    </w:p>
    <w:p>
      <w:pPr>
        <w:spacing w:line="580" w:lineRule="exact"/>
        <w:ind w:firstLine="316" w:firstLineChars="100"/>
        <w:rPr>
          <w:rFonts w:ascii="黑体" w:hAnsi="黑体" w:eastAsia="黑体"/>
        </w:rPr>
      </w:pPr>
    </w:p>
    <w:p>
      <w:pP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p>
    <w:p>
      <w:pPr>
        <w:ind w:firstLine="536" w:firstLineChars="100"/>
        <w:rPr>
          <w:rFonts w:ascii="方正小标宋简体" w:eastAsia="方正小标宋简体"/>
          <w:spacing w:val="60"/>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第一部分</w:t>
      </w:r>
    </w:p>
    <w:p>
      <w:pPr>
        <w:jc w:val="center"/>
        <w:rPr>
          <w:rFonts w:ascii="方正小标宋简体" w:eastAsia="方正小标宋简体"/>
          <w:spacing w:val="60"/>
          <w:sz w:val="48"/>
        </w:rPr>
      </w:pPr>
    </w:p>
    <w:p>
      <w:pPr>
        <w:jc w:val="center"/>
        <w:rPr>
          <w:rFonts w:ascii="方正小标宋简体" w:eastAsia="方正小标宋简体"/>
          <w:spacing w:val="60"/>
          <w:sz w:val="48"/>
        </w:rPr>
      </w:pPr>
      <w:r>
        <w:rPr>
          <w:rFonts w:hint="eastAsia" w:ascii="方正小标宋简体" w:eastAsia="方正小标宋简体"/>
          <w:spacing w:val="60"/>
          <w:sz w:val="48"/>
        </w:rPr>
        <w:t>部门概况</w:t>
      </w:r>
    </w:p>
    <w:p>
      <w:pPr>
        <w:jc w:val="center"/>
        <w:rPr>
          <w:rFonts w:ascii="仿宋_GB2312" w:eastAsia="仿宋_GB2312"/>
        </w:rPr>
        <w:sectPr>
          <w:headerReference r:id="rId4" w:type="default"/>
          <w:footerReference r:id="rId5" w:type="default"/>
          <w:footerReference r:id="rId6" w:type="even"/>
          <w:pgSz w:w="11906" w:h="16838"/>
          <w:pgMar w:top="1701" w:right="1531" w:bottom="1701" w:left="1531" w:header="0" w:footer="1418" w:gutter="0"/>
          <w:cols w:space="720" w:num="1"/>
          <w:docGrid w:type="linesAndChars" w:linePitch="610" w:charSpace="-849"/>
        </w:sectPr>
      </w:pPr>
    </w:p>
    <w:p>
      <w:pPr>
        <w:spacing w:line="580" w:lineRule="exact"/>
        <w:ind w:firstLine="632" w:firstLineChars="200"/>
        <w:rPr>
          <w:rFonts w:ascii="黑体" w:hAnsi="黑体" w:eastAsia="黑体"/>
        </w:rPr>
      </w:pPr>
      <w:r>
        <w:rPr>
          <w:rFonts w:hint="eastAsia" w:ascii="黑体" w:hAnsi="黑体" w:eastAsia="黑体"/>
        </w:rPr>
        <w:t>一、部门职责</w:t>
      </w:r>
    </w:p>
    <w:p>
      <w:pPr>
        <w:spacing w:line="580" w:lineRule="exact"/>
        <w:ind w:firstLine="632" w:firstLineChars="200"/>
        <w:rPr>
          <w:rFonts w:ascii="仿宋_GB2312" w:eastAsia="仿宋_GB2312"/>
        </w:rPr>
      </w:pPr>
      <w:r>
        <w:rPr>
          <w:rFonts w:hint="eastAsia" w:ascii="仿宋_GB2312" w:eastAsia="仿宋_GB2312"/>
        </w:rPr>
        <w:t>青岛市司法局是市政府组</w:t>
      </w:r>
      <w:r>
        <w:rPr>
          <w:rFonts w:hint="eastAsia" w:ascii="仿宋_GB2312" w:eastAsia="仿宋_GB2312"/>
          <w:lang w:val="en-US" w:eastAsia="zh-CN"/>
        </w:rPr>
        <w:t>成</w:t>
      </w:r>
      <w:r>
        <w:rPr>
          <w:rFonts w:hint="eastAsia" w:ascii="仿宋_GB2312" w:eastAsia="仿宋_GB2312"/>
        </w:rPr>
        <w:t>部门，为一级预算单位，主要职能为：</w:t>
      </w:r>
    </w:p>
    <w:p>
      <w:pPr>
        <w:spacing w:line="580" w:lineRule="exact"/>
        <w:ind w:firstLine="632" w:firstLineChars="200"/>
        <w:rPr>
          <w:rFonts w:ascii="仿宋_GB2312" w:eastAsia="仿宋_GB2312"/>
        </w:rPr>
      </w:pPr>
      <w:r>
        <w:rPr>
          <w:rFonts w:hint="eastAsia" w:ascii="仿宋_GB2312" w:eastAsia="仿宋_GB2312"/>
        </w:rPr>
        <w:t>（一）承担市委依法治市委员会办公室的日常工作。统筹推进法治政府建设。</w:t>
      </w:r>
    </w:p>
    <w:p>
      <w:pPr>
        <w:spacing w:line="580" w:lineRule="exact"/>
        <w:ind w:firstLine="632" w:firstLineChars="200"/>
        <w:rPr>
          <w:rFonts w:ascii="仿宋_GB2312" w:eastAsia="仿宋_GB2312"/>
        </w:rPr>
      </w:pPr>
      <w:r>
        <w:rPr>
          <w:rFonts w:hint="eastAsia" w:ascii="仿宋_GB2312" w:eastAsia="仿宋_GB2312"/>
        </w:rPr>
        <w:t>（二）向社会征集地方立法建议，编制行政立法规划和计划。起草或者组织起草、审查地方性法规草案、政府规章草案，负责立法协调工作。承办市政府规章的立法解释工作。</w:t>
      </w:r>
    </w:p>
    <w:p>
      <w:pPr>
        <w:spacing w:line="580" w:lineRule="exact"/>
        <w:ind w:firstLine="632" w:firstLineChars="200"/>
        <w:rPr>
          <w:rFonts w:ascii="仿宋_GB2312" w:eastAsia="仿宋_GB2312"/>
        </w:rPr>
      </w:pPr>
      <w:r>
        <w:rPr>
          <w:rFonts w:hint="eastAsia" w:ascii="仿宋_GB2312" w:eastAsia="仿宋_GB2312"/>
        </w:rPr>
        <w:t>（三）负责区（市）政府、市政府部门规范性文件备案审查工作。</w:t>
      </w:r>
    </w:p>
    <w:p>
      <w:pPr>
        <w:spacing w:line="580" w:lineRule="exact"/>
        <w:ind w:firstLine="632" w:firstLineChars="200"/>
        <w:rPr>
          <w:rFonts w:ascii="仿宋_GB2312" w:eastAsia="仿宋_GB2312"/>
        </w:rPr>
      </w:pPr>
      <w:r>
        <w:rPr>
          <w:rFonts w:hint="eastAsia" w:ascii="仿宋_GB2312" w:eastAsia="仿宋_GB2312"/>
        </w:rPr>
        <w:t>（四）负责市政府文件和重大行政决策合法性审查工作。</w:t>
      </w:r>
    </w:p>
    <w:p>
      <w:pPr>
        <w:spacing w:line="580" w:lineRule="exact"/>
        <w:ind w:firstLine="632" w:firstLineChars="200"/>
        <w:rPr>
          <w:rFonts w:ascii="仿宋_GB2312" w:eastAsia="仿宋_GB2312"/>
        </w:rPr>
      </w:pPr>
      <w:r>
        <w:rPr>
          <w:rFonts w:hint="eastAsia" w:ascii="仿宋_GB2312" w:eastAsia="仿宋_GB2312"/>
        </w:rPr>
        <w:t>（五）承担市政府法律顾问工作。</w:t>
      </w:r>
    </w:p>
    <w:p>
      <w:pPr>
        <w:spacing w:line="580" w:lineRule="exact"/>
        <w:ind w:firstLine="632" w:firstLineChars="200"/>
        <w:rPr>
          <w:rFonts w:ascii="仿宋_GB2312" w:eastAsia="仿宋_GB2312"/>
        </w:rPr>
      </w:pPr>
      <w:r>
        <w:rPr>
          <w:rFonts w:hint="eastAsia" w:ascii="仿宋_GB2312" w:eastAsia="仿宋_GB2312"/>
        </w:rPr>
        <w:t>（六）负责市政府行政复议、行政应诉工作。指导监督全市行政复议、行政赔偿、行政应诉、行政裁决工作。</w:t>
      </w:r>
    </w:p>
    <w:p>
      <w:pPr>
        <w:spacing w:line="580" w:lineRule="exact"/>
        <w:ind w:firstLine="632" w:firstLineChars="200"/>
        <w:rPr>
          <w:rFonts w:ascii="仿宋_GB2312" w:eastAsia="仿宋_GB2312"/>
        </w:rPr>
      </w:pPr>
      <w:r>
        <w:rPr>
          <w:rFonts w:hint="eastAsia" w:ascii="仿宋_GB2312" w:eastAsia="仿宋_GB2312"/>
        </w:rPr>
        <w:t>（七）负责行政执法监督工作。</w:t>
      </w:r>
    </w:p>
    <w:p>
      <w:pPr>
        <w:spacing w:line="580" w:lineRule="exact"/>
        <w:ind w:firstLine="632" w:firstLineChars="200"/>
        <w:rPr>
          <w:rFonts w:ascii="仿宋_GB2312" w:eastAsia="仿宋_GB2312"/>
        </w:rPr>
      </w:pPr>
      <w:r>
        <w:rPr>
          <w:rFonts w:hint="eastAsia" w:ascii="仿宋_GB2312" w:eastAsia="仿宋_GB2312"/>
        </w:rPr>
        <w:t>（八）承担统筹规划全市法治社会建设的具体工作。组织普法宣传，推动人民参与和促进法治建设。指导人民调解、行政调解和行业性专业性调解工作。指导人民陪审员选任工作，负责人民监督员选任工作。指导、监督司法所、社区司法行政工作室建设和基层法律服务、安置帮教工作。</w:t>
      </w:r>
    </w:p>
    <w:p>
      <w:pPr>
        <w:spacing w:line="580" w:lineRule="exact"/>
        <w:ind w:firstLine="632" w:firstLineChars="200"/>
        <w:rPr>
          <w:rFonts w:ascii="仿宋_GB2312" w:eastAsia="仿宋_GB2312"/>
        </w:rPr>
      </w:pPr>
      <w:r>
        <w:rPr>
          <w:rFonts w:hint="eastAsia" w:ascii="仿宋_GB2312" w:eastAsia="仿宋_GB2312"/>
        </w:rPr>
        <w:t>（九）负责全市公共法律服务体系建设，指导、监督律师、法律援助、司法鉴定、公证工作。</w:t>
      </w:r>
    </w:p>
    <w:p>
      <w:pPr>
        <w:spacing w:line="580" w:lineRule="exact"/>
        <w:ind w:firstLine="632" w:firstLineChars="200"/>
        <w:rPr>
          <w:rFonts w:ascii="仿宋_GB2312" w:eastAsia="仿宋_GB2312"/>
        </w:rPr>
      </w:pPr>
      <w:r>
        <w:rPr>
          <w:rFonts w:hint="eastAsia" w:ascii="仿宋_GB2312" w:eastAsia="仿宋_GB2312"/>
        </w:rPr>
        <w:t>（十）负责全市国家统一法律职业资格考试的组织实施工作。负责法律职业人员入职前培训工作。</w:t>
      </w:r>
    </w:p>
    <w:p>
      <w:pPr>
        <w:spacing w:line="580" w:lineRule="exact"/>
        <w:ind w:firstLine="632" w:firstLineChars="200"/>
        <w:rPr>
          <w:rFonts w:ascii="仿宋_GB2312" w:eastAsia="仿宋_GB2312"/>
        </w:rPr>
      </w:pPr>
      <w:r>
        <w:rPr>
          <w:rFonts w:hint="eastAsia" w:ascii="仿宋_GB2312" w:eastAsia="仿宋_GB2312"/>
        </w:rPr>
        <w:t>（十一）负责全市监狱管理工作。</w:t>
      </w:r>
    </w:p>
    <w:p>
      <w:pPr>
        <w:spacing w:line="580" w:lineRule="exact"/>
        <w:ind w:firstLine="632" w:firstLineChars="200"/>
        <w:rPr>
          <w:rFonts w:ascii="仿宋_GB2312" w:eastAsia="仿宋_GB2312"/>
        </w:rPr>
      </w:pPr>
      <w:r>
        <w:rPr>
          <w:rFonts w:hint="eastAsia" w:ascii="仿宋_GB2312" w:eastAsia="仿宋_GB2312"/>
        </w:rPr>
        <w:t>（十二）负责并指导监督全市社区矫正工作。</w:t>
      </w:r>
    </w:p>
    <w:p>
      <w:pPr>
        <w:spacing w:line="580" w:lineRule="exact"/>
        <w:ind w:firstLine="632" w:firstLineChars="200"/>
        <w:rPr>
          <w:rFonts w:ascii="仿宋_GB2312" w:eastAsia="仿宋_GB2312"/>
        </w:rPr>
      </w:pPr>
      <w:r>
        <w:rPr>
          <w:rFonts w:hint="eastAsia" w:ascii="仿宋_GB2312" w:eastAsia="仿宋_GB2312"/>
        </w:rPr>
        <w:t>（十三）负责全市司法行政系统强制隔离戒毒管理工作。</w:t>
      </w:r>
    </w:p>
    <w:p>
      <w:pPr>
        <w:spacing w:line="580" w:lineRule="exact"/>
        <w:ind w:firstLine="632" w:firstLineChars="200"/>
        <w:rPr>
          <w:rFonts w:ascii="仿宋_GB2312" w:eastAsia="仿宋_GB2312"/>
        </w:rPr>
      </w:pPr>
      <w:r>
        <w:rPr>
          <w:rFonts w:hint="eastAsia" w:ascii="仿宋_GB2312" w:eastAsia="仿宋_GB2312"/>
        </w:rPr>
        <w:t>（十四）负责规划、协调、指导全市法治人才队伍建设工作，推进招才引智相关工作。</w:t>
      </w:r>
    </w:p>
    <w:p>
      <w:pPr>
        <w:spacing w:line="580" w:lineRule="exact"/>
        <w:ind w:firstLine="632" w:firstLineChars="200"/>
        <w:rPr>
          <w:rFonts w:ascii="仿宋_GB2312" w:eastAsia="仿宋_GB2312"/>
        </w:rPr>
      </w:pPr>
      <w:r>
        <w:rPr>
          <w:rFonts w:hint="eastAsia" w:ascii="仿宋_GB2312" w:eastAsia="仿宋_GB2312"/>
        </w:rPr>
        <w:t>（十五）完成市委、市政府交办的其他任务。</w:t>
      </w:r>
    </w:p>
    <w:p>
      <w:pPr>
        <w:spacing w:line="580" w:lineRule="exact"/>
        <w:ind w:firstLine="632" w:firstLineChars="200"/>
        <w:rPr>
          <w:rFonts w:ascii="黑体" w:hAnsi="黑体" w:eastAsia="黑体"/>
        </w:rPr>
      </w:pPr>
      <w:r>
        <w:rPr>
          <w:rFonts w:hint="eastAsia" w:ascii="黑体" w:hAnsi="黑体" w:eastAsia="黑体"/>
        </w:rPr>
        <w:t>二、机构设置</w:t>
      </w:r>
    </w:p>
    <w:p>
      <w:pPr>
        <w:snapToGrid w:val="0"/>
        <w:spacing w:line="560" w:lineRule="exact"/>
        <w:ind w:firstLine="632" w:firstLineChars="200"/>
        <w:rPr>
          <w:rFonts w:ascii="仿宋_GB2312" w:eastAsia="仿宋_GB2312" w:cs="Courier New"/>
          <w:szCs w:val="32"/>
        </w:rPr>
      </w:pPr>
      <w:r>
        <w:rPr>
          <w:rFonts w:hint="eastAsia" w:ascii="仿宋_GB2312" w:hAnsi="宋体" w:eastAsia="仿宋_GB2312" w:cs="Courier New"/>
          <w:szCs w:val="32"/>
        </w:rPr>
        <w:t>从决算单位构成看，青岛市司法局部门决算包括：局本级决算、局属行政单位决算、局属事业单位决算。</w:t>
      </w:r>
    </w:p>
    <w:p>
      <w:pPr>
        <w:spacing w:line="560" w:lineRule="exact"/>
        <w:ind w:firstLine="632" w:firstLineChars="200"/>
        <w:rPr>
          <w:rFonts w:ascii="仿宋_GB2312" w:hAnsi="宋体" w:eastAsia="仿宋_GB2312" w:cs="Courier New"/>
          <w:szCs w:val="32"/>
        </w:rPr>
      </w:pPr>
      <w:r>
        <w:rPr>
          <w:rFonts w:hint="eastAsia" w:ascii="仿宋_GB2312" w:hAnsi="宋体" w:eastAsia="仿宋_GB2312" w:cs="Courier New"/>
          <w:szCs w:val="32"/>
        </w:rPr>
        <w:t>纳入青岛市司法局2021年度部门决算汇编范围的单位共6个，包括：</w:t>
      </w:r>
    </w:p>
    <w:p>
      <w:pPr>
        <w:spacing w:line="580" w:lineRule="exact"/>
        <w:ind w:firstLine="474" w:firstLineChars="150"/>
        <w:rPr>
          <w:rFonts w:ascii="仿宋_GB2312" w:hAnsi="宋体" w:eastAsia="仿宋_GB2312" w:cs="Courier New"/>
          <w:szCs w:val="32"/>
        </w:rPr>
      </w:pPr>
      <w:r>
        <w:rPr>
          <w:rFonts w:hint="eastAsia" w:ascii="仿宋_GB2312" w:hAnsi="宋体" w:eastAsia="仿宋_GB2312" w:cs="Courier New"/>
          <w:szCs w:val="32"/>
        </w:rPr>
        <w:t>1.青岛市司法局本级</w:t>
      </w:r>
    </w:p>
    <w:p>
      <w:pPr>
        <w:spacing w:line="580" w:lineRule="exact"/>
        <w:ind w:firstLine="474" w:firstLineChars="150"/>
        <w:rPr>
          <w:rFonts w:ascii="仿宋_GB2312" w:hAnsi="宋体" w:eastAsia="仿宋_GB2312" w:cs="Courier New"/>
          <w:szCs w:val="32"/>
        </w:rPr>
      </w:pPr>
      <w:r>
        <w:rPr>
          <w:rFonts w:hint="eastAsia" w:ascii="仿宋_GB2312" w:hAnsi="宋体" w:eastAsia="仿宋_GB2312" w:cs="Courier New"/>
          <w:szCs w:val="32"/>
        </w:rPr>
        <w:t>2.青岛监狱</w:t>
      </w:r>
    </w:p>
    <w:p>
      <w:pPr>
        <w:spacing w:line="580" w:lineRule="exact"/>
        <w:ind w:firstLine="474" w:firstLineChars="150"/>
        <w:rPr>
          <w:rFonts w:ascii="仿宋_GB2312" w:hAnsi="宋体" w:eastAsia="仿宋_GB2312" w:cs="Courier New"/>
          <w:szCs w:val="32"/>
        </w:rPr>
      </w:pPr>
      <w:r>
        <w:rPr>
          <w:rFonts w:hint="eastAsia" w:ascii="仿宋_GB2312" w:hAnsi="宋体" w:eastAsia="仿宋_GB2312" w:cs="Courier New"/>
          <w:szCs w:val="32"/>
        </w:rPr>
        <w:t>3.北墅监狱</w:t>
      </w:r>
    </w:p>
    <w:p>
      <w:pPr>
        <w:spacing w:line="580" w:lineRule="exact"/>
        <w:ind w:firstLine="474" w:firstLineChars="150"/>
        <w:rPr>
          <w:rFonts w:ascii="仿宋_GB2312" w:hAnsi="宋体" w:eastAsia="仿宋_GB2312" w:cs="Courier New"/>
          <w:szCs w:val="32"/>
        </w:rPr>
      </w:pPr>
      <w:r>
        <w:rPr>
          <w:rFonts w:hint="eastAsia" w:ascii="仿宋_GB2312" w:hAnsi="宋体" w:eastAsia="仿宋_GB2312" w:cs="Courier New"/>
          <w:szCs w:val="32"/>
        </w:rPr>
        <w:t>4.青岛市强制隔离戒毒所</w:t>
      </w:r>
    </w:p>
    <w:p>
      <w:pPr>
        <w:spacing w:line="580" w:lineRule="exact"/>
        <w:ind w:firstLine="474" w:firstLineChars="150"/>
        <w:rPr>
          <w:rFonts w:ascii="仿宋_GB2312" w:hAnsi="宋体" w:eastAsia="仿宋_GB2312" w:cs="Courier New"/>
          <w:szCs w:val="32"/>
        </w:rPr>
      </w:pPr>
      <w:r>
        <w:rPr>
          <w:rFonts w:hint="eastAsia" w:ascii="仿宋_GB2312" w:hAnsi="宋体" w:eastAsia="仿宋_GB2312" w:cs="Courier New"/>
          <w:szCs w:val="32"/>
        </w:rPr>
        <w:t>5.青岛市法律援助中心</w:t>
      </w:r>
    </w:p>
    <w:p>
      <w:pPr>
        <w:spacing w:line="580" w:lineRule="exact"/>
        <w:ind w:firstLine="474" w:firstLineChars="150"/>
        <w:rPr>
          <w:rFonts w:ascii="仿宋_GB2312" w:hAnsi="宋体" w:eastAsia="仿宋_GB2312" w:cs="Courier New"/>
          <w:szCs w:val="32"/>
        </w:rPr>
      </w:pPr>
      <w:r>
        <w:rPr>
          <w:rFonts w:hint="eastAsia" w:ascii="仿宋_GB2312" w:hAnsi="宋体" w:eastAsia="仿宋_GB2312" w:cs="Courier New"/>
          <w:szCs w:val="32"/>
        </w:rPr>
        <w:t>6.青岛市政府法治研究中心</w:t>
      </w:r>
    </w:p>
    <w:p>
      <w:pPr>
        <w:jc w:val="center"/>
        <w:rPr>
          <w:rFonts w:ascii="方正小标宋简体" w:eastAsia="方正小标宋简体"/>
          <w:sz w:val="42"/>
        </w:rPr>
      </w:pPr>
    </w:p>
    <w:p>
      <w:pPr>
        <w:jc w:val="center"/>
        <w:rPr>
          <w:rFonts w:ascii="方正小标宋简体" w:eastAsia="方正小标宋简体"/>
          <w:sz w:val="42"/>
        </w:rPr>
      </w:pPr>
    </w:p>
    <w:p>
      <w:pPr>
        <w:jc w:val="center"/>
        <w:rPr>
          <w:rFonts w:ascii="方正小标宋简体" w:eastAsia="方正小标宋简体"/>
          <w:sz w:val="42"/>
        </w:rPr>
      </w:pP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第二部分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r>
        <w:rPr>
          <w:rFonts w:hint="eastAsia" w:ascii="方正小标宋简体" w:eastAsia="方正小标宋简体"/>
          <w:spacing w:val="60"/>
          <w:sz w:val="48"/>
        </w:rPr>
        <w:t>2021年度部门决算表</w:t>
      </w:r>
    </w:p>
    <w:p>
      <w:pPr>
        <w:spacing w:line="520" w:lineRule="exact"/>
        <w:rPr>
          <w:rFonts w:ascii="仿宋_GB2312" w:eastAsia="仿宋_GB2312"/>
          <w:b/>
          <w:sz w:val="28"/>
          <w:szCs w:val="28"/>
          <w:highlight w:val="yellow"/>
        </w:rPr>
      </w:pPr>
    </w:p>
    <w:p>
      <w:pPr>
        <w:jc w:val="center"/>
        <w:rPr>
          <w:rFonts w:ascii="方正小标宋简体" w:eastAsia="方正小标宋简体"/>
          <w:spacing w:val="60"/>
          <w:sz w:val="42"/>
          <w:highlight w:val="lightGray"/>
        </w:rPr>
        <w:sectPr>
          <w:pgSz w:w="11906" w:h="16838"/>
          <w:pgMar w:top="1701" w:right="1531" w:bottom="1701" w:left="153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收入支出决算总表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公开01表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部门：青岛市司法局                                金额单位：万元</w:t>
      </w:r>
    </w:p>
    <w:tbl>
      <w:tblPr>
        <w:tblStyle w:val="15"/>
        <w:tblW w:w="90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27"/>
        <w:gridCol w:w="685"/>
        <w:gridCol w:w="935"/>
        <w:gridCol w:w="2595"/>
        <w:gridCol w:w="855"/>
        <w:gridCol w:w="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464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收 入</w:t>
            </w:r>
          </w:p>
        </w:tc>
        <w:tc>
          <w:tcPr>
            <w:tcW w:w="4408"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9" w:hRule="exact"/>
        </w:trPr>
        <w:tc>
          <w:tcPr>
            <w:tcW w:w="3027"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项  目</w:t>
            </w: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行次</w:t>
            </w:r>
          </w:p>
        </w:tc>
        <w:tc>
          <w:tcPr>
            <w:tcW w:w="93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金额</w:t>
            </w:r>
          </w:p>
        </w:tc>
        <w:tc>
          <w:tcPr>
            <w:tcW w:w="259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项  目</w:t>
            </w:r>
          </w:p>
        </w:tc>
        <w:tc>
          <w:tcPr>
            <w:tcW w:w="855"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行次</w:t>
            </w:r>
          </w:p>
        </w:tc>
        <w:tc>
          <w:tcPr>
            <w:tcW w:w="958"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栏  次</w:t>
            </w: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93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259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栏  次</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958"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一、一般公共预算财政拨款收入</w:t>
            </w: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1</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81950.46</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一、一般公共服务支出</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31</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189.49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二、政府性基金预算财政拨款收入</w:t>
            </w: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2</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二、外交支出</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32</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三、国有资本经营预算财政拨款收入</w:t>
            </w: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3</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三、国防支出</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33</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2"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四、上级补助收入</w:t>
            </w: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4</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四、公共安全支出</w:t>
            </w:r>
          </w:p>
        </w:tc>
        <w:tc>
          <w:tcPr>
            <w:tcW w:w="855"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34</w:t>
            </w:r>
          </w:p>
        </w:tc>
        <w:tc>
          <w:tcPr>
            <w:tcW w:w="958" w:type="dxa"/>
            <w:tcBorders>
              <w:top w:val="nil"/>
              <w:left w:val="single" w:color="auto" w:sz="4" w:space="0"/>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76381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五、事业收入</w:t>
            </w: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5</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五、教育支出</w:t>
            </w:r>
          </w:p>
        </w:tc>
        <w:tc>
          <w:tcPr>
            <w:tcW w:w="855"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35</w:t>
            </w:r>
          </w:p>
        </w:tc>
        <w:tc>
          <w:tcPr>
            <w:tcW w:w="958" w:type="dxa"/>
            <w:tcBorders>
              <w:top w:val="nil"/>
              <w:left w:val="single" w:color="auto" w:sz="4" w:space="0"/>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六、经营收入</w:t>
            </w: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6</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六、科学技术支出</w:t>
            </w:r>
          </w:p>
        </w:tc>
        <w:tc>
          <w:tcPr>
            <w:tcW w:w="855"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36</w:t>
            </w:r>
          </w:p>
        </w:tc>
        <w:tc>
          <w:tcPr>
            <w:tcW w:w="958" w:type="dxa"/>
            <w:tcBorders>
              <w:top w:val="nil"/>
              <w:left w:val="single" w:color="auto" w:sz="4" w:space="0"/>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七、附属单位上缴收入</w:t>
            </w: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7</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七、文化旅游体育与传媒支出</w:t>
            </w:r>
          </w:p>
        </w:tc>
        <w:tc>
          <w:tcPr>
            <w:tcW w:w="855"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37</w:t>
            </w:r>
          </w:p>
        </w:tc>
        <w:tc>
          <w:tcPr>
            <w:tcW w:w="958" w:type="dxa"/>
            <w:tcBorders>
              <w:top w:val="nil"/>
              <w:left w:val="single" w:color="auto" w:sz="4" w:space="0"/>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478.06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八、其他收入</w:t>
            </w: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8</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3539.14</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八、社会保障和就业支出</w:t>
            </w:r>
          </w:p>
        </w:tc>
        <w:tc>
          <w:tcPr>
            <w:tcW w:w="855"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38</w:t>
            </w:r>
          </w:p>
        </w:tc>
        <w:tc>
          <w:tcPr>
            <w:tcW w:w="958" w:type="dxa"/>
            <w:tcBorders>
              <w:top w:val="nil"/>
              <w:left w:val="single" w:color="auto" w:sz="4" w:space="0"/>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4902.15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9</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九、卫生健康支出</w:t>
            </w:r>
          </w:p>
        </w:tc>
        <w:tc>
          <w:tcPr>
            <w:tcW w:w="855"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39</w:t>
            </w:r>
          </w:p>
        </w:tc>
        <w:tc>
          <w:tcPr>
            <w:tcW w:w="958" w:type="dxa"/>
            <w:tcBorders>
              <w:top w:val="nil"/>
              <w:left w:val="single" w:color="auto" w:sz="4" w:space="0"/>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10</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十、节能环保支出</w:t>
            </w:r>
          </w:p>
        </w:tc>
        <w:tc>
          <w:tcPr>
            <w:tcW w:w="855"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40</w:t>
            </w:r>
          </w:p>
        </w:tc>
        <w:tc>
          <w:tcPr>
            <w:tcW w:w="958" w:type="dxa"/>
            <w:tcBorders>
              <w:top w:val="nil"/>
              <w:left w:val="single" w:color="auto" w:sz="4" w:space="0"/>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11</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十一、城乡社区支出</w:t>
            </w:r>
          </w:p>
        </w:tc>
        <w:tc>
          <w:tcPr>
            <w:tcW w:w="855"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41</w:t>
            </w:r>
          </w:p>
        </w:tc>
        <w:tc>
          <w:tcPr>
            <w:tcW w:w="958" w:type="dxa"/>
            <w:tcBorders>
              <w:top w:val="nil"/>
              <w:left w:val="single" w:color="auto" w:sz="4" w:space="0"/>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12</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十二、农林水支出</w:t>
            </w:r>
          </w:p>
        </w:tc>
        <w:tc>
          <w:tcPr>
            <w:tcW w:w="855"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42</w:t>
            </w:r>
          </w:p>
        </w:tc>
        <w:tc>
          <w:tcPr>
            <w:tcW w:w="958" w:type="dxa"/>
            <w:tcBorders>
              <w:top w:val="nil"/>
              <w:left w:val="single" w:color="auto" w:sz="4" w:space="0"/>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13</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十三、交通运输支出</w:t>
            </w:r>
          </w:p>
        </w:tc>
        <w:tc>
          <w:tcPr>
            <w:tcW w:w="855"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43</w:t>
            </w:r>
          </w:p>
        </w:tc>
        <w:tc>
          <w:tcPr>
            <w:tcW w:w="958" w:type="dxa"/>
            <w:tcBorders>
              <w:top w:val="nil"/>
              <w:left w:val="single" w:color="auto" w:sz="4" w:space="0"/>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14</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十四、资源勘探工业信息等支出</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44</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15</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十五、商业服务业等支出</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45</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16</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十六、金融支出</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46</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17</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十七、援助其他地区支出</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47</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18</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十八、自然资源海洋气象等支出</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48</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19</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十九、住房保障支出</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49</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2985.4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20</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二十、粮油物资储备支出</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50</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21</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二十一、国有资本经营预算支出</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51</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22</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二十二、灾害防治及应急管理支出</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52</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23</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二十三、其他支出</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53</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60.48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ascii="仿宋_GB2312" w:eastAsia="仿宋_GB2312"/>
                <w:sz w:val="18"/>
                <w:szCs w:val="18"/>
              </w:rPr>
              <w:t>24</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二十四、债务还本支出</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54</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二十五、债务付息支出</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55</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二十六、抗疫特别国债安排的支出</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56</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b/>
                <w:bCs/>
                <w:sz w:val="18"/>
                <w:szCs w:val="18"/>
              </w:rPr>
              <w:t>本年收入合计</w:t>
            </w: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b/>
                <w:bCs/>
                <w:kern w:val="0"/>
                <w:sz w:val="18"/>
                <w:szCs w:val="18"/>
              </w:rPr>
              <w:t>85489.6</w:t>
            </w:r>
          </w:p>
        </w:tc>
        <w:tc>
          <w:tcPr>
            <w:tcW w:w="259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b/>
                <w:bCs/>
                <w:sz w:val="18"/>
                <w:szCs w:val="18"/>
              </w:rPr>
              <w:t>本年支出合计</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57</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b/>
                <w:bCs/>
                <w:kern w:val="0"/>
                <w:sz w:val="18"/>
                <w:szCs w:val="18"/>
              </w:rPr>
            </w:pPr>
            <w:r>
              <w:rPr>
                <w:rFonts w:hint="eastAsia" w:ascii="仿宋_GB2312" w:hAnsi="Arial" w:eastAsia="仿宋_GB2312" w:cs="仿宋_GB2312"/>
                <w:b/>
                <w:bCs/>
                <w:kern w:val="0"/>
                <w:sz w:val="18"/>
                <w:szCs w:val="18"/>
              </w:rPr>
              <w:t>85046.59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b/>
                <w:bCs/>
                <w:sz w:val="18"/>
                <w:szCs w:val="18"/>
              </w:rPr>
            </w:pPr>
            <w:r>
              <w:rPr>
                <w:rFonts w:hint="eastAsia" w:ascii="仿宋_GB2312" w:eastAsia="仿宋_GB2312"/>
                <w:sz w:val="18"/>
                <w:szCs w:val="18"/>
              </w:rPr>
              <w:t>使用非财政拨款结余</w:t>
            </w: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结余分配</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58</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年初结转和结余</w:t>
            </w: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309.66</w:t>
            </w:r>
          </w:p>
        </w:tc>
        <w:tc>
          <w:tcPr>
            <w:tcW w:w="2595" w:type="dxa"/>
            <w:tcBorders>
              <w:top w:val="nil"/>
              <w:left w:val="nil"/>
              <w:bottom w:val="single" w:color="auto" w:sz="4" w:space="0"/>
              <w:right w:val="single" w:color="auto" w:sz="4" w:space="0"/>
            </w:tcBorders>
            <w:vAlign w:val="center"/>
          </w:tcPr>
          <w:p>
            <w:pPr>
              <w:spacing w:line="240" w:lineRule="exact"/>
              <w:rPr>
                <w:rFonts w:ascii="仿宋_GB2312" w:eastAsia="仿宋_GB2312"/>
                <w:sz w:val="18"/>
                <w:szCs w:val="18"/>
              </w:rPr>
            </w:pPr>
            <w:r>
              <w:rPr>
                <w:rFonts w:hint="eastAsia" w:ascii="仿宋_GB2312" w:eastAsia="仿宋_GB2312"/>
                <w:sz w:val="18"/>
                <w:szCs w:val="18"/>
              </w:rPr>
              <w:t>年末结转和结余</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59</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kern w:val="0"/>
                <w:sz w:val="18"/>
                <w:szCs w:val="18"/>
              </w:rPr>
              <w:t>752.68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exact"/>
        </w:trPr>
        <w:tc>
          <w:tcPr>
            <w:tcW w:w="3027"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b/>
                <w:bCs/>
                <w:sz w:val="18"/>
                <w:szCs w:val="18"/>
              </w:rPr>
              <w:t>总计</w:t>
            </w:r>
          </w:p>
        </w:tc>
        <w:tc>
          <w:tcPr>
            <w:tcW w:w="685"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935"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b/>
                <w:bCs/>
                <w:kern w:val="0"/>
                <w:sz w:val="18"/>
                <w:szCs w:val="18"/>
              </w:rPr>
            </w:pPr>
            <w:r>
              <w:rPr>
                <w:rFonts w:hint="eastAsia" w:ascii="仿宋_GB2312" w:hAnsi="Arial" w:eastAsia="仿宋_GB2312" w:cs="仿宋_GB2312"/>
                <w:b/>
                <w:bCs/>
                <w:kern w:val="0"/>
                <w:sz w:val="18"/>
                <w:szCs w:val="18"/>
              </w:rPr>
              <w:t>85799.26</w:t>
            </w:r>
          </w:p>
        </w:tc>
        <w:tc>
          <w:tcPr>
            <w:tcW w:w="259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b/>
                <w:bCs/>
                <w:sz w:val="18"/>
                <w:szCs w:val="18"/>
              </w:rPr>
              <w:t>总计</w:t>
            </w:r>
          </w:p>
        </w:tc>
        <w:tc>
          <w:tcPr>
            <w:tcW w:w="855"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60</w:t>
            </w:r>
          </w:p>
        </w:tc>
        <w:tc>
          <w:tcPr>
            <w:tcW w:w="958" w:type="dxa"/>
            <w:tcBorders>
              <w:top w:val="nil"/>
              <w:left w:val="nil"/>
              <w:bottom w:val="single" w:color="auto" w:sz="4" w:space="0"/>
              <w:right w:val="single" w:color="auto" w:sz="4" w:space="0"/>
            </w:tcBorders>
            <w:vAlign w:val="center"/>
          </w:tcPr>
          <w:p>
            <w:pPr>
              <w:spacing w:line="240" w:lineRule="exact"/>
              <w:rPr>
                <w:rFonts w:ascii="仿宋_GB2312" w:hAnsi="Arial" w:eastAsia="仿宋_GB2312" w:cs="仿宋_GB2312"/>
                <w:kern w:val="0"/>
                <w:sz w:val="18"/>
                <w:szCs w:val="18"/>
              </w:rPr>
            </w:pPr>
            <w:r>
              <w:rPr>
                <w:rFonts w:hint="eastAsia" w:ascii="仿宋_GB2312" w:hAnsi="Arial" w:eastAsia="仿宋_GB2312" w:cs="仿宋_GB2312"/>
                <w:b/>
                <w:bCs/>
                <w:kern w:val="0"/>
                <w:sz w:val="18"/>
                <w:szCs w:val="18"/>
              </w:rPr>
              <w:t>85799.26</w:t>
            </w:r>
          </w:p>
        </w:tc>
      </w:tr>
    </w:tbl>
    <w:p>
      <w:pPr>
        <w:rPr>
          <w:rFonts w:ascii="仿宋_GB2312" w:hAnsi="宋体" w:eastAsia="仿宋_GB2312"/>
          <w:sz w:val="18"/>
          <w:szCs w:val="18"/>
        </w:rPr>
      </w:pPr>
      <w:r>
        <w:rPr>
          <w:rFonts w:hint="eastAsia" w:ascii="仿宋_GB2312" w:hAnsi="宋体" w:eastAsia="仿宋_GB2312"/>
          <w:sz w:val="18"/>
          <w:szCs w:val="18"/>
        </w:rPr>
        <w:t>注：1.本表反映部门本年度的总收支和年末结转结余情况。2.本套报表金额单位转换时可能存在尾数误差。</w:t>
      </w:r>
    </w:p>
    <w:p>
      <w:pPr>
        <w:rPr>
          <w:rFonts w:ascii="仿宋_GB2312" w:hAnsi="宋体" w:eastAsia="仿宋_GB2312"/>
          <w:sz w:val="18"/>
          <w:szCs w:val="18"/>
        </w:rPr>
        <w:sectPr>
          <w:pgSz w:w="11906" w:h="16838"/>
          <w:pgMar w:top="1701" w:right="1531" w:bottom="1701" w:left="153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收入决算表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公开02表 </w:t>
      </w:r>
    </w:p>
    <w:p>
      <w:pPr>
        <w:tabs>
          <w:tab w:val="left" w:pos="13467"/>
        </w:tabs>
        <w:wordWrap w:val="0"/>
        <w:spacing w:line="400" w:lineRule="exact"/>
        <w:ind w:right="107"/>
        <w:jc w:val="right"/>
        <w:rPr>
          <w:rFonts w:ascii="楷体_GB2312" w:eastAsia="楷体_GB2312"/>
          <w:sz w:val="28"/>
          <w:szCs w:val="28"/>
        </w:rPr>
      </w:pPr>
      <w:r>
        <w:rPr>
          <w:rFonts w:hint="eastAsia" w:ascii="楷体_GB2312" w:eastAsia="楷体_GB2312"/>
          <w:sz w:val="28"/>
          <w:szCs w:val="28"/>
        </w:rPr>
        <w:t xml:space="preserve">部门：青岛市司法局                                               </w:t>
      </w:r>
      <w:r>
        <w:rPr>
          <w:rFonts w:ascii="楷体_GB2312" w:eastAsia="楷体_GB2312"/>
          <w:sz w:val="28"/>
          <w:szCs w:val="28"/>
        </w:rPr>
        <w:t xml:space="preserve">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金额单位：万元</w:t>
      </w:r>
    </w:p>
    <w:tbl>
      <w:tblPr>
        <w:tblStyle w:val="15"/>
        <w:tblW w:w="1398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27"/>
        <w:gridCol w:w="2455"/>
        <w:gridCol w:w="1560"/>
        <w:gridCol w:w="1662"/>
        <w:gridCol w:w="1353"/>
        <w:gridCol w:w="1256"/>
        <w:gridCol w:w="1355"/>
        <w:gridCol w:w="1509"/>
        <w:gridCol w:w="1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blHeader/>
        </w:trPr>
        <w:tc>
          <w:tcPr>
            <w:tcW w:w="3682" w:type="dxa"/>
            <w:gridSpan w:val="2"/>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156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本年收入合计</w:t>
            </w:r>
          </w:p>
        </w:tc>
        <w:tc>
          <w:tcPr>
            <w:tcW w:w="1662" w:type="dxa"/>
            <w:vMerge w:val="restar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财政拨款收入</w:t>
            </w:r>
          </w:p>
        </w:tc>
        <w:tc>
          <w:tcPr>
            <w:tcW w:w="1353" w:type="dxa"/>
            <w:vMerge w:val="restar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上级补助收入</w:t>
            </w:r>
          </w:p>
        </w:tc>
        <w:tc>
          <w:tcPr>
            <w:tcW w:w="1256" w:type="dxa"/>
            <w:vMerge w:val="restar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事业收入</w:t>
            </w:r>
          </w:p>
        </w:tc>
        <w:tc>
          <w:tcPr>
            <w:tcW w:w="1355" w:type="dxa"/>
            <w:vMerge w:val="restar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经营收入</w:t>
            </w:r>
          </w:p>
        </w:tc>
        <w:tc>
          <w:tcPr>
            <w:tcW w:w="1509" w:type="dxa"/>
            <w:tcBorders>
              <w:top w:val="single" w:color="auto" w:sz="4" w:space="0"/>
              <w:left w:val="nil"/>
              <w:bottom w:val="nil"/>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附属单位    </w:t>
            </w:r>
          </w:p>
        </w:tc>
        <w:tc>
          <w:tcPr>
            <w:tcW w:w="1611" w:type="dxa"/>
            <w:vMerge w:val="restar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blHeader/>
        </w:trPr>
        <w:tc>
          <w:tcPr>
            <w:tcW w:w="1227"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功能分类</w:t>
            </w:r>
            <w:r>
              <w:rPr>
                <w:rFonts w:hint="eastAsia" w:ascii="仿宋_GB2312" w:hAnsi="宋体" w:eastAsia="仿宋_GB2312" w:cs="宋体"/>
                <w:kern w:val="0"/>
                <w:sz w:val="22"/>
                <w:szCs w:val="22"/>
              </w:rPr>
              <w:br/>
            </w:r>
            <w:r>
              <w:rPr>
                <w:rFonts w:hint="eastAsia" w:ascii="仿宋_GB2312" w:hAnsi="宋体" w:eastAsia="仿宋_GB2312" w:cs="宋体"/>
                <w:kern w:val="0"/>
                <w:sz w:val="22"/>
                <w:szCs w:val="22"/>
              </w:rPr>
              <w:t>科目编码</w:t>
            </w:r>
          </w:p>
        </w:tc>
        <w:tc>
          <w:tcPr>
            <w:tcW w:w="2455" w:type="dxa"/>
            <w:tcBorders>
              <w:top w:val="nil"/>
              <w:left w:val="nil"/>
              <w:bottom w:val="single" w:color="auto"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156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p>
        </w:tc>
        <w:tc>
          <w:tcPr>
            <w:tcW w:w="1662" w:type="dxa"/>
            <w:vMerge w:val="continue"/>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p>
        </w:tc>
        <w:tc>
          <w:tcPr>
            <w:tcW w:w="1353" w:type="dxa"/>
            <w:vMerge w:val="continue"/>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p>
        </w:tc>
        <w:tc>
          <w:tcPr>
            <w:tcW w:w="1256" w:type="dxa"/>
            <w:vMerge w:val="continue"/>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p>
        </w:tc>
        <w:tc>
          <w:tcPr>
            <w:tcW w:w="1355" w:type="dxa"/>
            <w:vMerge w:val="continue"/>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p>
        </w:tc>
        <w:tc>
          <w:tcPr>
            <w:tcW w:w="1509" w:type="dxa"/>
            <w:tcBorders>
              <w:top w:val="nil"/>
              <w:left w:val="nil"/>
              <w:bottom w:val="nil"/>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上缴收入</w:t>
            </w:r>
          </w:p>
        </w:tc>
        <w:tc>
          <w:tcPr>
            <w:tcW w:w="1611" w:type="dxa"/>
            <w:vMerge w:val="continue"/>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blHeader/>
        </w:trPr>
        <w:tc>
          <w:tcPr>
            <w:tcW w:w="3682" w:type="dxa"/>
            <w:gridSpan w:val="2"/>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w:t>
            </w:r>
          </w:p>
        </w:tc>
        <w:tc>
          <w:tcPr>
            <w:tcW w:w="1509" w:type="dxa"/>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3682" w:type="dxa"/>
            <w:gridSpan w:val="2"/>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合 计</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85489.6</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81950.47</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3539.14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一般公共服务支出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189.49</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189.49</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20103</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政府办公厅（室）及相关机构事务</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167.46</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167.46</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2010350</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事业运行</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167.46</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167.46</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20132</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组织事务</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22.03</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22.03</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2013299</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其他组织事务支出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22.03</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22.03</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公共安全支出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76817.9</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73278.77</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3539.14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20406</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司法</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5698.05</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5694.44</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2040601</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行政运行</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4178.52</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4174.98</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2040602</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一般行政管理事务</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902.04</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902.04</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2040607</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公共法律服务</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250.14</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250.14</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2040650</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事业运行</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367.35</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367.28</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20407</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监狱</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59859.11</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56323.95</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3535.17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20408</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强制隔离戒毒</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11260.74</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11260.38</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207</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文化旅游体育与传媒支出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478.06</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478.06</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20702</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文物</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478.06</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478.06</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2070204</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文物保护</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413</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413</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2070299</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其他文物支出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65.06</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65.06</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社会保障和就业支出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4902.15</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4902.15</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20805</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行政事业单位养老支出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4901.85</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4901.85</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2080505</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机关事业单位基本养老保险缴费支出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3267.9</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3267.9</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2080506</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机关事业单位职业年金缴费支出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1633.95</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1633.95</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20808</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抚恤</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0.3</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0.3</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2080899</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其他优抚支出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0.3</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0.3</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210</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卫生健康支出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21099</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其他卫生健康支出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2109999</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其他卫生健康支出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221</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住房保障支出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22102</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住房改革支出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2210201</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住房公积金</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229</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其他支出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66.6</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66.6</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22999</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其他支出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66.6</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66.6</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22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2299999</w:t>
            </w:r>
          </w:p>
        </w:tc>
        <w:tc>
          <w:tcPr>
            <w:tcW w:w="2455" w:type="dxa"/>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其他支出</w:t>
            </w:r>
          </w:p>
        </w:tc>
        <w:tc>
          <w:tcPr>
            <w:tcW w:w="15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66.6</w:t>
            </w:r>
          </w:p>
        </w:tc>
        <w:tc>
          <w:tcPr>
            <w:tcW w:w="166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66.6</w:t>
            </w:r>
          </w:p>
        </w:tc>
        <w:tc>
          <w:tcPr>
            <w:tcW w:w="135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56"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50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61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bl>
    <w:p>
      <w:pPr>
        <w:rPr>
          <w:rFonts w:ascii="仿宋_GB2312" w:hAnsi="宋体" w:eastAsia="仿宋_GB2312"/>
          <w:sz w:val="22"/>
          <w:szCs w:val="22"/>
        </w:rPr>
      </w:pPr>
      <w:r>
        <w:rPr>
          <w:rFonts w:hint="eastAsia" w:ascii="仿宋_GB2312" w:hAnsi="宋体" w:eastAsia="仿宋_GB2312"/>
          <w:sz w:val="22"/>
          <w:szCs w:val="22"/>
        </w:rPr>
        <w:t>注：本表反映部门本年度取得的各项收入情况。</w:t>
      </w:r>
    </w:p>
    <w:p>
      <w:pPr>
        <w:jc w:val="center"/>
        <w:rPr>
          <w:rFonts w:ascii="方正小标宋简体" w:eastAsia="方正小标宋简体"/>
          <w:sz w:val="44"/>
          <w:szCs w:val="44"/>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支出决算表</w:t>
      </w:r>
    </w:p>
    <w:p>
      <w:pPr>
        <w:spacing w:line="400" w:lineRule="exact"/>
        <w:jc w:val="right"/>
        <w:rPr>
          <w:rFonts w:ascii="楷体_GB2312" w:eastAsia="楷体_GB2312"/>
          <w:sz w:val="28"/>
          <w:szCs w:val="28"/>
        </w:rPr>
      </w:pPr>
      <w:r>
        <w:rPr>
          <w:rFonts w:hint="eastAsia" w:ascii="楷体_GB2312" w:eastAsia="楷体_GB2312"/>
          <w:sz w:val="28"/>
          <w:szCs w:val="28"/>
        </w:rPr>
        <w:t xml:space="preserve">                                                                                   公开03表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 部门：青岛市司法局                                                               金额单位：万元</w:t>
      </w:r>
    </w:p>
    <w:tbl>
      <w:tblPr>
        <w:tblStyle w:val="15"/>
        <w:tblW w:w="1346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54"/>
        <w:gridCol w:w="3472"/>
        <w:gridCol w:w="1455"/>
        <w:gridCol w:w="1485"/>
        <w:gridCol w:w="1425"/>
        <w:gridCol w:w="1365"/>
        <w:gridCol w:w="1237"/>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blHeader/>
        </w:trPr>
        <w:tc>
          <w:tcPr>
            <w:tcW w:w="522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项       目</w:t>
            </w:r>
          </w:p>
        </w:tc>
        <w:tc>
          <w:tcPr>
            <w:tcW w:w="14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本年支出合计</w:t>
            </w: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基本支出</w:t>
            </w: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项目支出</w:t>
            </w: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上缴上级支出</w:t>
            </w:r>
          </w:p>
        </w:tc>
        <w:tc>
          <w:tcPr>
            <w:tcW w:w="1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 xml:space="preserve">经营支出    </w:t>
            </w:r>
          </w:p>
        </w:tc>
        <w:tc>
          <w:tcPr>
            <w:tcW w:w="12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对附属单位</w:t>
            </w:r>
          </w:p>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blHeader/>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功能分类</w:t>
            </w:r>
          </w:p>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科目编码</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科目名称</w:t>
            </w:r>
          </w:p>
        </w:tc>
        <w:tc>
          <w:tcPr>
            <w:tcW w:w="14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p>
        </w:tc>
        <w:tc>
          <w:tcPr>
            <w:tcW w:w="1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p>
        </w:tc>
        <w:tc>
          <w:tcPr>
            <w:tcW w:w="1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p>
        </w:tc>
        <w:tc>
          <w:tcPr>
            <w:tcW w:w="1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p>
        </w:tc>
        <w:tc>
          <w:tcPr>
            <w:tcW w:w="1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p>
        </w:tc>
        <w:tc>
          <w:tcPr>
            <w:tcW w:w="12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blHeader/>
        </w:trPr>
        <w:tc>
          <w:tcPr>
            <w:tcW w:w="522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栏  次</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1</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2</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3</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4</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5</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0" w:hRule="atLeast"/>
        </w:trPr>
        <w:tc>
          <w:tcPr>
            <w:tcW w:w="522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合  计</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85046.59</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72400.03</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12646.56</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b/>
                <w:bCs/>
                <w:kern w:val="0"/>
                <w:sz w:val="22"/>
                <w:szCs w:val="22"/>
              </w:rPr>
            </w:pP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b/>
                <w:bCs/>
                <w:kern w:val="0"/>
                <w:sz w:val="22"/>
                <w:szCs w:val="22"/>
              </w:rPr>
            </w:pP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b/>
                <w:bCs/>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一般公共服务支出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189.49</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167.46</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22.03</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20103</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政府办公厅（室）及相关机构事务</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167.46</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167.46</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2010350</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事业运行</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167.46</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167.46</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20132</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组织事务</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22.03</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22.03</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2013299</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其他组织事务支出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22.03</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22.03</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公共安全支出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76381.01</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64345.32</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12035.69</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20406</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司法</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5694.45</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4542.27</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1152.18</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2040601</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行政运行</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4174.98</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4174.98</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2040602</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一般行政管理事务</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902.04</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902.04</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2040607</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公共法律服务</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250.14</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250.14</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2040650</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事业运行</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367.29</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367.29</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20407</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监狱</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59426.14</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52876.84</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6549.3</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20408</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强制隔离戒毒</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11260.42</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6926.21</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4334.21</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207</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文化旅游体育与传媒支出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478.06</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478.06</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20702</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文物</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478.06</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478.06</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2070204</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文物保护</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413</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413</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2070299</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其他文物支出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65.06</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65.06</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社会保障和就业支出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4902.15</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4901.85</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0.3</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20805</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行政事业单位养老支出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4901.85</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4901.85</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2080505</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机关事业单位基本养老保险缴费支出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3267.9</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3267.9</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2080506</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机关事业单位职业年金缴费支出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1633.95</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1633.95</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20808</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抚恤</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0.3</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0.3</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2080899</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其他优抚支出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0.3</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0.3</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210</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卫生健康支出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21099</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其他卫生健康支出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2109999</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其他卫生健康支出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221</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住房保障支出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22102</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住房改革支出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2210201</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住房公积金</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229</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其他支出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60.48</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60.48</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22999</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其他支出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60.48</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60.48</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175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2299999</w:t>
            </w:r>
          </w:p>
        </w:tc>
        <w:tc>
          <w:tcPr>
            <w:tcW w:w="34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其他支出</w:t>
            </w:r>
          </w:p>
        </w:tc>
        <w:tc>
          <w:tcPr>
            <w:tcW w:w="14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60.48</w:t>
            </w:r>
          </w:p>
        </w:tc>
        <w:tc>
          <w:tcPr>
            <w:tcW w:w="14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2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60.48</w:t>
            </w:r>
          </w:p>
        </w:tc>
        <w:tc>
          <w:tcPr>
            <w:tcW w:w="136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3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27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bl>
    <w:p>
      <w:pPr>
        <w:rPr>
          <w:rFonts w:ascii="仿宋_GB2312" w:hAnsi="宋体" w:eastAsia="仿宋_GB2312"/>
          <w:sz w:val="22"/>
          <w:szCs w:val="22"/>
        </w:rPr>
      </w:pPr>
      <w:r>
        <w:rPr>
          <w:rFonts w:hint="eastAsia" w:ascii="仿宋_GB2312" w:hAnsi="宋体" w:eastAsia="仿宋_GB2312"/>
          <w:sz w:val="22"/>
          <w:szCs w:val="22"/>
        </w:rPr>
        <w:t xml:space="preserve"> 注：本表反映部门本年度各项支出情况。</w:t>
      </w:r>
    </w:p>
    <w:p>
      <w:pPr>
        <w:jc w:val="center"/>
        <w:rPr>
          <w:rFonts w:ascii="方正小标宋简体" w:eastAsia="方正小标宋简体"/>
          <w:sz w:val="44"/>
          <w:szCs w:val="44"/>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财政拨款收入支出决算总表</w:t>
      </w:r>
    </w:p>
    <w:p>
      <w:pPr>
        <w:spacing w:line="400" w:lineRule="exact"/>
        <w:jc w:val="right"/>
        <w:rPr>
          <w:rFonts w:ascii="楷体_GB2312" w:eastAsia="楷体_GB2312"/>
          <w:sz w:val="28"/>
          <w:szCs w:val="28"/>
        </w:rPr>
      </w:pPr>
      <w:r>
        <w:rPr>
          <w:rFonts w:hint="eastAsia" w:ascii="楷体_GB2312" w:eastAsia="楷体_GB2312"/>
          <w:sz w:val="28"/>
          <w:szCs w:val="28"/>
        </w:rPr>
        <w:t xml:space="preserve">     公开04表</w:t>
      </w:r>
    </w:p>
    <w:p>
      <w:pPr>
        <w:spacing w:line="400" w:lineRule="exact"/>
        <w:jc w:val="right"/>
        <w:rPr>
          <w:rFonts w:ascii="楷体_GB2312" w:eastAsia="楷体_GB2312"/>
          <w:sz w:val="28"/>
          <w:szCs w:val="28"/>
        </w:rPr>
      </w:pPr>
      <w:r>
        <w:rPr>
          <w:rFonts w:hint="eastAsia" w:ascii="楷体_GB2312" w:eastAsia="楷体_GB2312"/>
          <w:sz w:val="28"/>
          <w:szCs w:val="28"/>
        </w:rPr>
        <w:t>部门：青岛市司法局                                                                 金额单位：万元</w:t>
      </w:r>
    </w:p>
    <w:tbl>
      <w:tblPr>
        <w:tblStyle w:val="15"/>
        <w:tblW w:w="1346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01"/>
        <w:gridCol w:w="894"/>
        <w:gridCol w:w="1155"/>
        <w:gridCol w:w="2999"/>
        <w:gridCol w:w="894"/>
        <w:gridCol w:w="933"/>
        <w:gridCol w:w="1283"/>
        <w:gridCol w:w="1322"/>
        <w:gridCol w:w="1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blHeader/>
        </w:trPr>
        <w:tc>
          <w:tcPr>
            <w:tcW w:w="475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收 入</w:t>
            </w:r>
          </w:p>
        </w:tc>
        <w:tc>
          <w:tcPr>
            <w:tcW w:w="8716" w:type="dxa"/>
            <w:gridSpan w:val="6"/>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blHeader/>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项   目</w:t>
            </w:r>
          </w:p>
        </w:tc>
        <w:tc>
          <w:tcPr>
            <w:tcW w:w="89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行次</w:t>
            </w:r>
          </w:p>
        </w:tc>
        <w:tc>
          <w:tcPr>
            <w:tcW w:w="1155"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金额</w:t>
            </w:r>
          </w:p>
        </w:tc>
        <w:tc>
          <w:tcPr>
            <w:tcW w:w="299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项    目</w:t>
            </w:r>
          </w:p>
        </w:tc>
        <w:tc>
          <w:tcPr>
            <w:tcW w:w="89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行次</w:t>
            </w:r>
          </w:p>
        </w:tc>
        <w:tc>
          <w:tcPr>
            <w:tcW w:w="93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合计</w:t>
            </w:r>
          </w:p>
        </w:tc>
        <w:tc>
          <w:tcPr>
            <w:tcW w:w="12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一般公共预算</w:t>
            </w:r>
          </w:p>
          <w:p>
            <w:pPr>
              <w:widowControl/>
              <w:spacing w:line="300" w:lineRule="exact"/>
              <w:jc w:val="center"/>
              <w:rPr>
                <w:rFonts w:ascii="仿宋_GB2312" w:hAnsi="Arial" w:eastAsia="仿宋_GB2312" w:cs="仿宋_GB2312"/>
                <w:sz w:val="20"/>
                <w:szCs w:val="20"/>
              </w:rPr>
            </w:pPr>
            <w:r>
              <w:rPr>
                <w:rFonts w:hint="eastAsia" w:ascii="仿宋_GB2312" w:hAnsi="宋体" w:eastAsia="仿宋_GB2312" w:cs="宋体"/>
                <w:kern w:val="0"/>
                <w:sz w:val="20"/>
                <w:szCs w:val="20"/>
              </w:rPr>
              <w:t>财政拨款</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政府性基金</w:t>
            </w:r>
          </w:p>
          <w:p>
            <w:pPr>
              <w:widowControl/>
              <w:spacing w:line="300" w:lineRule="exact"/>
              <w:jc w:val="center"/>
              <w:rPr>
                <w:rFonts w:ascii="仿宋_GB2312" w:hAnsi="Arial" w:eastAsia="仿宋_GB2312" w:cs="仿宋_GB2312"/>
                <w:sz w:val="20"/>
                <w:szCs w:val="20"/>
              </w:rPr>
            </w:pPr>
            <w:r>
              <w:rPr>
                <w:rFonts w:hint="eastAsia" w:ascii="仿宋_GB2312" w:hAnsi="宋体" w:eastAsia="仿宋_GB2312" w:cs="宋体"/>
                <w:kern w:val="0"/>
                <w:sz w:val="20"/>
                <w:szCs w:val="20"/>
              </w:rPr>
              <w:t>预算财政拨款</w:t>
            </w:r>
          </w:p>
        </w:tc>
        <w:tc>
          <w:tcPr>
            <w:tcW w:w="1285" w:type="dxa"/>
            <w:tcBorders>
              <w:top w:val="nil"/>
              <w:left w:val="single" w:color="auto" w:sz="4" w:space="0"/>
              <w:bottom w:val="single" w:color="auto" w:sz="4" w:space="0"/>
              <w:right w:val="single" w:color="auto" w:sz="4" w:space="0"/>
            </w:tcBorders>
            <w:tcMar>
              <w:top w:w="15" w:type="dxa"/>
              <w:left w:w="15" w:type="dxa"/>
              <w:right w:w="15" w:type="dxa"/>
            </w:tcMar>
            <w:vAlign w:val="top"/>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blHeader/>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栏  次</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栏  次</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12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一、一般公共预算财政拨款</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81950.46</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一、一般公共服务支出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33</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189.49</w:t>
            </w:r>
          </w:p>
        </w:tc>
        <w:tc>
          <w:tcPr>
            <w:tcW w:w="1283"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189.49</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二、政府性基金预算财政拨款</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二、外交支出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34</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三、国有资本经营预算财政拨款</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三、国防支出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35</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四、公共安全支出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36</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73278.76</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73278.76</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五、教育支出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37</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六、科学技术支出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38</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7</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七、文化旅游体育与传媒支出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39</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478.06</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478.06</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八、社会保障和就业支出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40</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4902.15</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4902.15</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9</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九、卫生健康支出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41</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50</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50</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10</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十、节能环保支出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42</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11</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十一、城乡社区支出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43</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12</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十二、农林水支出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44</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13</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十三、交通运输支出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45</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14</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十四、资源勘探工业信息等支出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46</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15</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十五、商业服务业等支出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47</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16</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十六、金融支出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48</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17</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十七、援助其他地区支出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49</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18</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十八、自然资源海洋气象等支出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50</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19</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十九、住房保障支出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51</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2985.4</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2985.4</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二十、粮油物资储备支出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52</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21</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二十一、国有资本经营预算支出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53</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22</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二十二、灾害防治及应急管理支出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54</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23</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二十三、其他支出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55</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60.48</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60.48</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24</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二十四、债务还本支出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56</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25</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二十五、债务付息支出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57</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26</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二十六、抗疫特别国债安排的支出</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58</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b/>
                <w:bCs/>
                <w:kern w:val="0"/>
                <w:sz w:val="20"/>
                <w:szCs w:val="20"/>
              </w:rPr>
              <w:t>本年收入合计</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27</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81950.46</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b/>
                <w:bCs/>
                <w:kern w:val="0"/>
                <w:sz w:val="20"/>
                <w:szCs w:val="20"/>
              </w:rPr>
              <w:t>本年支出合计</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59</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81944.34</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81944.34</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年初财政拨款结转和结余</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28</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年末财政拨款结转和结余</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60</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6.12</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6.12</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一般公共预算财政拨款</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29</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61</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 政府性基金预算财政拨款</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30</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62</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  国有资本经营预算财政拨款</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31</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　</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63</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701"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b/>
                <w:bCs/>
                <w:kern w:val="0"/>
                <w:sz w:val="20"/>
                <w:szCs w:val="20"/>
              </w:rPr>
              <w:t>总计</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32</w:t>
            </w:r>
          </w:p>
        </w:tc>
        <w:tc>
          <w:tcPr>
            <w:tcW w:w="1155"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81950.46</w:t>
            </w:r>
          </w:p>
        </w:tc>
        <w:tc>
          <w:tcPr>
            <w:tcW w:w="2999"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b/>
                <w:bCs/>
                <w:kern w:val="0"/>
                <w:sz w:val="20"/>
                <w:szCs w:val="20"/>
              </w:rPr>
              <w:t>总计</w:t>
            </w:r>
          </w:p>
        </w:tc>
        <w:tc>
          <w:tcPr>
            <w:tcW w:w="89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64</w:t>
            </w:r>
          </w:p>
        </w:tc>
        <w:tc>
          <w:tcPr>
            <w:tcW w:w="93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81950.46</w:t>
            </w:r>
          </w:p>
        </w:tc>
        <w:tc>
          <w:tcPr>
            <w:tcW w:w="128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81950.46</w:t>
            </w:r>
          </w:p>
        </w:tc>
        <w:tc>
          <w:tcPr>
            <w:tcW w:w="132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85" w:type="dxa"/>
            <w:tcBorders>
              <w:top w:val="nil"/>
              <w:left w:val="nil"/>
              <w:bottom w:val="single" w:color="auto" w:sz="4" w:space="0"/>
              <w:right w:val="single" w:color="auto" w:sz="4" w:space="0"/>
            </w:tcBorders>
            <w:tcMar>
              <w:top w:w="15" w:type="dxa"/>
              <w:left w:w="15" w:type="dxa"/>
              <w:right w:w="15" w:type="dxa"/>
            </w:tcMar>
            <w:vAlign w:val="top"/>
          </w:tcPr>
          <w:p>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bl>
    <w:p>
      <w:pPr>
        <w:rPr>
          <w:rFonts w:ascii="仿宋_GB2312" w:hAnsi="宋体" w:eastAsia="仿宋_GB2312"/>
          <w:sz w:val="22"/>
          <w:szCs w:val="22"/>
        </w:rPr>
      </w:pPr>
    </w:p>
    <w:p>
      <w:pPr>
        <w:rPr>
          <w:rFonts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szCs w:val="22"/>
        </w:rPr>
        <w:t>注：本表反映部门本年度一般公共预算财政拨款、政府性基金预算财政拨款和国有资本经营预算财政拨款的总收支和年末结转结余情况。</w:t>
      </w: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公开05表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部门：青岛市司法局                                             </w:t>
      </w:r>
      <w:r>
        <w:rPr>
          <w:rFonts w:ascii="楷体_GB2312" w:eastAsia="楷体_GB2312"/>
          <w:sz w:val="28"/>
          <w:szCs w:val="28"/>
        </w:rPr>
        <w:t xml:space="preserve">  </w:t>
      </w:r>
      <w:r>
        <w:rPr>
          <w:rFonts w:hint="eastAsia" w:ascii="楷体_GB2312" w:eastAsia="楷体_GB2312"/>
          <w:sz w:val="28"/>
          <w:szCs w:val="28"/>
        </w:rPr>
        <w:t xml:space="preserve">                 金额单位：万元</w:t>
      </w:r>
    </w:p>
    <w:tbl>
      <w:tblPr>
        <w:tblStyle w:val="15"/>
        <w:tblW w:w="1346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57"/>
        <w:gridCol w:w="5154"/>
        <w:gridCol w:w="2251"/>
        <w:gridCol w:w="2252"/>
        <w:gridCol w:w="2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blHeader/>
        </w:trPr>
        <w:tc>
          <w:tcPr>
            <w:tcW w:w="671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项       目</w:t>
            </w:r>
          </w:p>
        </w:tc>
        <w:tc>
          <w:tcPr>
            <w:tcW w:w="6755" w:type="dxa"/>
            <w:gridSpan w:val="3"/>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trPr>
        <w:tc>
          <w:tcPr>
            <w:tcW w:w="1557" w:type="dxa"/>
            <w:tcBorders>
              <w:top w:val="nil"/>
              <w:left w:val="single" w:color="auto" w:sz="4" w:space="0"/>
              <w:bottom w:val="nil"/>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功能分类</w:t>
            </w:r>
          </w:p>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科目编码</w:t>
            </w:r>
          </w:p>
        </w:tc>
        <w:tc>
          <w:tcPr>
            <w:tcW w:w="5154" w:type="dxa"/>
            <w:tcBorders>
              <w:top w:val="nil"/>
              <w:left w:val="nil"/>
              <w:bottom w:val="nil"/>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科目名称</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小计</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基本支出</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Arial" w:eastAsia="仿宋_GB2312" w:cs="仿宋_GB2312"/>
                <w:sz w:val="22"/>
                <w:szCs w:val="22"/>
              </w:rPr>
            </w:pPr>
            <w:r>
              <w:rPr>
                <w:rFonts w:hint="eastAsia" w:ascii="仿宋_GB2312" w:hAnsi="宋体" w:eastAsia="仿宋_GB2312" w:cs="宋体"/>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blHeader/>
        </w:trPr>
        <w:tc>
          <w:tcPr>
            <w:tcW w:w="6711" w:type="dxa"/>
            <w:gridSpan w:val="2"/>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711" w:type="dxa"/>
            <w:gridSpan w:val="2"/>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合  计</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81944.34</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72399.98</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9544.37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一般公共服务支出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189.49</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167.46</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20103</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政府办公厅（室）及相关机构事务</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167.46</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167.46</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2010350</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事业运行</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167.46</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167.46</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20132</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组织事务</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22.03</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2013299</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其他组织事务支出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22.03</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公共安全支出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73278.77</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64345.27</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8933.5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20406</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司法</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5694.44</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4542.26</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1152.18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2040601</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行政运行</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4174.98</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4174.98</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2040602</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一般行政管理事务</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902.04</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902.04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2040607</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公共法律服务</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250.14</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250.14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2040650</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事业运行</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367.28</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367.28</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20407</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监狱</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56323.95</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52876.84</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3447.11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20408</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强制隔离戒毒</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11260.38</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6926.17</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4334.21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207</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文化旅游体育与传媒支出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478.06</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478.06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20702</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文物</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478.06</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478.06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2070204</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文物保护</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413</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2070299</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其他文物支出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65.06</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社会保障和就业支出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4902.15</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4901.85</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20805</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行政事业单位养老支出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4901.85</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4901.85</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2080505</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机关事业单位基本养老保险缴费支出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3267.9</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3267.9</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2080506</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机关事业单位职业年金缴费支出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1633.95</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1633.95</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20808</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抚恤</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0.3</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2080899</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其他优抚支出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0.3</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210</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卫生健康支出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21099</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其他卫生健康支出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2109999</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其他卫生健康支出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221</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住房保障支出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22102</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住房改革支出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2210201</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住房公积金</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2985.4</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229</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其他支出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60.48</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22999</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其他支出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60.48</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5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2299999</w:t>
            </w:r>
          </w:p>
        </w:tc>
        <w:tc>
          <w:tcPr>
            <w:tcW w:w="5154"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其他支出</w:t>
            </w:r>
          </w:p>
        </w:tc>
        <w:tc>
          <w:tcPr>
            <w:tcW w:w="225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60.48</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252"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60.48</w:t>
            </w:r>
          </w:p>
        </w:tc>
      </w:tr>
    </w:tbl>
    <w:p>
      <w:pPr>
        <w:spacing w:line="400" w:lineRule="exact"/>
        <w:jc w:val="left"/>
        <w:rPr>
          <w:rFonts w:ascii="仿宋_GB2312" w:hAnsi="宋体" w:eastAsia="仿宋_GB2312"/>
          <w:sz w:val="22"/>
          <w:szCs w:val="22"/>
        </w:rPr>
      </w:pPr>
    </w:p>
    <w:p>
      <w:pPr>
        <w:spacing w:line="400" w:lineRule="exact"/>
        <w:jc w:val="left"/>
        <w:rPr>
          <w:rFonts w:ascii="仿宋_GB2312" w:hAnsi="宋体" w:eastAsia="仿宋_GB2312"/>
          <w:sz w:val="22"/>
          <w:szCs w:val="22"/>
        </w:rPr>
      </w:pPr>
      <w:r>
        <w:rPr>
          <w:rFonts w:hint="eastAsia" w:ascii="仿宋_GB2312" w:hAnsi="宋体" w:eastAsia="仿宋_GB2312"/>
          <w:sz w:val="22"/>
          <w:szCs w:val="22"/>
        </w:rPr>
        <w:t>注：本表反映部门本年度一般公共预算财政拨款支出情况。</w:t>
      </w:r>
    </w:p>
    <w:p>
      <w:pPr>
        <w:spacing w:line="400" w:lineRule="exact"/>
        <w:jc w:val="left"/>
        <w:rPr>
          <w:rFonts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一般公共预算财政拨款基本支出决算表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公开06表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部门：青岛市司法局                                           </w:t>
      </w:r>
      <w:r>
        <w:rPr>
          <w:rFonts w:ascii="楷体_GB2312" w:eastAsia="楷体_GB2312"/>
          <w:sz w:val="28"/>
          <w:szCs w:val="28"/>
        </w:rPr>
        <w:t xml:space="preserve"> </w:t>
      </w:r>
      <w:r>
        <w:rPr>
          <w:rFonts w:hint="eastAsia" w:ascii="楷体_GB2312" w:eastAsia="楷体_GB2312"/>
          <w:sz w:val="28"/>
          <w:szCs w:val="28"/>
        </w:rPr>
        <w:t xml:space="preserve">                    金额单位：万元</w:t>
      </w:r>
    </w:p>
    <w:tbl>
      <w:tblPr>
        <w:tblStyle w:val="15"/>
        <w:tblW w:w="1346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7"/>
        <w:gridCol w:w="2930"/>
        <w:gridCol w:w="1043"/>
        <w:gridCol w:w="917"/>
        <w:gridCol w:w="2031"/>
        <w:gridCol w:w="917"/>
        <w:gridCol w:w="917"/>
        <w:gridCol w:w="2750"/>
        <w:gridCol w:w="1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blHeader/>
        </w:trPr>
        <w:tc>
          <w:tcPr>
            <w:tcW w:w="4890"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w:t>
            </w:r>
          </w:p>
        </w:tc>
        <w:tc>
          <w:tcPr>
            <w:tcW w:w="8575" w:type="dxa"/>
            <w:gridSpan w:val="6"/>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blHeader/>
        </w:trPr>
        <w:tc>
          <w:tcPr>
            <w:tcW w:w="917"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科目编码</w:t>
            </w:r>
          </w:p>
        </w:tc>
        <w:tc>
          <w:tcPr>
            <w:tcW w:w="2930"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1043"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金额</w:t>
            </w:r>
          </w:p>
        </w:tc>
        <w:tc>
          <w:tcPr>
            <w:tcW w:w="917"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科目编码</w:t>
            </w:r>
          </w:p>
        </w:tc>
        <w:tc>
          <w:tcPr>
            <w:tcW w:w="203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917"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金额</w:t>
            </w:r>
          </w:p>
        </w:tc>
        <w:tc>
          <w:tcPr>
            <w:tcW w:w="917"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科目编码</w:t>
            </w:r>
          </w:p>
        </w:tc>
        <w:tc>
          <w:tcPr>
            <w:tcW w:w="2750"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1043"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0" w:hRule="atLeast"/>
          <w:tblHeader/>
        </w:trPr>
        <w:tc>
          <w:tcPr>
            <w:tcW w:w="917"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Arial" w:eastAsia="仿宋_GB2312" w:cs="仿宋_GB2312"/>
                <w:color w:val="000000"/>
                <w:sz w:val="20"/>
                <w:szCs w:val="20"/>
              </w:rPr>
            </w:pPr>
          </w:p>
        </w:tc>
        <w:tc>
          <w:tcPr>
            <w:tcW w:w="2930"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Arial" w:eastAsia="仿宋_GB2312" w:cs="仿宋_GB2312"/>
                <w:color w:val="000000"/>
                <w:sz w:val="20"/>
                <w:szCs w:val="20"/>
              </w:rPr>
            </w:pPr>
          </w:p>
        </w:tc>
        <w:tc>
          <w:tcPr>
            <w:tcW w:w="104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Arial" w:eastAsia="仿宋_GB2312" w:cs="仿宋_GB2312"/>
                <w:color w:val="000000"/>
                <w:sz w:val="20"/>
                <w:szCs w:val="20"/>
              </w:rPr>
            </w:pPr>
          </w:p>
        </w:tc>
        <w:tc>
          <w:tcPr>
            <w:tcW w:w="917"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Arial" w:eastAsia="仿宋_GB2312" w:cs="仿宋_GB2312"/>
                <w:color w:val="000000"/>
                <w:sz w:val="20"/>
                <w:szCs w:val="20"/>
              </w:rPr>
            </w:pPr>
          </w:p>
        </w:tc>
        <w:tc>
          <w:tcPr>
            <w:tcW w:w="203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Arial" w:eastAsia="仿宋_GB2312" w:cs="仿宋_GB2312"/>
                <w:color w:val="000000"/>
                <w:sz w:val="20"/>
                <w:szCs w:val="20"/>
              </w:rPr>
            </w:pPr>
          </w:p>
        </w:tc>
        <w:tc>
          <w:tcPr>
            <w:tcW w:w="917"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Arial" w:eastAsia="仿宋_GB2312" w:cs="仿宋_GB2312"/>
                <w:color w:val="000000"/>
                <w:sz w:val="20"/>
                <w:szCs w:val="20"/>
              </w:rPr>
            </w:pPr>
          </w:p>
        </w:tc>
        <w:tc>
          <w:tcPr>
            <w:tcW w:w="917"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Arial" w:eastAsia="仿宋_GB2312" w:cs="仿宋_GB2312"/>
                <w:color w:val="000000"/>
                <w:sz w:val="20"/>
                <w:szCs w:val="20"/>
              </w:rPr>
            </w:pPr>
          </w:p>
        </w:tc>
        <w:tc>
          <w:tcPr>
            <w:tcW w:w="2750"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Arial" w:eastAsia="仿宋_GB2312" w:cs="仿宋_GB2312"/>
                <w:color w:val="000000"/>
                <w:sz w:val="20"/>
                <w:szCs w:val="20"/>
              </w:rPr>
            </w:pPr>
          </w:p>
        </w:tc>
        <w:tc>
          <w:tcPr>
            <w:tcW w:w="104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Arial" w:eastAsia="仿宋_GB2312" w:cs="仿宋_GB2312"/>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工资福利支出</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41341.58</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商品和服务支出</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25966.52</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债务利息及费用支出</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30101</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基本工资</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8298.29</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30201</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123.09</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30701</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国内债务付息</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30102</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津贴补贴</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18433.04</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30202</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印刷费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9.06</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30702</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国外债务付息</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30103</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奖金</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1993.61</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30203</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咨询费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30703</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国内债务发行费用</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30106</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伙食补助费</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30204</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手续费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0.35</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30704</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国外债务发行费用</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30107</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绩效工资</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60.82</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30205</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51.57</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资本性支出</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229.61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30108</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机关事业单位基本养老保险缴费</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3290.74</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30206</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254.6</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31001</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房屋建筑物购建</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30109</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职业年金缴费</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1633.95</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30207</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邮电费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52.13</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31002</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办公设备购置</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217.17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30110</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职工基本医疗保险缴费</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2672.15</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30208</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取暖费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664.24</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31003</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专用设备购置</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30111</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公务员医疗补助缴费</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30209</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物业管理费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327.72</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31005</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基础设施建设</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30112</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其他社会保障缴费</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23.12</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30211</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差旅费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109.41</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31006</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大型修缮</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30113</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住房公积金</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2985.4</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30212</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因公出国（境）费用</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31007</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信息网络及软件购置更新</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30114</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30213</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维修(护)费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123.59</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31008</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物资储备</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30199</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其他工资福利支出</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1950.46</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30214</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租赁费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0.48</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31009</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土地补偿</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对个人和家庭的补助</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4862.27</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30215</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会议费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3.29</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31010</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安置补助</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30301</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离休费</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365.27</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30216</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培训费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21.33</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31011</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地上附着物和青苗补偿</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30302</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退休费</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3457.72</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30217</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公务接待费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9.46</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31012</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拆迁补偿</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30303</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退职（役）费</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15.82</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30218</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专用材料费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31013</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公务用车购置</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30304</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抚恤金</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26.84</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30224</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被装购置费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31019</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其他交通工具购置</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30305</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生活补助</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260.04</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30225</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专用燃料费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31021</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文物和陈列品购置</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30306</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救济费</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30226</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劳务费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5.22</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31022</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无形资产购置</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30307</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医疗费补助</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655.12</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30227</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委托业务费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8.21</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31099</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其他资本性支出</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30308</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助学金</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30228</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工会经费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247.23</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对企业补助</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30309</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奖励金</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30229</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福利费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32.81</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31201</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资本金注入</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30310</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个人农业生产补贴</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30231</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公务用车运行维护费</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66.77</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31203</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政府投资基金股权投资</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30311</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代缴社会保险费</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30239</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其他交通费用</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1667.91</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31204</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费用补贴</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30399</w:t>
            </w: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其他对个人和家庭的补助</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81.45</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30240</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税金及附加费用</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31205</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利息补贴</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30299</w:t>
            </w: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其他商品和服务支出</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22188.03</w:t>
            </w: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31299</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其他对企业补助</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39906</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赠与</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39907</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国家赔偿费用支出</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39908</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对民间非营利组织和群众性自治组织补贴</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1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293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2031"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c>
          <w:tcPr>
            <w:tcW w:w="917"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39999</w:t>
            </w:r>
          </w:p>
        </w:tc>
        <w:tc>
          <w:tcPr>
            <w:tcW w:w="275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384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人员经费合计</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46203.85</w:t>
            </w:r>
          </w:p>
        </w:tc>
        <w:tc>
          <w:tcPr>
            <w:tcW w:w="7532" w:type="dxa"/>
            <w:gridSpan w:val="5"/>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公用经费合计</w:t>
            </w:r>
          </w:p>
        </w:tc>
        <w:tc>
          <w:tcPr>
            <w:tcW w:w="1043" w:type="dxa"/>
            <w:tcBorders>
              <w:top w:val="nil"/>
              <w:left w:val="nil"/>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26196.13</w:t>
            </w:r>
          </w:p>
        </w:tc>
      </w:tr>
    </w:tbl>
    <w:p>
      <w:pPr>
        <w:widowControl/>
        <w:spacing w:line="300" w:lineRule="exact"/>
        <w:rPr>
          <w:rFonts w:ascii="仿宋_GB2312" w:hAnsi="宋体" w:eastAsia="仿宋_GB2312" w:cs="宋体"/>
          <w:color w:val="000000"/>
          <w:kern w:val="0"/>
          <w:sz w:val="20"/>
          <w:szCs w:val="20"/>
        </w:rPr>
      </w:pPr>
    </w:p>
    <w:p>
      <w:pPr>
        <w:spacing w:line="400" w:lineRule="exact"/>
        <w:ind w:firstLine="108" w:firstLineChars="50"/>
        <w:jc w:val="left"/>
        <w:rPr>
          <w:rFonts w:ascii="仿宋_GB2312" w:hAnsi="宋体" w:eastAsia="仿宋_GB2312"/>
          <w:sz w:val="22"/>
          <w:szCs w:val="22"/>
        </w:rPr>
      </w:pPr>
      <w:r>
        <w:rPr>
          <w:rFonts w:hint="eastAsia" w:ascii="仿宋_GB2312" w:hAnsi="宋体" w:eastAsia="仿宋_GB2312"/>
          <w:sz w:val="22"/>
          <w:szCs w:val="22"/>
        </w:rPr>
        <w:t>注:本表反映部门本年度一般公共预算财政拨款基本支出明细情况。</w:t>
      </w:r>
    </w:p>
    <w:p>
      <w:pPr>
        <w:rPr>
          <w:rFonts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一般公共预算财政拨款“三公”经费支出决算表</w:t>
      </w:r>
    </w:p>
    <w:p>
      <w:pPr>
        <w:wordWrap w:val="0"/>
        <w:spacing w:line="400" w:lineRule="exact"/>
        <w:jc w:val="right"/>
        <w:rPr>
          <w:rFonts w:ascii="楷体_GB2312" w:eastAsia="楷体_GB2312"/>
          <w:sz w:val="28"/>
          <w:szCs w:val="28"/>
        </w:rPr>
      </w:pPr>
      <w:r>
        <w:rPr>
          <w:rFonts w:hint="eastAsia" w:ascii="方正小标宋简体" w:eastAsia="方正小标宋简体"/>
          <w:sz w:val="44"/>
          <w:szCs w:val="44"/>
        </w:rPr>
        <w:t>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公开07表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部门：青岛市司法局                                              </w:t>
      </w:r>
      <w:r>
        <w:rPr>
          <w:rFonts w:ascii="楷体_GB2312" w:eastAsia="楷体_GB2312"/>
          <w:sz w:val="28"/>
          <w:szCs w:val="28"/>
        </w:rPr>
        <w:t xml:space="preserve"> </w:t>
      </w:r>
      <w:r>
        <w:rPr>
          <w:rFonts w:hint="eastAsia" w:ascii="楷体_GB2312" w:eastAsia="楷体_GB2312"/>
          <w:sz w:val="28"/>
          <w:szCs w:val="28"/>
        </w:rPr>
        <w:t xml:space="preserve">                 金额单位：万元</w:t>
      </w:r>
    </w:p>
    <w:tbl>
      <w:tblPr>
        <w:tblStyle w:val="15"/>
        <w:tblW w:w="13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9"/>
        <w:gridCol w:w="1195"/>
        <w:gridCol w:w="1180"/>
        <w:gridCol w:w="1180"/>
        <w:gridCol w:w="1272"/>
        <w:gridCol w:w="878"/>
        <w:gridCol w:w="1258"/>
        <w:gridCol w:w="983"/>
        <w:gridCol w:w="1147"/>
        <w:gridCol w:w="836"/>
        <w:gridCol w:w="1164"/>
        <w:gridCol w:w="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2" w:hRule="atLeast"/>
          <w:jc w:val="center"/>
        </w:trPr>
        <w:tc>
          <w:tcPr>
            <w:tcW w:w="6884" w:type="dxa"/>
            <w:gridSpan w:val="6"/>
            <w:tcBorders>
              <w:top w:val="single" w:color="auto" w:sz="8" w:space="0"/>
              <w:left w:val="single" w:color="auto" w:sz="8" w:space="0"/>
              <w:bottom w:val="single" w:color="auto" w:sz="4"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预 算 数</w:t>
            </w:r>
          </w:p>
        </w:tc>
        <w:tc>
          <w:tcPr>
            <w:tcW w:w="6372" w:type="dxa"/>
            <w:gridSpan w:val="6"/>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决 算 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2" w:hRule="atLeast"/>
          <w:jc w:val="center"/>
        </w:trPr>
        <w:tc>
          <w:tcPr>
            <w:tcW w:w="1179" w:type="dxa"/>
            <w:vMerge w:val="restart"/>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1195"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因公出国（境）费</w:t>
            </w:r>
          </w:p>
        </w:tc>
        <w:tc>
          <w:tcPr>
            <w:tcW w:w="3632"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公务用车购置及运行维护费</w:t>
            </w:r>
          </w:p>
        </w:tc>
        <w:tc>
          <w:tcPr>
            <w:tcW w:w="878" w:type="dxa"/>
            <w:vMerge w:val="restart"/>
            <w:tcBorders>
              <w:top w:val="nil"/>
              <w:left w:val="single" w:color="auto" w:sz="4" w:space="0"/>
              <w:bottom w:val="single" w:color="auto" w:sz="4"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公务</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接待费</w:t>
            </w:r>
          </w:p>
        </w:tc>
        <w:tc>
          <w:tcPr>
            <w:tcW w:w="1258" w:type="dxa"/>
            <w:vMerge w:val="restart"/>
            <w:tcBorders>
              <w:top w:val="single" w:color="000000" w:sz="8" w:space="0"/>
              <w:left w:val="single" w:color="000000" w:sz="8" w:space="0"/>
              <w:bottom w:val="single" w:color="000000" w:sz="8" w:space="0"/>
              <w:right w:val="single" w:color="000000" w:sz="8"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983"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因公出国（境）费</w:t>
            </w:r>
          </w:p>
        </w:tc>
        <w:tc>
          <w:tcPr>
            <w:tcW w:w="3147"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公务用车购置及运行维护费</w:t>
            </w:r>
          </w:p>
        </w:tc>
        <w:tc>
          <w:tcPr>
            <w:tcW w:w="984"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公务</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2" w:hRule="atLeast"/>
          <w:jc w:val="center"/>
        </w:trPr>
        <w:tc>
          <w:tcPr>
            <w:tcW w:w="1179" w:type="dxa"/>
            <w:vMerge w:val="continue"/>
            <w:tcBorders>
              <w:top w:val="nil"/>
              <w:left w:val="single" w:color="auto" w:sz="8"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195"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1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11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公务用车购置费</w:t>
            </w:r>
          </w:p>
        </w:tc>
        <w:tc>
          <w:tcPr>
            <w:tcW w:w="127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公务用车运行维护费</w:t>
            </w:r>
          </w:p>
        </w:tc>
        <w:tc>
          <w:tcPr>
            <w:tcW w:w="878" w:type="dxa"/>
            <w:vMerge w:val="continue"/>
            <w:tcBorders>
              <w:top w:val="nil"/>
              <w:left w:val="single" w:color="auto" w:sz="4" w:space="0"/>
              <w:bottom w:val="single" w:color="auto" w:sz="4" w:space="0"/>
              <w:right w:val="single" w:color="000000" w:sz="8" w:space="0"/>
            </w:tcBorders>
            <w:vAlign w:val="center"/>
          </w:tcPr>
          <w:p>
            <w:pPr>
              <w:widowControl/>
              <w:spacing w:line="300" w:lineRule="exact"/>
              <w:jc w:val="left"/>
              <w:rPr>
                <w:rFonts w:ascii="仿宋_GB2312" w:hAnsi="宋体" w:eastAsia="仿宋_GB2312" w:cs="宋体"/>
                <w:kern w:val="0"/>
                <w:sz w:val="22"/>
                <w:szCs w:val="22"/>
              </w:rPr>
            </w:pPr>
          </w:p>
        </w:tc>
        <w:tc>
          <w:tcPr>
            <w:tcW w:w="1258" w:type="dxa"/>
            <w:vMerge w:val="continue"/>
            <w:tcBorders>
              <w:top w:val="single" w:color="000000" w:sz="8" w:space="0"/>
              <w:left w:val="single" w:color="000000" w:sz="8" w:space="0"/>
              <w:bottom w:val="single" w:color="000000" w:sz="8" w:space="0"/>
              <w:right w:val="single" w:color="000000" w:sz="8" w:space="0"/>
            </w:tcBorders>
            <w:vAlign w:val="center"/>
          </w:tcPr>
          <w:p>
            <w:pPr>
              <w:spacing w:line="300" w:lineRule="exact"/>
              <w:jc w:val="left"/>
              <w:rPr>
                <w:rFonts w:ascii="仿宋_GB2312" w:hAnsi="宋体" w:eastAsia="仿宋_GB2312" w:cs="宋体"/>
                <w:kern w:val="0"/>
                <w:sz w:val="22"/>
                <w:szCs w:val="22"/>
              </w:rPr>
            </w:pPr>
          </w:p>
        </w:tc>
        <w:tc>
          <w:tcPr>
            <w:tcW w:w="983" w:type="dxa"/>
            <w:vMerge w:val="continue"/>
            <w:tcBorders>
              <w:top w:val="single" w:color="000000" w:sz="8" w:space="0"/>
              <w:left w:val="single" w:color="000000" w:sz="8" w:space="0"/>
              <w:bottom w:val="single" w:color="000000" w:sz="8" w:space="0"/>
              <w:right w:val="single" w:color="000000" w:sz="8" w:space="0"/>
            </w:tcBorders>
            <w:vAlign w:val="center"/>
          </w:tcPr>
          <w:p>
            <w:pPr>
              <w:spacing w:line="300" w:lineRule="exact"/>
              <w:jc w:val="left"/>
              <w:rPr>
                <w:rFonts w:ascii="仿宋_GB2312" w:hAnsi="宋体" w:eastAsia="仿宋_GB2312" w:cs="宋体"/>
                <w:kern w:val="0"/>
                <w:sz w:val="22"/>
                <w:szCs w:val="22"/>
              </w:rPr>
            </w:pPr>
          </w:p>
        </w:tc>
        <w:tc>
          <w:tcPr>
            <w:tcW w:w="1147"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836"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公务用车购置费</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公务用车运行维护费</w:t>
            </w:r>
          </w:p>
        </w:tc>
        <w:tc>
          <w:tcPr>
            <w:tcW w:w="98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jc w:val="center"/>
        </w:trPr>
        <w:tc>
          <w:tcPr>
            <w:tcW w:w="1179" w:type="dxa"/>
            <w:tcBorders>
              <w:top w:val="nil"/>
              <w:left w:val="single" w:color="auto" w:sz="8" w:space="0"/>
              <w:bottom w:val="single" w:color="auto" w:sz="8"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1195" w:type="dxa"/>
            <w:tcBorders>
              <w:top w:val="nil"/>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1180" w:type="dxa"/>
            <w:tcBorders>
              <w:top w:val="nil"/>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1180" w:type="dxa"/>
            <w:tcBorders>
              <w:top w:val="nil"/>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1272" w:type="dxa"/>
            <w:tcBorders>
              <w:top w:val="nil"/>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w:t>
            </w:r>
          </w:p>
        </w:tc>
        <w:tc>
          <w:tcPr>
            <w:tcW w:w="878" w:type="dxa"/>
            <w:tcBorders>
              <w:top w:val="nil"/>
              <w:left w:val="nil"/>
              <w:bottom w:val="single" w:color="auto"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w:t>
            </w:r>
          </w:p>
        </w:tc>
        <w:tc>
          <w:tcPr>
            <w:tcW w:w="1258"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7</w:t>
            </w:r>
          </w:p>
        </w:tc>
        <w:tc>
          <w:tcPr>
            <w:tcW w:w="983"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8</w:t>
            </w:r>
          </w:p>
        </w:tc>
        <w:tc>
          <w:tcPr>
            <w:tcW w:w="1147"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9</w:t>
            </w:r>
          </w:p>
        </w:tc>
        <w:tc>
          <w:tcPr>
            <w:tcW w:w="836"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11</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6" w:hRule="atLeast"/>
          <w:jc w:val="center"/>
        </w:trPr>
        <w:tc>
          <w:tcPr>
            <w:tcW w:w="1179" w:type="dxa"/>
            <w:tcBorders>
              <w:top w:val="nil"/>
              <w:left w:val="single" w:color="auto" w:sz="8" w:space="0"/>
              <w:bottom w:val="single" w:color="auto" w:sz="8"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213.07</w:t>
            </w:r>
          </w:p>
        </w:tc>
        <w:tc>
          <w:tcPr>
            <w:tcW w:w="1195" w:type="dxa"/>
            <w:tcBorders>
              <w:top w:val="nil"/>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9.8</w:t>
            </w:r>
          </w:p>
        </w:tc>
        <w:tc>
          <w:tcPr>
            <w:tcW w:w="1180" w:type="dxa"/>
            <w:tcBorders>
              <w:top w:val="nil"/>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179.55</w:t>
            </w:r>
          </w:p>
        </w:tc>
        <w:tc>
          <w:tcPr>
            <w:tcW w:w="1180" w:type="dxa"/>
            <w:tcBorders>
              <w:top w:val="nil"/>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0</w:t>
            </w:r>
          </w:p>
        </w:tc>
        <w:tc>
          <w:tcPr>
            <w:tcW w:w="1272" w:type="dxa"/>
            <w:tcBorders>
              <w:top w:val="nil"/>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179.55</w:t>
            </w:r>
          </w:p>
        </w:tc>
        <w:tc>
          <w:tcPr>
            <w:tcW w:w="878" w:type="dxa"/>
            <w:tcBorders>
              <w:top w:val="nil"/>
              <w:left w:val="nil"/>
              <w:bottom w:val="single" w:color="auto"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23.72</w:t>
            </w:r>
          </w:p>
        </w:tc>
        <w:tc>
          <w:tcPr>
            <w:tcW w:w="1258"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76.226129</w:t>
            </w:r>
          </w:p>
        </w:tc>
        <w:tc>
          <w:tcPr>
            <w:tcW w:w="983"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0</w:t>
            </w:r>
          </w:p>
        </w:tc>
        <w:tc>
          <w:tcPr>
            <w:tcW w:w="1147"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66.76579</w:t>
            </w:r>
          </w:p>
        </w:tc>
        <w:tc>
          <w:tcPr>
            <w:tcW w:w="836"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66.76579</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9.4604</w:t>
            </w:r>
          </w:p>
        </w:tc>
      </w:tr>
    </w:tbl>
    <w:p>
      <w:pPr>
        <w:spacing w:line="360" w:lineRule="exact"/>
        <w:rPr>
          <w:rFonts w:ascii="仿宋_GB2312" w:hAnsi="宋体" w:eastAsia="仿宋_GB2312"/>
          <w:sz w:val="22"/>
          <w:szCs w:val="22"/>
        </w:rPr>
      </w:pPr>
      <w:r>
        <w:rPr>
          <w:rFonts w:hint="eastAsia" w:ascii="仿宋_GB2312" w:hAnsi="宋体" w:eastAsia="仿宋_GB2312"/>
          <w:sz w:val="22"/>
          <w:szCs w:val="22"/>
        </w:rPr>
        <w:t xml:space="preserve"> 注：本表反映部门本年度“三公”经费支出预决算情况。其中，预算数为“三公”经费年初预算数；决算数是包括当年一般公共预算财政拨款和以前年度结转资金安排的实际支出。</w:t>
      </w:r>
    </w:p>
    <w:p>
      <w:pPr>
        <w:jc w:val="center"/>
        <w:rPr>
          <w:rFonts w:ascii="方正小标宋简体" w:eastAsia="方正小标宋简体"/>
          <w:sz w:val="44"/>
          <w:szCs w:val="44"/>
        </w:rPr>
        <w:sectPr>
          <w:pgSz w:w="16838" w:h="11906" w:orient="landscape"/>
          <w:pgMar w:top="1531" w:right="1701" w:bottom="1531" w:left="1701" w:header="0" w:footer="1418" w:gutter="0"/>
          <w:cols w:space="720" w:num="1"/>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政府性基金预算财政拨款收入支出决算表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公开08表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 青岛市司法局                                                               金额单位：万元</w:t>
      </w:r>
    </w:p>
    <w:tbl>
      <w:tblPr>
        <w:tblStyle w:val="15"/>
        <w:tblpPr w:leftFromText="180" w:rightFromText="180" w:vertAnchor="text" w:tblpXSpec="center" w:tblpY="1"/>
        <w:tblOverlap w:val="never"/>
        <w:tblW w:w="13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2"/>
        <w:gridCol w:w="56"/>
        <w:gridCol w:w="1429"/>
        <w:gridCol w:w="1731"/>
        <w:gridCol w:w="1707"/>
        <w:gridCol w:w="1708"/>
        <w:gridCol w:w="1708"/>
        <w:gridCol w:w="1708"/>
        <w:gridCol w:w="1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173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年初结转和结余</w:t>
            </w:r>
          </w:p>
        </w:tc>
        <w:tc>
          <w:tcPr>
            <w:tcW w:w="170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本年收入</w:t>
            </w:r>
          </w:p>
        </w:tc>
        <w:tc>
          <w:tcPr>
            <w:tcW w:w="5124"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本年支出</w:t>
            </w:r>
          </w:p>
        </w:tc>
        <w:tc>
          <w:tcPr>
            <w:tcW w:w="1791"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9" w:hRule="atLeast"/>
        </w:trPr>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功能分类  科目编码</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173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70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基本支出</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项目支出</w:t>
            </w:r>
          </w:p>
        </w:tc>
        <w:tc>
          <w:tcPr>
            <w:tcW w:w="1791"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  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szCs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bl>
    <w:p>
      <w:pPr>
        <w:ind w:firstLine="108" w:firstLineChars="50"/>
        <w:rPr>
          <w:rFonts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szCs w:val="22"/>
        </w:rPr>
        <w:t>注：本表反映部门本年度政府性基金预算财政拨款收入、支出及结转和结余情况。本部门没有政府性基金收入，也没有使用政府性基金安排的支出，故本表无数据。</w:t>
      </w:r>
    </w:p>
    <w:p>
      <w:pPr>
        <w:jc w:val="center"/>
        <w:rPr>
          <w:rFonts w:ascii="方正小标宋简体" w:eastAsia="方正小标宋简体"/>
          <w:sz w:val="44"/>
          <w:szCs w:val="44"/>
        </w:rPr>
      </w:pPr>
      <w:r>
        <w:rPr>
          <w:rFonts w:hint="eastAsia" w:ascii="方正小标宋简体" w:eastAsia="方正小标宋简体"/>
          <w:sz w:val="44"/>
          <w:szCs w:val="44"/>
        </w:rPr>
        <w:t>国有资本经营预算财政拨款支出决算表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公开09表</w:t>
      </w:r>
    </w:p>
    <w:p>
      <w:pPr>
        <w:wordWrap w:val="0"/>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部门：青岛市司法局                                             </w:t>
      </w:r>
      <w:r>
        <w:rPr>
          <w:rFonts w:ascii="楷体_GB2312" w:eastAsia="楷体_GB2312"/>
          <w:sz w:val="28"/>
          <w:szCs w:val="28"/>
        </w:rPr>
        <w:t xml:space="preserve">  </w:t>
      </w:r>
      <w:r>
        <w:rPr>
          <w:rFonts w:hint="eastAsia" w:ascii="楷体_GB2312" w:eastAsia="楷体_GB2312"/>
          <w:sz w:val="28"/>
          <w:szCs w:val="28"/>
        </w:rPr>
        <w:t xml:space="preserve">                 金额单位：万元</w:t>
      </w:r>
    </w:p>
    <w:tbl>
      <w:tblPr>
        <w:tblStyle w:val="15"/>
        <w:tblW w:w="131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3170"/>
        <w:gridCol w:w="2783"/>
        <w:gridCol w:w="2978"/>
        <w:gridCol w:w="2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8" w:hRule="atLeas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828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功能分类</w:t>
            </w:r>
          </w:p>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科目编码</w:t>
            </w:r>
          </w:p>
        </w:tc>
        <w:tc>
          <w:tcPr>
            <w:tcW w:w="31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科目名称</w:t>
            </w:r>
          </w:p>
        </w:tc>
        <w:tc>
          <w:tcPr>
            <w:tcW w:w="278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栏  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487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  计</w:t>
            </w:r>
          </w:p>
        </w:tc>
        <w:tc>
          <w:tcPr>
            <w:tcW w:w="278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317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783"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bl>
    <w:p>
      <w:pPr>
        <w:spacing w:line="400" w:lineRule="exact"/>
        <w:ind w:firstLine="108" w:firstLineChars="50"/>
        <w:jc w:val="left"/>
        <w:rPr>
          <w:rFonts w:ascii="仿宋_GB2312" w:hAnsi="宋体" w:eastAsia="仿宋_GB2312"/>
          <w:sz w:val="22"/>
          <w:szCs w:val="22"/>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szCs w:val="22"/>
        </w:rPr>
        <w:t>注：本表反映部门本年度国有资本经营预算财政拨款支出情况。本部门没有使用国有资本经营预算安排的支出，故本表无数据。</w:t>
      </w:r>
    </w:p>
    <w:p>
      <w:pPr>
        <w:jc w:val="center"/>
        <w:rPr>
          <w:rFonts w:ascii="方正小标宋简体" w:eastAsia="方正小标宋简体"/>
          <w:sz w:val="42"/>
        </w:rPr>
      </w:pPr>
    </w:p>
    <w:p>
      <w:pPr>
        <w:jc w:val="center"/>
        <w:rPr>
          <w:rFonts w:ascii="方正小标宋简体" w:eastAsia="方正小标宋简体"/>
          <w:sz w:val="42"/>
        </w:rPr>
      </w:pPr>
    </w:p>
    <w:p>
      <w:pPr>
        <w:jc w:val="center"/>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第三部分</w:t>
      </w: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pPr>
    </w:p>
    <w:p>
      <w:pPr>
        <w:spacing w:line="800" w:lineRule="exact"/>
        <w:jc w:val="center"/>
        <w:rPr>
          <w:rFonts w:ascii="方正小标宋简体" w:eastAsia="方正小标宋简体"/>
          <w:spacing w:val="60"/>
          <w:sz w:val="48"/>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2021年度部门决算情况说明</w:t>
      </w:r>
    </w:p>
    <w:p>
      <w:pPr>
        <w:spacing w:line="580" w:lineRule="exact"/>
        <w:ind w:firstLine="640" w:firstLineChars="200"/>
        <w:rPr>
          <w:rFonts w:ascii="黑体" w:hAnsi="黑体" w:eastAsia="黑体"/>
          <w:szCs w:val="32"/>
        </w:rPr>
      </w:pPr>
      <w:r>
        <w:rPr>
          <w:rFonts w:hint="eastAsia" w:ascii="黑体" w:hAnsi="黑体" w:eastAsia="黑体"/>
          <w:szCs w:val="32"/>
        </w:rPr>
        <w:t>一、收入支出决算总体情况</w:t>
      </w:r>
    </w:p>
    <w:p>
      <w:pPr>
        <w:spacing w:line="580" w:lineRule="exact"/>
        <w:ind w:firstLine="640" w:firstLineChars="200"/>
        <w:rPr>
          <w:rFonts w:ascii="仿宋_GB2312" w:eastAsia="仿宋_GB2312"/>
          <w:szCs w:val="32"/>
          <w:highlight w:val="none"/>
        </w:rPr>
      </w:pPr>
      <w:r>
        <w:rPr>
          <w:rFonts w:hint="eastAsia" w:ascii="仿宋_GB2312" w:eastAsia="仿宋_GB2312"/>
          <w:szCs w:val="32"/>
        </w:rPr>
        <w:t>2021年度收、支总计85799.26万元。与2020年度相比，收、支总计各增加7879.76万元，增长10.11%。</w:t>
      </w:r>
      <w:r>
        <w:rPr>
          <w:rFonts w:hint="eastAsia" w:ascii="仿宋_GB2312" w:eastAsia="仿宋_GB2312"/>
          <w:szCs w:val="32"/>
          <w:highlight w:val="none"/>
        </w:rPr>
        <w:t>主要是新增基本建设项目及</w:t>
      </w:r>
      <w:r>
        <w:rPr>
          <w:rFonts w:hint="eastAsia" w:ascii="仿宋_GB2312" w:eastAsia="仿宋_GB2312"/>
          <w:szCs w:val="32"/>
          <w:highlight w:val="none"/>
          <w:lang w:eastAsia="zh-CN"/>
        </w:rPr>
        <w:t>商品和服务支出</w:t>
      </w:r>
      <w:r>
        <w:rPr>
          <w:rFonts w:ascii="仿宋_GB2312" w:eastAsia="仿宋_GB2312"/>
          <w:szCs w:val="32"/>
          <w:highlight w:val="none"/>
        </w:rPr>
        <w:t>增加</w:t>
      </w:r>
      <w:r>
        <w:rPr>
          <w:rFonts w:hint="eastAsia" w:ascii="仿宋_GB2312" w:eastAsia="仿宋_GB2312"/>
          <w:szCs w:val="32"/>
          <w:highlight w:val="none"/>
        </w:rPr>
        <w:t>。</w:t>
      </w:r>
    </w:p>
    <w:p>
      <w:pPr>
        <w:spacing w:line="580" w:lineRule="exact"/>
        <w:ind w:firstLine="640" w:firstLineChars="200"/>
        <w:rPr>
          <w:rFonts w:ascii="仿宋_GB2312" w:eastAsia="仿宋_GB2312"/>
          <w:szCs w:val="32"/>
        </w:rPr>
      </w:pPr>
    </w:p>
    <w:p>
      <w:pPr>
        <w:spacing w:line="580" w:lineRule="exact"/>
        <w:rPr>
          <w:rFonts w:ascii="黑体" w:hAnsi="黑体" w:eastAsia="黑体"/>
          <w:szCs w:val="32"/>
        </w:rPr>
      </w:pPr>
      <w:r>
        <w:rPr>
          <w:rFonts w:ascii="Times New Roman" w:hAnsi="Times New Roman" w:eastAsia="宋体" w:cs="Times New Roman"/>
          <w:kern w:val="2"/>
          <w:sz w:val="32"/>
          <w:szCs w:val="24"/>
          <w:lang w:val="en-US" w:eastAsia="zh-CN" w:bidi="ar-SA"/>
        </w:rPr>
        <w:pict>
          <v:shape id="图片 4" o:spid="_x0000_s1026" type="#_x0000_t75" style="position:absolute;left:0;margin-top:4.2pt;height:217pt;width:361pt;mso-position-horizontal:center;mso-wrap-distance-bottom:0pt;mso-wrap-distance-top:0pt;rotation:0f;z-index:251658240;" o:ole="f" fillcolor="#FFFFFF" filled="f" o:preferrelative="t" stroked="f" coordorigin="0,0" coordsize="21600,21600">
            <v:fill on="f" color2="#FFFFFF" focus="0%"/>
            <v:imagedata gain="65536f" blacklevel="0f" gamma="0" o:title="" r:id="rId8"/>
            <o:lock v:ext="edit" position="f" selection="f" grouping="f" rotation="f" cropping="f" text="f" aspectratio="t"/>
            <w10:wrap type="topAndBottom"/>
          </v:shape>
        </w:pict>
      </w:r>
      <w:r>
        <w:rPr>
          <w:rFonts w:hint="eastAsia"/>
        </w:rPr>
        <w:t xml:space="preserve">    </w:t>
      </w:r>
      <w:r>
        <w:rPr>
          <w:rFonts w:hint="eastAsia" w:ascii="黑体" w:hAnsi="黑体" w:eastAsia="黑体"/>
          <w:szCs w:val="32"/>
        </w:rPr>
        <w:t>二、收入决算情况</w:t>
      </w:r>
    </w:p>
    <w:p>
      <w:pPr>
        <w:spacing w:line="580" w:lineRule="exact"/>
        <w:ind w:firstLine="640" w:firstLineChars="200"/>
        <w:rPr>
          <w:rFonts w:ascii="仿宋_GB2312" w:eastAsia="仿宋_GB2312"/>
          <w:szCs w:val="32"/>
        </w:rPr>
      </w:pPr>
      <w:r>
        <w:rPr>
          <w:rFonts w:ascii="Times New Roman" w:hAnsi="Times New Roman" w:eastAsia="宋体" w:cs="Times New Roman"/>
          <w:kern w:val="2"/>
          <w:sz w:val="32"/>
          <w:szCs w:val="24"/>
          <w:lang w:val="en-US" w:eastAsia="zh-CN" w:bidi="ar-SA"/>
        </w:rPr>
        <w:pict>
          <v:shape id="图片 10" o:spid="_x0000_s1027" type="#_x0000_t75" style="position:absolute;left:0;margin-top:59.85pt;height:217pt;width:361pt;mso-position-horizontal:center;mso-wrap-distance-bottom:0pt;mso-wrap-distance-top:0pt;rotation:0f;z-index:251659264;" o:ole="f" fillcolor="#FFFFFF" filled="f" o:preferrelative="t" stroked="f" coordorigin="0,0" coordsize="21600,21600">
            <v:fill on="f" color2="#FFFFFF" focus="0%"/>
            <v:imagedata gain="65536f" blacklevel="0f" gamma="0" o:title="" r:id="rId9"/>
            <o:lock v:ext="edit" position="f" selection="f" grouping="f" rotation="f" cropping="f" text="f" aspectratio="t"/>
            <w10:wrap type="topAndBottom"/>
          </v:shape>
        </w:pict>
      </w:r>
      <w:r>
        <w:rPr>
          <w:rFonts w:hint="eastAsia" w:ascii="仿宋_GB2312" w:eastAsia="仿宋_GB2312"/>
          <w:szCs w:val="32"/>
        </w:rPr>
        <w:t>本年收入合计85489.6万元，其中：财政拨款收入81950.47万元，占95.86%；其他收入3539.14万元，占4.14%。</w:t>
      </w:r>
    </w:p>
    <w:p>
      <w:pPr>
        <w:spacing w:line="580" w:lineRule="exact"/>
        <w:ind w:firstLine="640" w:firstLineChars="200"/>
        <w:rPr>
          <w:rFonts w:ascii="黑体" w:hAnsi="黑体" w:eastAsia="黑体"/>
          <w:szCs w:val="32"/>
        </w:rPr>
      </w:pPr>
      <w:r>
        <w:rPr>
          <w:rFonts w:hint="eastAsia" w:ascii="黑体" w:hAnsi="黑体" w:eastAsia="黑体"/>
          <w:szCs w:val="32"/>
        </w:rPr>
        <w:t>三、支出决算情况</w:t>
      </w:r>
    </w:p>
    <w:p>
      <w:pPr>
        <w:spacing w:line="580" w:lineRule="exact"/>
        <w:ind w:firstLine="640" w:firstLineChars="200"/>
        <w:rPr>
          <w:rFonts w:ascii="仿宋_GB2312" w:eastAsia="仿宋_GB2312"/>
          <w:szCs w:val="32"/>
        </w:rPr>
      </w:pPr>
      <w:r>
        <w:rPr>
          <w:rFonts w:hint="eastAsia" w:ascii="仿宋_GB2312" w:eastAsia="仿宋_GB2312"/>
          <w:szCs w:val="32"/>
        </w:rPr>
        <w:t>本年支出合计85046.59万元，其中：基本支出72400.03万元，占85.13%；项目支出12646.56万元，占14.87%。</w:t>
      </w:r>
    </w:p>
    <w:p>
      <w:pPr>
        <w:spacing w:line="580" w:lineRule="exact"/>
        <w:ind w:firstLine="640" w:firstLineChars="200"/>
        <w:rPr>
          <w:rFonts w:ascii="黑体" w:hAnsi="黑体" w:eastAsia="黑体"/>
          <w:szCs w:val="32"/>
        </w:rPr>
      </w:pPr>
      <w:r>
        <w:rPr>
          <w:rFonts w:ascii="Times New Roman" w:hAnsi="Times New Roman" w:eastAsia="宋体" w:cs="Times New Roman"/>
          <w:kern w:val="2"/>
          <w:sz w:val="32"/>
          <w:szCs w:val="24"/>
          <w:lang w:val="en-US" w:eastAsia="zh-CN" w:bidi="ar-SA"/>
        </w:rPr>
        <w:pict>
          <v:shape id="Picture 4" o:spid="_x0000_s1028" type="#_x0000_t75" style="position:absolute;left:0;margin-top:4.25pt;height:217pt;width:361pt;mso-position-horizontal:center;mso-wrap-distance-bottom:0pt;mso-wrap-distance-top:0pt;rotation:0f;z-index:251660288;" o:ole="f" fillcolor="#FFFFFF" filled="f" o:preferrelative="t" stroked="f" coordorigin="0,0" coordsize="21600,21600">
            <v:fill on="f" color2="#FFFFFF" focus="0%"/>
            <v:imagedata gain="65536f" blacklevel="0f" gamma="0" o:title="" r:id="rId10"/>
            <o:lock v:ext="edit" position="f" selection="f" grouping="f" rotation="f" cropping="f" text="f" aspectratio="t"/>
            <w10:wrap type="topAndBottom"/>
          </v:shape>
        </w:pict>
      </w:r>
      <w:r>
        <w:rPr>
          <w:rFonts w:hint="eastAsia" w:ascii="黑体" w:hAnsi="黑体" w:eastAsia="黑体"/>
          <w:szCs w:val="32"/>
        </w:rPr>
        <w:t>四、财政拨款收入支出决算总体情况</w:t>
      </w:r>
    </w:p>
    <w:p>
      <w:pPr>
        <w:spacing w:line="580" w:lineRule="exact"/>
        <w:ind w:firstLine="640" w:firstLineChars="200"/>
        <w:rPr>
          <w:rFonts w:hint="eastAsia" w:ascii="仿宋_GB2312" w:eastAsia="仿宋_GB2312"/>
          <w:szCs w:val="32"/>
          <w:highlight w:val="none"/>
          <w:lang w:eastAsia="zh-CN"/>
        </w:rPr>
      </w:pPr>
      <w:r>
        <w:rPr>
          <w:rFonts w:ascii="Times New Roman" w:hAnsi="Times New Roman" w:eastAsia="宋体" w:cs="Times New Roman"/>
          <w:kern w:val="2"/>
          <w:sz w:val="32"/>
          <w:szCs w:val="24"/>
          <w:lang w:val="en-US" w:eastAsia="zh-CN" w:bidi="ar-SA"/>
        </w:rPr>
        <w:pict>
          <v:shape id="图片 8" o:spid="_x0000_s1029" type="#_x0000_t75" style="position:absolute;left:0;margin-top:87.05pt;height:217pt;width:361pt;mso-position-horizontal:center;mso-wrap-distance-bottom:0pt;mso-wrap-distance-top:0pt;rotation:0f;z-index:251661312;" o:ole="f" fillcolor="#FFFFFF" filled="f" o:preferrelative="t" stroked="f" coordorigin="0,0" coordsize="21600,21600">
            <v:fill on="f" color2="#FFFFFF" focus="0%"/>
            <v:imagedata gain="65536f" blacklevel="0f" gamma="0" o:title="" r:id="rId11"/>
            <o:lock v:ext="edit" position="f" selection="f" grouping="f" rotation="f" cropping="f" text="f" aspectratio="t"/>
            <w10:wrap type="topAndBottom"/>
          </v:shape>
        </w:pict>
      </w:r>
      <w:r>
        <w:rPr>
          <w:rFonts w:hint="eastAsia" w:ascii="仿宋_GB2312" w:eastAsia="仿宋_GB2312"/>
          <w:szCs w:val="32"/>
        </w:rPr>
        <w:t>2021年度财政拨款收、支总计81950.46万元。与2020年度相比，财政拨款收、支总计各增加9224.45万元，增长12.68%。</w:t>
      </w:r>
      <w:r>
        <w:rPr>
          <w:rFonts w:hint="eastAsia" w:ascii="仿宋_GB2312" w:eastAsia="仿宋_GB2312"/>
          <w:szCs w:val="32"/>
          <w:highlight w:val="none"/>
        </w:rPr>
        <w:t>主要是新增基本建设项目及</w:t>
      </w:r>
      <w:r>
        <w:rPr>
          <w:rFonts w:hint="eastAsia" w:ascii="仿宋_GB2312" w:eastAsia="仿宋_GB2312"/>
          <w:szCs w:val="32"/>
          <w:highlight w:val="none"/>
          <w:lang w:eastAsia="zh-CN"/>
        </w:rPr>
        <w:t>商品和服务支出</w:t>
      </w:r>
      <w:r>
        <w:rPr>
          <w:rFonts w:ascii="仿宋_GB2312" w:eastAsia="仿宋_GB2312"/>
          <w:szCs w:val="32"/>
          <w:highlight w:val="none"/>
        </w:rPr>
        <w:t>增加</w:t>
      </w:r>
      <w:r>
        <w:rPr>
          <w:rFonts w:hint="eastAsia" w:ascii="仿宋_GB2312" w:eastAsia="仿宋_GB2312"/>
          <w:szCs w:val="32"/>
          <w:highlight w:val="none"/>
          <w:lang w:eastAsia="zh-CN"/>
        </w:rPr>
        <w:t>。</w:t>
      </w:r>
    </w:p>
    <w:p>
      <w:pPr>
        <w:spacing w:line="580" w:lineRule="exact"/>
        <w:ind w:firstLine="640" w:firstLineChars="200"/>
        <w:rPr>
          <w:rFonts w:ascii="黑体" w:hAnsi="黑体" w:eastAsia="黑体"/>
          <w:szCs w:val="32"/>
        </w:rPr>
      </w:pPr>
      <w:r>
        <w:rPr>
          <w:rFonts w:hint="eastAsia" w:ascii="黑体" w:hAnsi="黑体" w:eastAsia="黑体"/>
          <w:szCs w:val="32"/>
        </w:rPr>
        <w:t>五、一般公共预算财政拨款支出决算情况</w:t>
      </w:r>
    </w:p>
    <w:p>
      <w:pPr>
        <w:spacing w:line="580" w:lineRule="exact"/>
        <w:ind w:firstLine="640" w:firstLineChars="200"/>
        <w:rPr>
          <w:rFonts w:ascii="楷体_GB2312" w:eastAsia="楷体_GB2312"/>
          <w:szCs w:val="32"/>
        </w:rPr>
      </w:pPr>
      <w:r>
        <w:rPr>
          <w:rFonts w:hint="eastAsia" w:ascii="楷体_GB2312" w:eastAsia="楷体_GB2312"/>
          <w:szCs w:val="32"/>
        </w:rPr>
        <w:t>（一）一般公共预算财政拨款支出决算总体情况</w:t>
      </w:r>
    </w:p>
    <w:p>
      <w:pPr>
        <w:spacing w:line="580" w:lineRule="exact"/>
        <w:ind w:firstLine="640" w:firstLineChars="200"/>
        <w:rPr>
          <w:rFonts w:ascii="仿宋_GB2312" w:eastAsia="仿宋_GB2312"/>
          <w:szCs w:val="32"/>
        </w:rPr>
      </w:pPr>
      <w:r>
        <w:rPr>
          <w:rFonts w:hint="eastAsia" w:ascii="仿宋_GB2312" w:eastAsia="仿宋_GB2312"/>
          <w:szCs w:val="32"/>
        </w:rPr>
        <w:t>2021年度一般公共预算财政拨款支出81944.34万元，占本年支出合计的95.51%。与2020年度相比，一般公共预算财政拨款支出增加9218.33万元，增长12.68%。</w:t>
      </w:r>
      <w:r>
        <w:rPr>
          <w:rFonts w:hint="eastAsia" w:ascii="仿宋_GB2312" w:eastAsia="仿宋_GB2312"/>
          <w:szCs w:val="32"/>
          <w:highlight w:val="none"/>
        </w:rPr>
        <w:t>主要是新增基本建设项目及</w:t>
      </w:r>
      <w:r>
        <w:rPr>
          <w:rFonts w:hint="eastAsia" w:ascii="仿宋_GB2312" w:eastAsia="仿宋_GB2312"/>
          <w:szCs w:val="32"/>
          <w:highlight w:val="none"/>
          <w:lang w:eastAsia="zh-CN"/>
        </w:rPr>
        <w:t>商品和服务支出</w:t>
      </w:r>
      <w:r>
        <w:rPr>
          <w:rFonts w:ascii="仿宋_GB2312" w:eastAsia="仿宋_GB2312"/>
          <w:szCs w:val="32"/>
          <w:highlight w:val="none"/>
        </w:rPr>
        <w:t>增加</w:t>
      </w:r>
      <w:r>
        <w:rPr>
          <w:rFonts w:hint="eastAsia" w:ascii="仿宋_GB2312" w:eastAsia="仿宋_GB2312"/>
          <w:szCs w:val="32"/>
          <w:highlight w:val="none"/>
        </w:rPr>
        <w:t>。</w:t>
      </w:r>
    </w:p>
    <w:p>
      <w:pPr>
        <w:spacing w:line="580" w:lineRule="exact"/>
        <w:ind w:firstLine="640" w:firstLineChars="200"/>
        <w:rPr>
          <w:rFonts w:ascii="楷体_GB2312" w:eastAsia="楷体_GB2312"/>
          <w:szCs w:val="32"/>
        </w:rPr>
      </w:pPr>
      <w:r>
        <w:rPr>
          <w:rFonts w:ascii="Times New Roman" w:hAnsi="Times New Roman" w:eastAsia="宋体" w:cs="Times New Roman"/>
          <w:kern w:val="2"/>
          <w:sz w:val="32"/>
          <w:szCs w:val="24"/>
          <w:lang w:val="en-US" w:eastAsia="zh-CN" w:bidi="ar-SA"/>
        </w:rPr>
        <w:pict>
          <v:shape id="图片 12" o:spid="_x0000_s1030" type="#_x0000_t75" style="position:absolute;left:0;margin-top:6.25pt;height:217pt;width:361pt;mso-position-horizontal:center;mso-wrap-distance-bottom:0pt;mso-wrap-distance-top:0pt;rotation:0f;z-index:251662336;" o:ole="f" fillcolor="#FFFFFF" filled="f" o:preferrelative="t" stroked="f" coordorigin="0,0" coordsize="21600,21600">
            <v:fill on="f" color2="#FFFFFF" focus="0%"/>
            <v:imagedata gain="65536f" blacklevel="0f" gamma="0" o:title="" r:id="rId12"/>
            <o:lock v:ext="edit" position="f" selection="f" grouping="f" rotation="f" cropping="f" text="f" aspectratio="t"/>
            <w10:wrap type="topAndBottom"/>
          </v:shape>
        </w:pict>
      </w:r>
      <w:r>
        <w:rPr>
          <w:rFonts w:hint="eastAsia" w:ascii="楷体_GB2312" w:eastAsia="楷体_GB2312"/>
          <w:szCs w:val="32"/>
        </w:rPr>
        <w:t>（二）一般公共预算财政拨款支出决算结构情况</w:t>
      </w:r>
    </w:p>
    <w:p>
      <w:pPr>
        <w:spacing w:line="580" w:lineRule="exact"/>
        <w:ind w:firstLine="640" w:firstLineChars="200"/>
        <w:rPr>
          <w:rFonts w:ascii="仿宋_GB2312" w:eastAsia="仿宋_GB2312"/>
          <w:szCs w:val="32"/>
        </w:rPr>
      </w:pPr>
      <w:r>
        <w:rPr>
          <w:rFonts w:hint="eastAsia" w:ascii="仿宋_GB2312" w:eastAsia="仿宋_GB2312"/>
          <w:szCs w:val="32"/>
        </w:rPr>
        <w:t>2021年度一般公共预算财政拨款支出81944.34万元，主要用于以下方面：一般公共服务（类）支出189.49万元，占0.23%；公共安全（类）支出73278.77万元，占89.43%；文化旅游体育与传媒（类）支出478.06万元，占0.58%；社会保障和就业（类）支出4902.15万元，占5.98%；卫生健康（类）支出50万元，占0.06%；住房保障（类）支出2985.4万元，占3.64%；其他（类）支出60.48万元，占0.07%。</w:t>
      </w:r>
    </w:p>
    <w:p>
      <w:pPr>
        <w:spacing w:line="580" w:lineRule="exact"/>
        <w:rPr>
          <w:rFonts w:ascii="楷体_GB2312" w:eastAsia="楷体_GB2312"/>
          <w:szCs w:val="32"/>
        </w:rPr>
      </w:pPr>
      <w:r>
        <w:rPr>
          <w:rFonts w:ascii="Times New Roman" w:hAnsi="Times New Roman" w:eastAsia="宋体" w:cs="Times New Roman"/>
          <w:kern w:val="2"/>
          <w:sz w:val="32"/>
          <w:szCs w:val="24"/>
          <w:lang w:val="en-US" w:eastAsia="zh-CN" w:bidi="ar-SA"/>
        </w:rPr>
        <w:pict>
          <v:shape id="图片 15" o:spid="_x0000_s1031" type="#_x0000_t75" style="position:absolute;left:0;margin-top:0pt;height:266.45pt;width:424.9pt;mso-position-horizontal:center;mso-wrap-distance-bottom:0pt;mso-wrap-distance-top:0pt;rotation:0f;z-index:251663360;" o:ole="f" fillcolor="#FFFFFF" filled="f" o:preferrelative="t" stroked="f" coordorigin="0,0" coordsize="21600,21600">
            <v:fill on="f" color2="#FFFFFF" focus="0%"/>
            <v:imagedata gain="65536f" blacklevel="0f" gamma="0" o:title="" r:id="rId13"/>
            <o:lock v:ext="edit" position="f" selection="f" grouping="f" rotation="f" cropping="f" text="f" aspectratio="t"/>
            <w10:wrap type="topAndBottom"/>
          </v:shape>
        </w:pict>
      </w:r>
      <w:r>
        <w:rPr>
          <w:rFonts w:hint="eastAsia"/>
        </w:rPr>
        <w:t xml:space="preserve">    </w:t>
      </w:r>
      <w:r>
        <w:rPr>
          <w:rFonts w:hint="eastAsia" w:ascii="楷体_GB2312" w:eastAsia="楷体_GB2312"/>
          <w:szCs w:val="32"/>
        </w:rPr>
        <w:t>（三）一般公共预算财政拨款支出决算具体情况</w:t>
      </w:r>
    </w:p>
    <w:p>
      <w:pPr>
        <w:spacing w:line="580" w:lineRule="exact"/>
        <w:ind w:firstLine="640" w:firstLineChars="200"/>
        <w:rPr>
          <w:rFonts w:ascii="仿宋_GB2312" w:eastAsia="仿宋_GB2312"/>
          <w:szCs w:val="32"/>
        </w:rPr>
      </w:pPr>
      <w:r>
        <w:rPr>
          <w:rFonts w:hint="eastAsia" w:ascii="仿宋_GB2312" w:eastAsia="仿宋_GB2312"/>
          <w:szCs w:val="32"/>
        </w:rPr>
        <w:t>2021年度一般公共预算财政拨款支出年初预算为60688.73万元，支出决算为81944.34万元，完成年初预算的135.02%。决算数大于年初预算数的</w:t>
      </w:r>
      <w:r>
        <w:rPr>
          <w:rFonts w:hint="eastAsia" w:ascii="仿宋_GB2312" w:eastAsia="仿宋_GB2312"/>
          <w:szCs w:val="32"/>
          <w:highlight w:val="none"/>
        </w:rPr>
        <w:t>主要</w:t>
      </w:r>
      <w:r>
        <w:rPr>
          <w:rFonts w:hint="eastAsia" w:ascii="仿宋_GB2312" w:eastAsia="仿宋_GB2312"/>
          <w:szCs w:val="32"/>
          <w:highlight w:val="none"/>
          <w:lang w:eastAsia="zh-CN"/>
        </w:rPr>
        <w:t>原因</w:t>
      </w:r>
      <w:r>
        <w:rPr>
          <w:rFonts w:hint="eastAsia" w:ascii="仿宋_GB2312" w:eastAsia="仿宋_GB2312"/>
          <w:szCs w:val="32"/>
          <w:highlight w:val="none"/>
        </w:rPr>
        <w:t>是新增基本建设项目及</w:t>
      </w:r>
      <w:r>
        <w:rPr>
          <w:rFonts w:hint="eastAsia" w:ascii="仿宋_GB2312" w:eastAsia="仿宋_GB2312"/>
          <w:szCs w:val="32"/>
          <w:highlight w:val="none"/>
          <w:lang w:eastAsia="zh-CN"/>
        </w:rPr>
        <w:t>商品和服务支出</w:t>
      </w:r>
      <w:r>
        <w:rPr>
          <w:rFonts w:ascii="仿宋_GB2312" w:eastAsia="仿宋_GB2312"/>
          <w:szCs w:val="32"/>
          <w:highlight w:val="none"/>
        </w:rPr>
        <w:t>增加</w:t>
      </w:r>
      <w:r>
        <w:rPr>
          <w:rFonts w:hint="eastAsia" w:ascii="仿宋_GB2312" w:eastAsia="仿宋_GB2312"/>
          <w:szCs w:val="32"/>
          <w:highlight w:val="none"/>
        </w:rPr>
        <w:t>。</w:t>
      </w:r>
      <w:r>
        <w:rPr>
          <w:rFonts w:hint="eastAsia" w:ascii="仿宋_GB2312" w:eastAsia="仿宋_GB2312"/>
          <w:szCs w:val="32"/>
        </w:rPr>
        <w:t>其中：</w:t>
      </w:r>
    </w:p>
    <w:p>
      <w:pPr>
        <w:numPr>
          <w:ilvl w:val="0"/>
          <w:numId w:val="1"/>
        </w:numPr>
        <w:spacing w:line="580" w:lineRule="exact"/>
        <w:ind w:firstLine="640" w:firstLineChars="200"/>
        <w:rPr>
          <w:rFonts w:ascii="仿宋_GB2312" w:eastAsia="仿宋_GB2312"/>
          <w:szCs w:val="32"/>
        </w:rPr>
      </w:pPr>
      <w:r>
        <w:rPr>
          <w:rFonts w:hint="eastAsia" w:ascii="仿宋_GB2312" w:eastAsia="仿宋_GB2312"/>
          <w:szCs w:val="32"/>
        </w:rPr>
        <w:t>一般公共服务支出（类）财政事务（款）事业运行（项）。年初预算为149.69万元，支出决算为167.46万元，完成年初预算的111.87%。决算数大于年初预算数的主要原因是</w:t>
      </w:r>
      <w:r>
        <w:rPr>
          <w:rFonts w:hint="eastAsia" w:ascii="仿宋_GB2312" w:eastAsia="仿宋_GB2312"/>
          <w:szCs w:val="32"/>
          <w:highlight w:val="none"/>
          <w:lang w:eastAsia="zh-CN"/>
        </w:rPr>
        <w:t>商品和服务支出</w:t>
      </w:r>
      <w:r>
        <w:rPr>
          <w:rFonts w:ascii="仿宋_GB2312" w:eastAsia="仿宋_GB2312"/>
          <w:szCs w:val="32"/>
          <w:highlight w:val="none"/>
        </w:rPr>
        <w:t>增加</w:t>
      </w:r>
      <w:r>
        <w:rPr>
          <w:rFonts w:hint="eastAsia" w:ascii="仿宋_GB2312" w:eastAsia="仿宋_GB2312"/>
          <w:szCs w:val="32"/>
        </w:rPr>
        <w:t>。</w:t>
      </w:r>
    </w:p>
    <w:p>
      <w:pPr>
        <w:numPr>
          <w:ilvl w:val="0"/>
          <w:numId w:val="1"/>
        </w:numPr>
        <w:spacing w:line="580" w:lineRule="exact"/>
        <w:ind w:firstLine="640" w:firstLineChars="200"/>
        <w:rPr>
          <w:rFonts w:ascii="仿宋_GB2312" w:eastAsia="仿宋_GB2312"/>
          <w:szCs w:val="32"/>
        </w:rPr>
      </w:pPr>
      <w:r>
        <w:rPr>
          <w:rFonts w:hint="eastAsia" w:ascii="仿宋_GB2312" w:eastAsia="仿宋_GB2312"/>
          <w:szCs w:val="32"/>
        </w:rPr>
        <w:t>一般公共服务支出（类）财政事务（款）其他组织事务支出（项）。年初无预算，支出决算为22.03万元。决算数大于年初预算数的主要原因是两新组织党建指导员补助未纳入年初预算。</w:t>
      </w:r>
    </w:p>
    <w:p>
      <w:pPr>
        <w:numPr>
          <w:ilvl w:val="0"/>
          <w:numId w:val="1"/>
        </w:numPr>
        <w:spacing w:line="580" w:lineRule="exact"/>
        <w:ind w:firstLine="640" w:firstLineChars="200"/>
        <w:rPr>
          <w:rFonts w:ascii="仿宋_GB2312" w:eastAsia="仿宋_GB2312"/>
          <w:szCs w:val="32"/>
        </w:rPr>
      </w:pPr>
      <w:r>
        <w:rPr>
          <w:rFonts w:hint="eastAsia" w:ascii="仿宋_GB2312" w:eastAsia="仿宋_GB2312"/>
          <w:szCs w:val="32"/>
        </w:rPr>
        <w:t>公共安全支出（类）司法（款）行政运行（项）。年初预算为3326.45万元，支出决算为4174.98万元，完成年初预算的125.51%。决算数大于年初预算数的主要原因是</w:t>
      </w:r>
      <w:r>
        <w:rPr>
          <w:rFonts w:hint="eastAsia" w:ascii="仿宋_GB2312" w:eastAsia="仿宋_GB2312"/>
          <w:szCs w:val="32"/>
          <w:highlight w:val="none"/>
          <w:lang w:eastAsia="zh-CN"/>
        </w:rPr>
        <w:t>商品和服务支出</w:t>
      </w:r>
      <w:r>
        <w:rPr>
          <w:rFonts w:ascii="仿宋_GB2312" w:eastAsia="仿宋_GB2312"/>
          <w:szCs w:val="32"/>
          <w:highlight w:val="none"/>
        </w:rPr>
        <w:t>增加</w:t>
      </w:r>
      <w:r>
        <w:rPr>
          <w:rFonts w:hint="eastAsia" w:ascii="仿宋_GB2312" w:eastAsia="仿宋_GB2312"/>
          <w:szCs w:val="32"/>
        </w:rPr>
        <w:t>。</w:t>
      </w:r>
    </w:p>
    <w:p>
      <w:pPr>
        <w:numPr>
          <w:ilvl w:val="0"/>
          <w:numId w:val="1"/>
        </w:numPr>
        <w:spacing w:line="580" w:lineRule="exact"/>
        <w:ind w:firstLine="640" w:firstLineChars="200"/>
        <w:rPr>
          <w:rFonts w:ascii="仿宋_GB2312" w:eastAsia="仿宋_GB2312"/>
          <w:szCs w:val="32"/>
        </w:rPr>
      </w:pPr>
      <w:r>
        <w:rPr>
          <w:rFonts w:hint="eastAsia" w:ascii="仿宋_GB2312" w:eastAsia="仿宋_GB2312"/>
          <w:szCs w:val="32"/>
        </w:rPr>
        <w:t>公共安全支出（类）司法（款）一般行政管理事务（项）。年初预算为923.1万元，支出决算为902.04万元，完成年初预算的97.72%。决算数小于年初预算数的主要原因是落实“厉行节约”规定，严格控制费用支出。</w:t>
      </w:r>
    </w:p>
    <w:p>
      <w:pPr>
        <w:numPr>
          <w:ilvl w:val="0"/>
          <w:numId w:val="1"/>
        </w:numPr>
        <w:spacing w:line="580" w:lineRule="exact"/>
        <w:ind w:firstLine="640" w:firstLineChars="200"/>
        <w:rPr>
          <w:rFonts w:ascii="仿宋_GB2312" w:eastAsia="仿宋_GB2312"/>
          <w:szCs w:val="32"/>
        </w:rPr>
      </w:pPr>
      <w:r>
        <w:rPr>
          <w:rFonts w:hint="eastAsia" w:ascii="仿宋_GB2312" w:eastAsia="仿宋_GB2312"/>
          <w:szCs w:val="32"/>
        </w:rPr>
        <w:t>公共安全支出（类）司法（款）公共法律服务（项）。年初预算为254.3万元，支出决算为250.14万元，完成年初预算的98.36%。决算数小于年初预算数的主要原因是落实“厉行节约”规定，严格控制费用支出。</w:t>
      </w:r>
    </w:p>
    <w:p>
      <w:pPr>
        <w:numPr>
          <w:ilvl w:val="0"/>
          <w:numId w:val="1"/>
        </w:numPr>
        <w:spacing w:line="580" w:lineRule="exact"/>
        <w:ind w:firstLine="640" w:firstLineChars="200"/>
        <w:rPr>
          <w:rFonts w:ascii="仿宋_GB2312" w:eastAsia="仿宋_GB2312"/>
          <w:szCs w:val="32"/>
        </w:rPr>
      </w:pPr>
      <w:r>
        <w:rPr>
          <w:rFonts w:hint="eastAsia" w:ascii="仿宋_GB2312" w:eastAsia="仿宋_GB2312"/>
          <w:szCs w:val="32"/>
        </w:rPr>
        <w:t>公共安全支出（类）司法（款）事业运行（项）。年初预算为317.94万元，支出决算为367.28万元，完成年初预算的115.52%。决算数大于年初预算数的主要原因是</w:t>
      </w:r>
      <w:r>
        <w:rPr>
          <w:rFonts w:hint="eastAsia" w:ascii="仿宋_GB2312" w:eastAsia="仿宋_GB2312"/>
          <w:szCs w:val="32"/>
          <w:highlight w:val="none"/>
          <w:lang w:eastAsia="zh-CN"/>
        </w:rPr>
        <w:t>商品和服务支出</w:t>
      </w:r>
      <w:r>
        <w:rPr>
          <w:rFonts w:ascii="仿宋_GB2312" w:eastAsia="仿宋_GB2312"/>
          <w:szCs w:val="32"/>
          <w:highlight w:val="none"/>
        </w:rPr>
        <w:t>增加</w:t>
      </w:r>
      <w:r>
        <w:rPr>
          <w:rFonts w:hint="eastAsia" w:ascii="仿宋_GB2312" w:eastAsia="仿宋_GB2312"/>
          <w:szCs w:val="32"/>
        </w:rPr>
        <w:t>。</w:t>
      </w:r>
    </w:p>
    <w:p>
      <w:pPr>
        <w:numPr>
          <w:ilvl w:val="0"/>
          <w:numId w:val="1"/>
        </w:numPr>
        <w:spacing w:line="580" w:lineRule="exact"/>
        <w:ind w:firstLine="640" w:firstLineChars="200"/>
        <w:rPr>
          <w:rFonts w:ascii="仿宋_GB2312" w:eastAsia="仿宋_GB2312"/>
          <w:szCs w:val="32"/>
        </w:rPr>
      </w:pPr>
      <w:r>
        <w:rPr>
          <w:rFonts w:hint="eastAsia" w:ascii="仿宋_GB2312" w:eastAsia="仿宋_GB2312"/>
          <w:szCs w:val="32"/>
        </w:rPr>
        <w:t>公共安全支出（类）监狱（款）。年初预算为42408.41万元，支出决算为56323.95万元，完成年初预算的132.81%。决算数大于年初预算数的主要原因是</w:t>
      </w:r>
      <w:r>
        <w:rPr>
          <w:rFonts w:hint="eastAsia" w:ascii="仿宋_GB2312" w:eastAsia="仿宋_GB2312"/>
          <w:szCs w:val="32"/>
          <w:highlight w:val="none"/>
          <w:lang w:eastAsia="zh-CN"/>
        </w:rPr>
        <w:t>商品和服务支出</w:t>
      </w:r>
      <w:r>
        <w:rPr>
          <w:rFonts w:ascii="仿宋_GB2312" w:eastAsia="仿宋_GB2312"/>
          <w:szCs w:val="32"/>
          <w:highlight w:val="none"/>
        </w:rPr>
        <w:t>增加</w:t>
      </w:r>
      <w:r>
        <w:rPr>
          <w:rFonts w:hint="eastAsia" w:ascii="仿宋_GB2312" w:eastAsia="仿宋_GB2312"/>
          <w:szCs w:val="32"/>
        </w:rPr>
        <w:t>。</w:t>
      </w:r>
    </w:p>
    <w:p>
      <w:pPr>
        <w:numPr>
          <w:ilvl w:val="0"/>
          <w:numId w:val="1"/>
        </w:numPr>
        <w:spacing w:line="580" w:lineRule="exact"/>
        <w:ind w:firstLine="640" w:firstLineChars="200"/>
        <w:rPr>
          <w:rFonts w:ascii="仿宋_GB2312" w:eastAsia="仿宋_GB2312"/>
          <w:szCs w:val="32"/>
        </w:rPr>
      </w:pPr>
      <w:r>
        <w:rPr>
          <w:rFonts w:hint="eastAsia" w:ascii="仿宋_GB2312" w:eastAsia="仿宋_GB2312"/>
          <w:szCs w:val="32"/>
        </w:rPr>
        <w:t>公共安全支出（类）强制隔离戒毒（款）。年初预算为5568.35万元，支出决算为11260.38万元，完成年初预算的202.22%。决算数大于年初预算数的主要原因是市强制隔离戒毒所的建设项目及</w:t>
      </w:r>
      <w:r>
        <w:rPr>
          <w:rFonts w:hint="eastAsia" w:ascii="仿宋_GB2312" w:eastAsia="仿宋_GB2312"/>
          <w:szCs w:val="32"/>
          <w:highlight w:val="none"/>
          <w:lang w:eastAsia="zh-CN"/>
        </w:rPr>
        <w:t>商品和服务支出</w:t>
      </w:r>
      <w:r>
        <w:rPr>
          <w:rFonts w:ascii="仿宋_GB2312" w:eastAsia="仿宋_GB2312"/>
          <w:szCs w:val="32"/>
          <w:highlight w:val="none"/>
        </w:rPr>
        <w:t>增加</w:t>
      </w:r>
      <w:r>
        <w:rPr>
          <w:rFonts w:hint="eastAsia" w:ascii="仿宋_GB2312" w:eastAsia="仿宋_GB2312"/>
          <w:szCs w:val="32"/>
        </w:rPr>
        <w:t>。</w:t>
      </w:r>
    </w:p>
    <w:p>
      <w:pPr>
        <w:numPr>
          <w:ilvl w:val="0"/>
          <w:numId w:val="1"/>
        </w:numPr>
        <w:spacing w:line="580" w:lineRule="exact"/>
        <w:ind w:firstLine="640" w:firstLineChars="200"/>
        <w:rPr>
          <w:rFonts w:ascii="仿宋_GB2312" w:eastAsia="仿宋_GB2312"/>
          <w:szCs w:val="32"/>
        </w:rPr>
      </w:pPr>
      <w:r>
        <w:rPr>
          <w:rFonts w:hint="eastAsia" w:ascii="仿宋_GB2312" w:eastAsia="仿宋_GB2312"/>
          <w:szCs w:val="32"/>
        </w:rPr>
        <w:t>文化旅游体育与传媒支出（类）文物（款）文物保护（项）。年初无预算，支出决算为413万元。决算数大于年初预算数的主要原因是华人监狱修缮项目未纳入年初预算。</w:t>
      </w:r>
    </w:p>
    <w:p>
      <w:pPr>
        <w:numPr>
          <w:ilvl w:val="0"/>
          <w:numId w:val="1"/>
        </w:numPr>
        <w:spacing w:line="580" w:lineRule="exact"/>
        <w:ind w:firstLine="640" w:firstLineChars="200"/>
        <w:rPr>
          <w:rFonts w:ascii="仿宋_GB2312" w:eastAsia="仿宋_GB2312"/>
          <w:szCs w:val="32"/>
        </w:rPr>
      </w:pPr>
      <w:r>
        <w:rPr>
          <w:rFonts w:hint="eastAsia" w:ascii="仿宋_GB2312" w:eastAsia="仿宋_GB2312"/>
          <w:szCs w:val="32"/>
        </w:rPr>
        <w:t>文化旅游体育与传媒支出（类）文物（款）其他文物支出（项）。年初无预算，支出决算为65.06万元。决算数大于年初预算数的主要原因是华人监狱修缮项目未纳入年初预算。</w:t>
      </w:r>
    </w:p>
    <w:p>
      <w:pPr>
        <w:numPr>
          <w:ilvl w:val="0"/>
          <w:numId w:val="1"/>
        </w:numPr>
        <w:spacing w:line="580" w:lineRule="exact"/>
        <w:ind w:firstLine="640" w:firstLineChars="200"/>
        <w:rPr>
          <w:rFonts w:ascii="仿宋_GB2312" w:eastAsia="仿宋_GB2312"/>
          <w:szCs w:val="32"/>
        </w:rPr>
      </w:pPr>
      <w:r>
        <w:rPr>
          <w:rFonts w:hint="eastAsia" w:ascii="仿宋_GB2312" w:eastAsia="仿宋_GB2312"/>
          <w:szCs w:val="32"/>
        </w:rPr>
        <w:t>社会保障和就业支出（类）行政事业单位养老支出（款）机关事业单位基本养老保险缴费支出（项）。年初预算为3183.35万元，支出决算为3267.9万元，完成年初预算的102.66%。决算数大于年初预算数的主要原因是基数调整</w:t>
      </w:r>
      <w:r>
        <w:rPr>
          <w:rFonts w:ascii="仿宋_GB2312" w:eastAsia="仿宋_GB2312"/>
          <w:szCs w:val="32"/>
        </w:rPr>
        <w:t>等正常因素</w:t>
      </w:r>
      <w:r>
        <w:rPr>
          <w:rFonts w:hint="eastAsia" w:ascii="仿宋_GB2312" w:eastAsia="仿宋_GB2312"/>
          <w:szCs w:val="32"/>
        </w:rPr>
        <w:t>。</w:t>
      </w:r>
    </w:p>
    <w:p>
      <w:pPr>
        <w:numPr>
          <w:ilvl w:val="0"/>
          <w:numId w:val="1"/>
        </w:numPr>
        <w:spacing w:line="580" w:lineRule="exact"/>
        <w:ind w:firstLine="640" w:firstLineChars="200"/>
        <w:rPr>
          <w:rFonts w:ascii="仿宋_GB2312" w:eastAsia="仿宋_GB2312"/>
          <w:szCs w:val="32"/>
        </w:rPr>
      </w:pPr>
      <w:r>
        <w:rPr>
          <w:rFonts w:hint="eastAsia" w:ascii="仿宋_GB2312" w:eastAsia="仿宋_GB2312"/>
          <w:szCs w:val="32"/>
        </w:rPr>
        <w:t>社会保障和就业支出（类）行政事业单位养老支出（款）机关事业单位职业年金缴费支出（项）。年初预算为1591.68万元，支出决算为1633.95万元，完成年初预算的102.66%。决算数大于年初预算数的主要原因是基数调整</w:t>
      </w:r>
      <w:r>
        <w:rPr>
          <w:rFonts w:ascii="仿宋_GB2312" w:eastAsia="仿宋_GB2312"/>
          <w:szCs w:val="32"/>
        </w:rPr>
        <w:t>等正常因素</w:t>
      </w:r>
      <w:r>
        <w:rPr>
          <w:rFonts w:hint="eastAsia" w:ascii="仿宋_GB2312" w:eastAsia="仿宋_GB2312"/>
          <w:szCs w:val="32"/>
        </w:rPr>
        <w:t>。</w:t>
      </w:r>
    </w:p>
    <w:p>
      <w:pPr>
        <w:numPr>
          <w:ilvl w:val="0"/>
          <w:numId w:val="1"/>
        </w:numPr>
        <w:spacing w:line="580" w:lineRule="exact"/>
        <w:ind w:firstLine="640" w:firstLineChars="200"/>
        <w:rPr>
          <w:rFonts w:ascii="仿宋_GB2312" w:eastAsia="仿宋_GB2312"/>
          <w:szCs w:val="32"/>
        </w:rPr>
      </w:pPr>
      <w:r>
        <w:rPr>
          <w:rFonts w:hint="eastAsia" w:ascii="仿宋_GB2312" w:eastAsia="仿宋_GB2312"/>
          <w:szCs w:val="32"/>
        </w:rPr>
        <w:t>社会保障和就业支出（类）抚恤（款）其他优抚支出（项）。年初无预算，支出决算为0.3万元。决算数大于年初预算数的主要原因是年内追加的</w:t>
      </w:r>
      <w:r>
        <w:rPr>
          <w:rFonts w:ascii="仿宋_GB2312" w:eastAsia="仿宋_GB2312"/>
          <w:szCs w:val="32"/>
        </w:rPr>
        <w:t>建国前老党员</w:t>
      </w:r>
      <w:r>
        <w:rPr>
          <w:rFonts w:hint="eastAsia" w:ascii="仿宋_GB2312" w:eastAsia="仿宋_GB2312"/>
          <w:szCs w:val="32"/>
        </w:rPr>
        <w:t>生活补贴。</w:t>
      </w:r>
    </w:p>
    <w:p>
      <w:pPr>
        <w:numPr>
          <w:ilvl w:val="0"/>
          <w:numId w:val="1"/>
        </w:numPr>
        <w:spacing w:line="580" w:lineRule="exact"/>
        <w:ind w:firstLine="640" w:firstLineChars="200"/>
        <w:rPr>
          <w:rFonts w:ascii="仿宋_GB2312" w:eastAsia="仿宋_GB2312"/>
          <w:szCs w:val="32"/>
        </w:rPr>
      </w:pPr>
      <w:r>
        <w:rPr>
          <w:rFonts w:hint="eastAsia" w:ascii="仿宋_GB2312" w:eastAsia="仿宋_GB2312"/>
          <w:szCs w:val="32"/>
        </w:rPr>
        <w:t xml:space="preserve">卫生健康支出（类）其他卫生健康支出（款）其他卫生健康支出（项）。年初预算为50万元，支出决算为50万元，完成年初预算的100%。决算数与年初预算持平。   </w:t>
      </w:r>
    </w:p>
    <w:p>
      <w:pPr>
        <w:numPr>
          <w:ilvl w:val="0"/>
          <w:numId w:val="1"/>
        </w:numPr>
        <w:spacing w:line="580" w:lineRule="exact"/>
        <w:ind w:firstLine="640" w:firstLineChars="200"/>
        <w:rPr>
          <w:rFonts w:ascii="仿宋_GB2312" w:eastAsia="仿宋_GB2312"/>
          <w:szCs w:val="32"/>
        </w:rPr>
      </w:pPr>
      <w:r>
        <w:rPr>
          <w:rFonts w:hint="eastAsia" w:ascii="仿宋_GB2312" w:eastAsia="仿宋_GB2312"/>
          <w:szCs w:val="32"/>
        </w:rPr>
        <w:t>住房保障支出（类）住房改革支出（款）住房公积金（项）。年初预算为2915.46万元，支出决算为2985.4万元，完成年初预算的102.40%。决算数大于年初预算数的主要原因是基数调整</w:t>
      </w:r>
      <w:r>
        <w:rPr>
          <w:rFonts w:ascii="仿宋_GB2312" w:eastAsia="仿宋_GB2312"/>
          <w:szCs w:val="32"/>
        </w:rPr>
        <w:t>等正常因素</w:t>
      </w:r>
      <w:r>
        <w:rPr>
          <w:rFonts w:hint="eastAsia" w:ascii="仿宋_GB2312" w:eastAsia="仿宋_GB2312"/>
          <w:szCs w:val="32"/>
        </w:rPr>
        <w:t>。</w:t>
      </w:r>
    </w:p>
    <w:p>
      <w:pPr>
        <w:numPr>
          <w:ilvl w:val="0"/>
          <w:numId w:val="1"/>
        </w:numPr>
        <w:spacing w:line="580" w:lineRule="exact"/>
        <w:ind w:firstLine="640" w:firstLineChars="200"/>
        <w:rPr>
          <w:rFonts w:ascii="仿宋_GB2312" w:eastAsia="仿宋_GB2312"/>
          <w:szCs w:val="32"/>
        </w:rPr>
      </w:pPr>
      <w:r>
        <w:rPr>
          <w:rFonts w:hint="eastAsia" w:ascii="仿宋_GB2312" w:eastAsia="仿宋_GB2312"/>
          <w:szCs w:val="32"/>
        </w:rPr>
        <w:t>其他支出（类）其他支出（款）其他支出（项）。年初无预算，支出决算为60.48万元。决算数大于年初预算数的主要原因是年内追加的溢油事故专项</w:t>
      </w:r>
      <w:r>
        <w:rPr>
          <w:rFonts w:ascii="仿宋_GB2312" w:eastAsia="仿宋_GB2312"/>
          <w:szCs w:val="32"/>
        </w:rPr>
        <w:t>经费</w:t>
      </w:r>
      <w:r>
        <w:rPr>
          <w:rFonts w:hint="eastAsia" w:ascii="仿宋_GB2312" w:eastAsia="仿宋_GB2312"/>
          <w:szCs w:val="32"/>
        </w:rPr>
        <w:t>。</w:t>
      </w:r>
    </w:p>
    <w:p>
      <w:pPr>
        <w:spacing w:line="580" w:lineRule="exact"/>
        <w:ind w:firstLine="640" w:firstLineChars="200"/>
        <w:rPr>
          <w:rFonts w:ascii="黑体" w:hAnsi="黑体" w:eastAsia="黑体"/>
          <w:szCs w:val="32"/>
        </w:rPr>
      </w:pPr>
      <w:r>
        <w:rPr>
          <w:rFonts w:hint="eastAsia" w:ascii="黑体" w:hAnsi="黑体" w:eastAsia="黑体"/>
          <w:szCs w:val="32"/>
        </w:rPr>
        <w:t>六、一般公共预算财政拨款基本支出决算情况</w:t>
      </w:r>
    </w:p>
    <w:p>
      <w:pPr>
        <w:spacing w:line="580" w:lineRule="exact"/>
        <w:ind w:firstLine="640" w:firstLineChars="200"/>
        <w:rPr>
          <w:rFonts w:ascii="仿宋_GB2312" w:eastAsia="仿宋_GB2312"/>
          <w:szCs w:val="32"/>
        </w:rPr>
      </w:pPr>
      <w:r>
        <w:rPr>
          <w:rFonts w:hint="eastAsia" w:ascii="仿宋_GB2312" w:eastAsia="仿宋_GB2312"/>
          <w:szCs w:val="32"/>
        </w:rPr>
        <w:t>2021年度一般公共预算财政拨款基本支出决算72399.98万元，包括人员经费和公用经费，支出具体情况如下：</w:t>
      </w:r>
    </w:p>
    <w:p>
      <w:pPr>
        <w:spacing w:line="580" w:lineRule="exact"/>
        <w:ind w:firstLine="640" w:firstLineChars="200"/>
        <w:rPr>
          <w:rFonts w:ascii="仿宋_GB2312" w:eastAsia="仿宋_GB2312"/>
          <w:b/>
          <w:szCs w:val="32"/>
        </w:rPr>
      </w:pPr>
      <w:r>
        <w:rPr>
          <w:rFonts w:hint="eastAsia" w:ascii="仿宋_GB2312" w:eastAsia="仿宋_GB2312"/>
          <w:szCs w:val="32"/>
        </w:rPr>
        <w:t>人员经费46203.85万元，主要包括：基本工资、津贴补贴、奖金、绩效工资、机关事业单位基本养老保险缴费、职业年金缴费、职工基本医疗保险缴费、其他社会保障缴费、住房公积金、其他工资福利支出、离休费、退休费、退职（役）费、抚恤金、生活补助、医疗费补助、其他对个人和家庭的补助等。</w:t>
      </w:r>
    </w:p>
    <w:p>
      <w:pPr>
        <w:spacing w:line="580" w:lineRule="exact"/>
        <w:ind w:firstLine="640" w:firstLineChars="200"/>
        <w:rPr>
          <w:rFonts w:ascii="仿宋_GB2312" w:eastAsia="仿宋_GB2312"/>
          <w:b/>
          <w:szCs w:val="32"/>
        </w:rPr>
      </w:pPr>
      <w:r>
        <w:rPr>
          <w:rFonts w:hint="eastAsia" w:ascii="仿宋_GB2312" w:eastAsia="仿宋_GB2312"/>
          <w:szCs w:val="32"/>
        </w:rPr>
        <w:t>公用经费26196.13万元，主要包括：办公费、印刷费、手续费、水费、电费、邮电费、取暖费、物业管理费、差旅费、维修(护)费、租赁费、会议费、培训费、公务接待费、劳务费、委托业务费、工会经费、福利费、公务用车运行维护费、其他交通费用、其他商品和服务支出、资本性支出、办公设备购置、专用设备购置、信息网络及软件购置更新等。</w:t>
      </w:r>
    </w:p>
    <w:p>
      <w:pPr>
        <w:spacing w:line="580" w:lineRule="exact"/>
        <w:ind w:firstLine="640" w:firstLineChars="200"/>
        <w:rPr>
          <w:rFonts w:ascii="黑体" w:hAnsi="黑体" w:eastAsia="黑体"/>
          <w:szCs w:val="32"/>
        </w:rPr>
      </w:pPr>
      <w:r>
        <w:rPr>
          <w:rFonts w:hint="eastAsia" w:ascii="黑体" w:hAnsi="黑体" w:eastAsia="黑体"/>
          <w:szCs w:val="32"/>
        </w:rPr>
        <w:t>七、一般公共预算财政拨款“三公”经费支出决算情况</w:t>
      </w:r>
    </w:p>
    <w:p>
      <w:pPr>
        <w:spacing w:line="580" w:lineRule="exact"/>
        <w:ind w:firstLine="640" w:firstLineChars="200"/>
        <w:rPr>
          <w:rFonts w:ascii="楷体_GB2312" w:eastAsia="楷体_GB2312"/>
          <w:szCs w:val="32"/>
        </w:rPr>
      </w:pPr>
      <w:r>
        <w:rPr>
          <w:rFonts w:hint="eastAsia" w:ascii="楷体_GB2312" w:eastAsia="楷体_GB2312"/>
          <w:szCs w:val="32"/>
        </w:rPr>
        <w:t>（一）“三公”经费支出决算总体情况</w:t>
      </w:r>
    </w:p>
    <w:p>
      <w:pPr>
        <w:spacing w:line="580" w:lineRule="exact"/>
        <w:ind w:firstLine="640" w:firstLineChars="200"/>
        <w:rPr>
          <w:rFonts w:ascii="仿宋_GB2312" w:eastAsia="仿宋_GB2312"/>
          <w:szCs w:val="32"/>
        </w:rPr>
      </w:pPr>
      <w:r>
        <w:rPr>
          <w:rFonts w:hint="eastAsia" w:ascii="仿宋_GB2312" w:eastAsia="仿宋_GB2312"/>
          <w:szCs w:val="32"/>
        </w:rPr>
        <w:t>2021年度一般公共预算财政拨款“三公”经费支出年初预算为213.07万元，支出决算为76.23万元，比年初预算减少136.84万元，完成年初预算的35.78%，决算数小于年初预算数的主要原因是落实“厉行节约”规定，以及受疫情影响“三公经费”下降幅度较大。</w:t>
      </w:r>
    </w:p>
    <w:p>
      <w:pPr>
        <w:spacing w:line="580" w:lineRule="exact"/>
        <w:ind w:firstLine="640" w:firstLineChars="200"/>
        <w:rPr>
          <w:rFonts w:ascii="楷体_GB2312" w:eastAsia="楷体_GB2312"/>
          <w:szCs w:val="32"/>
        </w:rPr>
      </w:pPr>
      <w:r>
        <w:rPr>
          <w:rFonts w:hint="eastAsia" w:ascii="楷体_GB2312" w:eastAsia="楷体_GB2312"/>
          <w:szCs w:val="32"/>
        </w:rPr>
        <w:t>（二）“三公”经费支出决算具体情况</w:t>
      </w:r>
    </w:p>
    <w:p>
      <w:pPr>
        <w:spacing w:line="580" w:lineRule="exact"/>
        <w:ind w:firstLine="640" w:firstLineChars="200"/>
        <w:rPr>
          <w:rFonts w:ascii="仿宋_GB2312" w:eastAsia="仿宋_GB2312"/>
          <w:b/>
          <w:szCs w:val="32"/>
        </w:rPr>
      </w:pPr>
      <w:r>
        <w:rPr>
          <w:rFonts w:hint="eastAsia" w:ascii="仿宋_GB2312" w:eastAsia="仿宋_GB2312"/>
          <w:szCs w:val="32"/>
        </w:rPr>
        <w:t>1.因公出国（境）费年初预算为9.8万元，支出决算为0万元，比年初预算增加减少9.8万元，完成年初预算的0%， 决算数小于年初预算数的主要原因是受疫情影响原公务出国任务未安排。</w:t>
      </w:r>
    </w:p>
    <w:p>
      <w:pPr>
        <w:spacing w:line="580" w:lineRule="exact"/>
        <w:ind w:firstLine="640" w:firstLineChars="200"/>
        <w:rPr>
          <w:rFonts w:ascii="仿宋_GB2312" w:eastAsia="仿宋_GB2312"/>
          <w:b/>
          <w:szCs w:val="32"/>
        </w:rPr>
      </w:pPr>
      <w:r>
        <w:rPr>
          <w:rFonts w:hint="eastAsia" w:ascii="仿宋_GB2312" w:eastAsia="仿宋_GB2312"/>
          <w:szCs w:val="32"/>
        </w:rPr>
        <w:t>2.公务用车购置及运行维护费年初预算为179.55万元，支出决算为66.77万元，比年初预算减少112.78万元，完成年初预算的37.19%， 决算数小于年初预算数的主要原因是落实“厉行节约”规定，以及受疫情影响公务用车运行维护费下降幅度较大。</w:t>
      </w:r>
    </w:p>
    <w:p>
      <w:pPr>
        <w:spacing w:line="580" w:lineRule="exact"/>
        <w:ind w:firstLine="640" w:firstLineChars="200"/>
        <w:rPr>
          <w:rFonts w:ascii="仿宋_GB2312" w:eastAsia="仿宋_GB2312"/>
          <w:szCs w:val="32"/>
        </w:rPr>
      </w:pPr>
      <w:r>
        <w:rPr>
          <w:rFonts w:hint="eastAsia" w:ascii="仿宋_GB2312" w:eastAsia="仿宋_GB2312"/>
          <w:szCs w:val="32"/>
        </w:rPr>
        <w:t>其中：公务用车购置费支出0万元。公务用车运行维护费66.77万元，主要是按规定保留的公务用车的燃料费、维修费、保险费等支出。截至2021年12月31日，司法局本级、青岛监狱、北墅监狱、市强制隔离戒毒所等单位财政拨款开支运行维护费的公务用车保有量为45辆。</w:t>
      </w:r>
    </w:p>
    <w:p>
      <w:pPr>
        <w:spacing w:line="580" w:lineRule="exact"/>
        <w:ind w:firstLine="640" w:firstLineChars="200"/>
        <w:rPr>
          <w:rFonts w:ascii="仿宋_GB2312" w:eastAsia="仿宋_GB2312"/>
          <w:b/>
          <w:szCs w:val="32"/>
        </w:rPr>
      </w:pPr>
      <w:r>
        <w:rPr>
          <w:rFonts w:hint="eastAsia" w:ascii="仿宋_GB2312" w:eastAsia="仿宋_GB2312"/>
          <w:szCs w:val="32"/>
        </w:rPr>
        <w:t>3.公务接待费年初预算为23.72万元，支出决算为9.46万元，比年初预算减少14.26万元，完成年初预算的39.88%， 决算数小于年初预算数的主要原因是落实“厉行节约”规定，以及受疫情影响公务接待费下降幅度较大。</w:t>
      </w:r>
    </w:p>
    <w:p>
      <w:pPr>
        <w:spacing w:line="580" w:lineRule="exact"/>
        <w:ind w:firstLine="640" w:firstLineChars="200"/>
        <w:rPr>
          <w:rFonts w:ascii="仿宋_GB2312" w:eastAsia="仿宋_GB2312"/>
          <w:szCs w:val="32"/>
        </w:rPr>
      </w:pPr>
      <w:r>
        <w:rPr>
          <w:rFonts w:hint="eastAsia" w:ascii="仿宋_GB2312" w:eastAsia="仿宋_GB2312"/>
          <w:szCs w:val="32"/>
        </w:rPr>
        <w:t>其中：国内接待费9.46万元，主要用于司法局部门按规定开支的各类国内公务接待支出，共计接待72批次、547人次。</w:t>
      </w:r>
    </w:p>
    <w:p>
      <w:pPr>
        <w:spacing w:line="580" w:lineRule="exact"/>
        <w:ind w:firstLine="640" w:firstLineChars="200"/>
        <w:rPr>
          <w:rFonts w:ascii="黑体" w:hAnsi="黑体" w:eastAsia="黑体"/>
          <w:szCs w:val="32"/>
        </w:rPr>
      </w:pPr>
      <w:r>
        <w:rPr>
          <w:rFonts w:hint="eastAsia" w:ascii="黑体" w:hAnsi="黑体" w:eastAsia="黑体"/>
          <w:szCs w:val="32"/>
        </w:rPr>
        <w:t>八、政府性基金预算财政拨款收入支出决算情况</w:t>
      </w:r>
    </w:p>
    <w:p>
      <w:pPr>
        <w:spacing w:line="580" w:lineRule="exact"/>
        <w:ind w:firstLine="640" w:firstLineChars="200"/>
        <w:rPr>
          <w:rFonts w:ascii="仿宋_GB2312" w:eastAsia="仿宋_GB2312"/>
          <w:bCs/>
          <w:szCs w:val="32"/>
        </w:rPr>
      </w:pPr>
      <w:r>
        <w:rPr>
          <w:rFonts w:hint="eastAsia" w:ascii="仿宋_GB2312" w:eastAsia="仿宋_GB2312"/>
          <w:bCs/>
          <w:szCs w:val="32"/>
        </w:rPr>
        <w:t>本部门没有政府性基金财政拨款收支。</w:t>
      </w:r>
      <w:r>
        <w:rPr>
          <w:rFonts w:hint="eastAsia" w:ascii="仿宋_GB2312" w:eastAsia="仿宋_GB2312"/>
          <w:sz w:val="32"/>
          <w:szCs w:val="32"/>
        </w:rPr>
        <w:t>公</w:t>
      </w:r>
      <w:r>
        <w:rPr>
          <w:rFonts w:hint="eastAsia" w:ascii="仿宋_GB2312" w:hAnsi="Times New Roman" w:eastAsia="仿宋_GB2312" w:cs="Times New Roman"/>
          <w:color w:val="auto"/>
          <w:sz w:val="32"/>
          <w:szCs w:val="32"/>
          <w:highlight w:val="none"/>
        </w:rPr>
        <w:t>开表格实行零报告</w:t>
      </w:r>
      <w:r>
        <w:rPr>
          <w:rFonts w:hint="eastAsia" w:ascii="仿宋_GB2312" w:eastAsia="仿宋_GB2312"/>
          <w:szCs w:val="32"/>
        </w:rPr>
        <w:t>。</w:t>
      </w:r>
    </w:p>
    <w:p>
      <w:pPr>
        <w:spacing w:line="580" w:lineRule="exact"/>
        <w:ind w:firstLine="640" w:firstLineChars="200"/>
        <w:rPr>
          <w:rFonts w:ascii="黑体" w:hAnsi="黑体" w:eastAsia="黑体"/>
          <w:szCs w:val="32"/>
        </w:rPr>
      </w:pPr>
      <w:r>
        <w:rPr>
          <w:rFonts w:hint="eastAsia" w:ascii="黑体" w:hAnsi="黑体" w:eastAsia="黑体"/>
          <w:szCs w:val="32"/>
        </w:rPr>
        <w:t>九、国有资本经营预算财政拨款支出决算情况说明</w:t>
      </w:r>
    </w:p>
    <w:p>
      <w:pPr>
        <w:spacing w:line="580" w:lineRule="exact"/>
        <w:ind w:firstLine="640" w:firstLineChars="200"/>
        <w:rPr>
          <w:rFonts w:ascii="仿宋_GB2312" w:eastAsia="仿宋_GB2312"/>
          <w:bCs/>
          <w:szCs w:val="32"/>
        </w:rPr>
      </w:pPr>
      <w:r>
        <w:rPr>
          <w:rFonts w:hint="eastAsia" w:ascii="仿宋_GB2312" w:eastAsia="仿宋_GB2312"/>
          <w:bCs/>
          <w:szCs w:val="32"/>
        </w:rPr>
        <w:t>本部门没有国有资本经营预算财政拨款支出。</w:t>
      </w:r>
      <w:r>
        <w:rPr>
          <w:rFonts w:hint="eastAsia" w:ascii="仿宋_GB2312" w:eastAsia="仿宋_GB2312"/>
          <w:sz w:val="32"/>
          <w:szCs w:val="32"/>
        </w:rPr>
        <w:t>公</w:t>
      </w:r>
      <w:r>
        <w:rPr>
          <w:rFonts w:hint="eastAsia" w:ascii="仿宋_GB2312" w:hAnsi="Times New Roman" w:eastAsia="仿宋_GB2312" w:cs="Times New Roman"/>
          <w:color w:val="auto"/>
          <w:sz w:val="32"/>
          <w:szCs w:val="32"/>
          <w:highlight w:val="none"/>
        </w:rPr>
        <w:t>开表格实行零报告</w:t>
      </w:r>
      <w:r>
        <w:rPr>
          <w:rFonts w:hint="eastAsia" w:ascii="仿宋_GB2312" w:eastAsia="仿宋_GB2312"/>
          <w:szCs w:val="32"/>
        </w:rPr>
        <w:t>。</w:t>
      </w:r>
    </w:p>
    <w:p>
      <w:pPr>
        <w:spacing w:line="580" w:lineRule="exact"/>
        <w:ind w:firstLine="640" w:firstLineChars="200"/>
        <w:rPr>
          <w:rFonts w:ascii="黑体" w:hAnsi="黑体" w:eastAsia="黑体"/>
          <w:szCs w:val="32"/>
        </w:rPr>
      </w:pPr>
      <w:r>
        <w:rPr>
          <w:rFonts w:hint="eastAsia" w:ascii="黑体" w:hAnsi="黑体" w:eastAsia="黑体"/>
          <w:szCs w:val="32"/>
        </w:rPr>
        <w:t xml:space="preserve">十、其他重要事项情况说明 </w:t>
      </w:r>
    </w:p>
    <w:p>
      <w:pPr>
        <w:spacing w:line="580" w:lineRule="exact"/>
        <w:ind w:firstLine="640" w:firstLineChars="200"/>
        <w:rPr>
          <w:rFonts w:ascii="楷体_GB2312" w:eastAsia="楷体_GB2312"/>
          <w:szCs w:val="32"/>
        </w:rPr>
      </w:pPr>
      <w:r>
        <w:rPr>
          <w:rFonts w:hint="eastAsia" w:ascii="楷体_GB2312" w:eastAsia="楷体_GB2312"/>
          <w:szCs w:val="32"/>
        </w:rPr>
        <w:t>（一）机关运行经费支出情况</w:t>
      </w:r>
    </w:p>
    <w:p>
      <w:pPr>
        <w:spacing w:line="580" w:lineRule="exact"/>
        <w:ind w:firstLine="640" w:firstLineChars="200"/>
        <w:rPr>
          <w:rFonts w:ascii="仿宋_GB2312" w:eastAsia="仿宋_GB2312"/>
          <w:b/>
          <w:szCs w:val="32"/>
        </w:rPr>
      </w:pPr>
      <w:r>
        <w:rPr>
          <w:rFonts w:hint="eastAsia" w:ascii="仿宋_GB2312" w:eastAsia="仿宋_GB2312"/>
          <w:szCs w:val="32"/>
        </w:rPr>
        <w:t>2021年度机关运行经费支出26149.88万元</w:t>
      </w:r>
      <w:r>
        <w:rPr>
          <w:rFonts w:hint="eastAsia" w:ascii="仿宋_GB2312" w:hAnsi="宋体" w:eastAsia="仿宋_GB2312" w:cs="Courier New"/>
          <w:szCs w:val="32"/>
        </w:rPr>
        <w:t>，比年初预算数增加1270.03万元，增长5.10%，主要</w:t>
      </w:r>
      <w:r>
        <w:rPr>
          <w:rFonts w:hint="eastAsia" w:ascii="仿宋_GB2312" w:eastAsia="仿宋_GB2312"/>
          <w:szCs w:val="32"/>
        </w:rPr>
        <w:t>原因是部分工资性支出未纳入年初预算。</w:t>
      </w:r>
    </w:p>
    <w:p>
      <w:pPr>
        <w:spacing w:line="580" w:lineRule="exact"/>
        <w:ind w:firstLine="640" w:firstLineChars="200"/>
        <w:rPr>
          <w:rFonts w:ascii="楷体_GB2312" w:eastAsia="楷体_GB2312"/>
          <w:szCs w:val="32"/>
        </w:rPr>
      </w:pPr>
      <w:r>
        <w:rPr>
          <w:rFonts w:hint="eastAsia" w:ascii="楷体_GB2312" w:eastAsia="楷体_GB2312"/>
          <w:szCs w:val="32"/>
        </w:rPr>
        <w:t>（二）政府采购支出情况</w:t>
      </w:r>
    </w:p>
    <w:p>
      <w:pPr>
        <w:autoSpaceDE w:val="0"/>
        <w:autoSpaceDN w:val="0"/>
        <w:adjustRightInd w:val="0"/>
        <w:spacing w:line="580" w:lineRule="exact"/>
        <w:ind w:firstLine="640" w:firstLineChars="200"/>
        <w:jc w:val="left"/>
        <w:rPr>
          <w:rFonts w:ascii="仿宋_GB2312" w:hAnsi="宋体" w:eastAsia="仿宋_GB2312" w:cs="Courier New"/>
          <w:szCs w:val="32"/>
        </w:rPr>
      </w:pPr>
      <w:r>
        <w:rPr>
          <w:rFonts w:hint="eastAsia" w:ascii="仿宋_GB2312" w:hAnsi="宋体" w:eastAsia="仿宋_GB2312" w:cs="Courier New"/>
          <w:szCs w:val="32"/>
        </w:rPr>
        <w:t>2021年度政府采购支出总额5455.17万元，其中：政府采购货物支出1500.45万元、政府采购工程支出2343.70万元、政府采购服务支出1611.01万元。授予中小企业合同金额2389.60万元，占政府采购支出总额的43.80%，其中：授予小微企业合同金额1840.47万元，占政府采购支出总额的33.74%。货物采购授予中小企业合同金额占货物支出金额的81.91%，工程采购授予中小企业合同金额占工程支出金额的19.14%，服务采购授予中小企业合同金额占服务支出金额的44.19%。</w:t>
      </w:r>
    </w:p>
    <w:p>
      <w:pPr>
        <w:spacing w:line="580" w:lineRule="exact"/>
        <w:ind w:firstLine="640" w:firstLineChars="200"/>
        <w:rPr>
          <w:rFonts w:ascii="楷体_GB2312" w:eastAsia="楷体_GB2312"/>
          <w:szCs w:val="32"/>
        </w:rPr>
      </w:pPr>
      <w:r>
        <w:rPr>
          <w:rFonts w:hint="eastAsia" w:ascii="楷体_GB2312" w:eastAsia="楷体_GB2312"/>
          <w:szCs w:val="32"/>
        </w:rPr>
        <w:t>（三）国有资产占用情况</w:t>
      </w:r>
    </w:p>
    <w:p>
      <w:pPr>
        <w:spacing w:line="580" w:lineRule="exact"/>
        <w:ind w:firstLine="640" w:firstLineChars="200"/>
        <w:rPr>
          <w:rFonts w:ascii="仿宋_GB2312" w:hAnsi="宋体" w:eastAsia="仿宋_GB2312" w:cs="Courier New"/>
          <w:szCs w:val="32"/>
        </w:rPr>
      </w:pPr>
      <w:r>
        <w:rPr>
          <w:rFonts w:hint="eastAsia" w:ascii="仿宋_GB2312" w:hAnsi="宋体" w:eastAsia="仿宋_GB2312" w:cs="Courier New"/>
          <w:szCs w:val="32"/>
        </w:rPr>
        <w:t>截至 2021 年 12 月 31 日，本部门共有车辆45辆，其中，符合规定领导干部用车0辆、机要通信用车6辆、应急保障用车3辆、执法执勤用车21辆、特种专业技术用车7辆、离退休干部用车8辆、其他用车0辆；单位价值 50 万元以上通用设备16台（套）；单位价值 100 万元以上专用设备13台（套）。</w:t>
      </w:r>
    </w:p>
    <w:p>
      <w:pPr>
        <w:spacing w:line="560" w:lineRule="exact"/>
        <w:ind w:firstLine="640" w:firstLineChars="200"/>
        <w:rPr>
          <w:rFonts w:ascii="黑体" w:hAnsi="黑体" w:eastAsia="黑体"/>
          <w:szCs w:val="32"/>
        </w:rPr>
      </w:pPr>
      <w:r>
        <w:rPr>
          <w:rFonts w:hint="eastAsia" w:ascii="黑体" w:hAnsi="黑体" w:eastAsia="黑体"/>
          <w:szCs w:val="32"/>
        </w:rPr>
        <w:t>十一、预算绩效情况说明</w:t>
      </w:r>
    </w:p>
    <w:p>
      <w:pPr>
        <w:pStyle w:val="16"/>
        <w:spacing w:line="560" w:lineRule="exact"/>
        <w:ind w:firstLine="640" w:firstLineChars="200"/>
        <w:jc w:val="both"/>
        <w:rPr>
          <w:rFonts w:ascii="楷体_GB2312" w:eastAsia="楷体_GB2312"/>
          <w:bCs/>
          <w:kern w:val="0"/>
          <w:szCs w:val="32"/>
        </w:rPr>
      </w:pPr>
      <w:r>
        <w:rPr>
          <w:rFonts w:hint="eastAsia" w:ascii="楷体_GB2312" w:eastAsia="楷体_GB2312"/>
          <w:bCs/>
          <w:kern w:val="0"/>
          <w:szCs w:val="32"/>
        </w:rPr>
        <w:t>（一）预算绩效管理工作开展情况</w:t>
      </w:r>
    </w:p>
    <w:p>
      <w:pPr>
        <w:pStyle w:val="16"/>
        <w:spacing w:line="560" w:lineRule="exact"/>
        <w:ind w:firstLine="640" w:firstLineChars="200"/>
        <w:jc w:val="both"/>
        <w:rPr>
          <w:rFonts w:ascii="仿宋_GB2312" w:eastAsia="仿宋_GB2312"/>
          <w:kern w:val="0"/>
          <w:szCs w:val="32"/>
        </w:rPr>
      </w:pPr>
      <w:r>
        <w:rPr>
          <w:rFonts w:hint="eastAsia" w:ascii="仿宋_GB2312" w:eastAsia="仿宋_GB2312"/>
          <w:kern w:val="0"/>
          <w:szCs w:val="32"/>
        </w:rPr>
        <w:t>根据预算绩效管理要求，青岛市司法局按照“谁用款、谁评价”的原则，组织所属单位对2021年度市级预算安排项目支出进行全面自评，涵盖项目22个；涉及预算资金5400.32万元，占部门预算项目支出总额的100%。</w:t>
      </w:r>
    </w:p>
    <w:p>
      <w:pPr>
        <w:spacing w:line="560" w:lineRule="exact"/>
        <w:ind w:firstLine="640" w:firstLineChars="200"/>
        <w:rPr>
          <w:rFonts w:ascii="仿宋_GB2312" w:eastAsia="仿宋_GB2312"/>
          <w:szCs w:val="32"/>
        </w:rPr>
      </w:pPr>
      <w:r>
        <w:rPr>
          <w:rFonts w:hint="eastAsia" w:ascii="仿宋_GB2312" w:hAnsi="Calibri" w:eastAsia="仿宋_GB2312"/>
          <w:szCs w:val="32"/>
        </w:rPr>
        <w:t>组织</w:t>
      </w:r>
      <w:r>
        <w:rPr>
          <w:rFonts w:hint="eastAsia" w:ascii="仿宋_GB2312" w:eastAsia="仿宋_GB2312"/>
          <w:szCs w:val="32"/>
        </w:rPr>
        <w:t>开展部门整体支出绩效自评，</w:t>
      </w:r>
      <w:r>
        <w:rPr>
          <w:rFonts w:hint="eastAsia" w:ascii="仿宋_GB2312" w:hAnsi="仿宋_GB2312" w:eastAsia="仿宋_GB2312" w:cs="仿宋_GB2312"/>
          <w:szCs w:val="32"/>
        </w:rPr>
        <w:t>涉及预算资金72544.37万元，其中财政拨款60688.73万元。</w:t>
      </w:r>
    </w:p>
    <w:p>
      <w:pPr>
        <w:spacing w:line="560" w:lineRule="exact"/>
        <w:ind w:firstLine="640" w:firstLineChars="200"/>
        <w:rPr>
          <w:rFonts w:ascii="仿宋_GB2312" w:eastAsia="仿宋_GB2312"/>
          <w:szCs w:val="32"/>
        </w:rPr>
      </w:pPr>
      <w:r>
        <w:rPr>
          <w:rFonts w:hint="eastAsia" w:ascii="仿宋_GB2312" w:eastAsia="仿宋_GB2312"/>
          <w:szCs w:val="32"/>
        </w:rPr>
        <w:t>组织对“法制专项业务费、警用服装费、法律职业资格考试费、普法人民监督员涉法涉诉专项经费、法律培训费、惠企政策法律服务费、法律援助及12348业务费、公共法律服务中心建设运行费”等8个非涉密项目开展了部门评价，涉及资金1177.4万元，另对14个涉密项目开展了部门评价。</w:t>
      </w:r>
    </w:p>
    <w:p>
      <w:pPr>
        <w:spacing w:line="560" w:lineRule="exact"/>
        <w:ind w:firstLine="640" w:firstLineChars="200"/>
        <w:rPr>
          <w:rFonts w:ascii="楷体_GB2312" w:eastAsia="楷体_GB2312"/>
          <w:bCs/>
          <w:kern w:val="0"/>
          <w:szCs w:val="32"/>
        </w:rPr>
      </w:pPr>
      <w:r>
        <w:rPr>
          <w:rFonts w:hint="eastAsia" w:ascii="楷体_GB2312" w:eastAsia="楷体_GB2312"/>
          <w:bCs/>
          <w:kern w:val="0"/>
          <w:szCs w:val="32"/>
        </w:rPr>
        <w:t>（二）项目绩效自评结果</w:t>
      </w:r>
    </w:p>
    <w:p>
      <w:pPr>
        <w:spacing w:line="560" w:lineRule="exact"/>
        <w:ind w:firstLine="640" w:firstLineChars="200"/>
        <w:rPr>
          <w:rFonts w:ascii="仿宋_GB2312" w:eastAsia="仿宋_GB2312" w:cs="仿宋_GB2312"/>
          <w:szCs w:val="32"/>
        </w:rPr>
      </w:pPr>
      <w:r>
        <w:rPr>
          <w:rFonts w:hint="eastAsia" w:ascii="仿宋_GB2312" w:eastAsia="仿宋_GB2312"/>
          <w:szCs w:val="32"/>
        </w:rPr>
        <w:t>青岛市司法局2021年度市级预算安排项目支出绩效自评的22个项目中，21个项目自评等级为优，1个项目自评等级为差。</w:t>
      </w:r>
      <w:r>
        <w:rPr>
          <w:rFonts w:hint="eastAsia" w:ascii="仿宋_GB2312" w:eastAsia="仿宋_GB2312" w:cs="仿宋_GB2312"/>
          <w:szCs w:val="32"/>
        </w:rPr>
        <w:t>从自评情况看，项目支出绩效管理的重视程度进一步提升，大部分项目有序开展，执行和完成情况较好，资金使用比较规范，从预算的申报、预算执行、业务管理、财务管理、产出指标、实施效果等方面，采取了有效控制措施，确保项目顺利完成和取得预期效果，但也存在部分项目产出指标低于预期、项目实施进展慢等问题，个别项目因疫情原因，未按年初计划完成。</w:t>
      </w:r>
    </w:p>
    <w:p>
      <w:pPr>
        <w:spacing w:line="560" w:lineRule="exact"/>
        <w:ind w:firstLine="640" w:firstLineChars="200"/>
        <w:rPr>
          <w:rFonts w:ascii="仿宋_GB2312" w:eastAsia="仿宋_GB2312"/>
          <w:szCs w:val="32"/>
        </w:rPr>
      </w:pPr>
      <w:r>
        <w:rPr>
          <w:rFonts w:hint="eastAsia" w:ascii="仿宋_GB2312" w:eastAsia="仿宋_GB2312"/>
          <w:szCs w:val="32"/>
        </w:rPr>
        <w:t>本次</w:t>
      </w:r>
      <w:r>
        <w:rPr>
          <w:rFonts w:ascii="仿宋_GB2312" w:eastAsia="仿宋_GB2312"/>
          <w:szCs w:val="32"/>
        </w:rPr>
        <w:t>公开</w:t>
      </w:r>
      <w:r>
        <w:rPr>
          <w:rFonts w:hint="eastAsia" w:ascii="仿宋_GB2312" w:eastAsia="仿宋_GB2312"/>
          <w:szCs w:val="32"/>
        </w:rPr>
        <w:t>内容</w:t>
      </w:r>
      <w:r>
        <w:rPr>
          <w:rFonts w:ascii="仿宋_GB2312" w:eastAsia="仿宋_GB2312"/>
          <w:szCs w:val="32"/>
        </w:rPr>
        <w:t>包含</w:t>
      </w:r>
      <w:r>
        <w:rPr>
          <w:rFonts w:hint="eastAsia" w:ascii="仿宋_GB2312" w:eastAsia="仿宋_GB2312"/>
          <w:szCs w:val="32"/>
        </w:rPr>
        <w:t>2021年度所有预算项目支出绩效自评结果，以及“法制专项业务费、法律职业资格考试费、法律培训费、法律援助及12348业务费、公共法律服务中心建设运行费”等5个项目的绩效自评表。</w:t>
      </w:r>
    </w:p>
    <w:p>
      <w:pPr>
        <w:spacing w:line="560" w:lineRule="exact"/>
        <w:ind w:firstLine="640" w:firstLineChars="200"/>
        <w:rPr>
          <w:rFonts w:ascii="仿宋_GB2312" w:eastAsia="仿宋_GB2312"/>
          <w:szCs w:val="32"/>
        </w:rPr>
      </w:pPr>
      <w:r>
        <w:rPr>
          <w:rFonts w:hint="eastAsia" w:ascii="仿宋_GB2312" w:eastAsia="仿宋_GB2312"/>
          <w:szCs w:val="32"/>
        </w:rPr>
        <w:t>1.法制专项业务费项目绩效自评综述：根据年初设定的绩效目标，项目自评得分为99.75分。全年预算数为158.4万元，执行数为154.45万元，完成预算的97.51%。项目绩效目标完成情况：一是市级重大决策合法性审查率≥95%；二是行政执法人员执法证审验数≥1200人；三是市级单位行政执法监督覆盖率≥90 %。</w:t>
      </w:r>
    </w:p>
    <w:p>
      <w:pPr>
        <w:spacing w:line="560" w:lineRule="exact"/>
        <w:ind w:firstLine="640" w:firstLineChars="200"/>
        <w:rPr>
          <w:rFonts w:ascii="仿宋_GB2312" w:eastAsia="仿宋_GB2312"/>
          <w:szCs w:val="32"/>
        </w:rPr>
      </w:pPr>
      <w:r>
        <w:rPr>
          <w:rFonts w:hint="eastAsia" w:ascii="仿宋_GB2312" w:eastAsia="仿宋_GB2312"/>
          <w:szCs w:val="32"/>
        </w:rPr>
        <w:t>2.法律职业资格考试费项目绩效自评综述：根据年初设定的绩效目标，项目自评得分为93.31分。全年预算数为90.5万元，执行数为90.5万元，完成预算的100%。项目绩效目标完成情况：一是主客观题考试人数≥6000人；二是考生机位准备率=100%；三是考生满意度≥90%。</w:t>
      </w:r>
    </w:p>
    <w:p>
      <w:pPr>
        <w:spacing w:line="560" w:lineRule="exact"/>
        <w:ind w:firstLine="640" w:firstLineChars="200"/>
        <w:rPr>
          <w:rFonts w:ascii="仿宋_GB2312" w:eastAsia="仿宋_GB2312"/>
          <w:szCs w:val="32"/>
        </w:rPr>
      </w:pPr>
      <w:r>
        <w:rPr>
          <w:rFonts w:hint="eastAsia" w:ascii="仿宋_GB2312" w:eastAsia="仿宋_GB2312"/>
          <w:szCs w:val="32"/>
        </w:rPr>
        <w:t>3.法律培训费项目绩效自评综述：根据年初设定的绩效目标，项目自评得分为99.2分。全年预算数为27万元，执行数为24.83万元，完成预算的91.96%。项目绩效目标完成情况：一是年初培训计划完成率=100 %；二是单人培训成本≤400 元；三是行政执法人员培训次数≥3批次；四是确保全市行政执法人员（新增和复审）培训考试持证上岗≥3000人。</w:t>
      </w:r>
    </w:p>
    <w:p>
      <w:pPr>
        <w:spacing w:line="560" w:lineRule="exact"/>
        <w:ind w:firstLine="640" w:firstLineChars="200"/>
        <w:rPr>
          <w:rFonts w:ascii="仿宋_GB2312" w:eastAsia="仿宋_GB2312"/>
          <w:szCs w:val="32"/>
        </w:rPr>
      </w:pPr>
      <w:r>
        <w:rPr>
          <w:rFonts w:hint="eastAsia" w:ascii="仿宋_GB2312" w:eastAsia="仿宋_GB2312"/>
          <w:szCs w:val="32"/>
        </w:rPr>
        <w:t>4.法律援助及12348业务费项目绩效自评综述：根据年初设定的绩效目标，项目自评得分为99.5分。全年预算数为216.5万元，执行数为213.42万元，完成预算的98.58%。项目绩效目标完成情况：一是热线咨询量≥90000人次；二是案件优良率≥10%；三是受援人回访率≥20%；四是指派律师人数≥50人次。</w:t>
      </w:r>
    </w:p>
    <w:p>
      <w:pPr>
        <w:spacing w:line="560" w:lineRule="exact"/>
        <w:ind w:firstLine="640" w:firstLineChars="200"/>
        <w:rPr>
          <w:rFonts w:ascii="仿宋_GB2312" w:eastAsia="仿宋_GB2312"/>
          <w:szCs w:val="32"/>
        </w:rPr>
      </w:pPr>
      <w:r>
        <w:rPr>
          <w:rFonts w:hint="eastAsia" w:ascii="仿宋_GB2312" w:eastAsia="仿宋_GB2312"/>
          <w:szCs w:val="32"/>
        </w:rPr>
        <w:t>5.公共法律服务中心建设运行费项目绩效自评综述：根据年初设定的绩效目标，项目自评得分为95.71分。全年预算数为37.8万元，执行数为36.71万元，完成预算的97.12%。项目绩效目标完成情况：一是办理非诉讼调解案件≥100 件；二是非诉讼调解案件成功率≥50%；三是接待咨询量≥5000 人次；四是咨询人员满意度≥85%；五是为企业化解纠纷≥50 件。</w:t>
      </w:r>
    </w:p>
    <w:p>
      <w:pPr>
        <w:spacing w:line="560" w:lineRule="exact"/>
        <w:ind w:firstLine="640" w:firstLineChars="200"/>
        <w:rPr>
          <w:rFonts w:ascii="仿宋_GB2312" w:eastAsia="仿宋_GB2312"/>
          <w:szCs w:val="32"/>
        </w:rPr>
      </w:pPr>
      <w:r>
        <w:rPr>
          <w:rFonts w:hint="eastAsia" w:ascii="仿宋_GB2312" w:eastAsia="仿宋_GB2312"/>
          <w:kern w:val="0"/>
          <w:szCs w:val="32"/>
        </w:rPr>
        <w:t>2021年度市</w:t>
      </w:r>
      <w:r>
        <w:rPr>
          <w:rFonts w:ascii="仿宋_GB2312" w:eastAsia="仿宋_GB2312"/>
          <w:kern w:val="0"/>
          <w:szCs w:val="32"/>
        </w:rPr>
        <w:t>级</w:t>
      </w:r>
      <w:r>
        <w:rPr>
          <w:rFonts w:hint="eastAsia" w:ascii="仿宋_GB2312" w:eastAsia="仿宋_GB2312"/>
          <w:kern w:val="0"/>
          <w:szCs w:val="32"/>
        </w:rPr>
        <w:t>预算安排项目支出绩效自评情况汇总表和市级预算安排项目支出绩效自评表</w:t>
      </w:r>
      <w:r>
        <w:rPr>
          <w:rFonts w:hint="eastAsia" w:ascii="仿宋_GB2312" w:eastAsia="仿宋_GB2312"/>
          <w:szCs w:val="32"/>
        </w:rPr>
        <w:t>详见</w:t>
      </w:r>
      <w:r>
        <w:rPr>
          <w:rFonts w:hint="eastAsia" w:ascii="仿宋_GB2312" w:eastAsia="仿宋_GB2312"/>
          <w:kern w:val="0"/>
          <w:szCs w:val="32"/>
        </w:rPr>
        <w:t>“第五部分 附件”</w:t>
      </w:r>
      <w:r>
        <w:rPr>
          <w:rFonts w:hint="eastAsia" w:ascii="仿宋_GB2312" w:eastAsia="仿宋_GB2312"/>
          <w:szCs w:val="32"/>
        </w:rPr>
        <w:t>。</w:t>
      </w:r>
    </w:p>
    <w:p>
      <w:pPr>
        <w:spacing w:line="560" w:lineRule="exact"/>
        <w:ind w:firstLine="640" w:firstLineChars="200"/>
        <w:rPr>
          <w:rFonts w:ascii="楷体_GB2312" w:eastAsia="楷体_GB2312"/>
          <w:bCs/>
          <w:kern w:val="0"/>
          <w:szCs w:val="32"/>
        </w:rPr>
      </w:pPr>
      <w:r>
        <w:rPr>
          <w:rFonts w:hint="eastAsia" w:ascii="楷体_GB2312" w:eastAsia="楷体_GB2312"/>
          <w:bCs/>
          <w:kern w:val="0"/>
          <w:szCs w:val="32"/>
        </w:rPr>
        <w:t>（三）部门整体支出绩效自评结果</w:t>
      </w:r>
    </w:p>
    <w:p>
      <w:pPr>
        <w:spacing w:line="560" w:lineRule="exact"/>
        <w:ind w:firstLine="640" w:firstLineChars="200"/>
        <w:rPr>
          <w:rFonts w:ascii="仿宋_GB2312" w:eastAsia="仿宋_GB2312"/>
          <w:szCs w:val="32"/>
        </w:rPr>
      </w:pPr>
      <w:r>
        <w:rPr>
          <w:rFonts w:hint="eastAsia" w:ascii="仿宋_GB2312" w:eastAsia="仿宋_GB2312"/>
          <w:szCs w:val="32"/>
        </w:rPr>
        <w:t>部门整体支出绩效自评结果为99分。从自评情况来看，部门履职效能进一步提升，各项工作基本完成，资产管理比较规范，预算完成率为119.92%，系统内制定了相关内控管理制度，制度合规、合法、有效；预算实施过程中，能够按照相关法律法规规定、管理制度执行。部门整体绩效目标完成情况：一是市级重大决策合法性审查率100%；二是行政复议行政应诉结案数量1000件；三是行政执法人员执法证审验数3025人；四是行政复议应诉案件受理率100%；五是行政执法案卷评查数量159件；六是通过广播电视、网络、报刊各类媒介进行普法宣传不断扩大普法宣传层面400件；七是组织全市公务员完成网上学法考法≥3万人；八是加强公共法律服务体系建设，推动我市市级规范化公共法律服务站建设72%；九是开展惠企法律服务讲座等宣传32次；十是法律援助案件应收尽收率100%；十一是12348法律服务热线接通率100%。下一步改进措施：今后要创新工作方法，提高工作效率，合理优化业务流程，确保年初设定的各项绩效目标顺利完成，增强人民群众获得感、幸福感、安全感，取得良好的社会效益。</w:t>
      </w:r>
    </w:p>
    <w:p>
      <w:pPr>
        <w:widowControl/>
        <w:spacing w:line="560" w:lineRule="exact"/>
        <w:ind w:firstLine="640" w:firstLineChars="200"/>
        <w:rPr>
          <w:rFonts w:ascii="楷体_GB2312" w:eastAsia="楷体_GB2312"/>
          <w:bCs/>
          <w:kern w:val="0"/>
          <w:szCs w:val="32"/>
        </w:rPr>
      </w:pPr>
      <w:r>
        <w:rPr>
          <w:rFonts w:hint="eastAsia" w:ascii="楷体_GB2312" w:eastAsia="楷体_GB2312"/>
          <w:bCs/>
          <w:kern w:val="0"/>
          <w:szCs w:val="32"/>
        </w:rPr>
        <w:t>（四）部门评价项目绩效评价结果</w:t>
      </w:r>
    </w:p>
    <w:p>
      <w:pPr>
        <w:widowControl/>
        <w:spacing w:line="560" w:lineRule="exact"/>
        <w:ind w:firstLine="640" w:firstLineChars="200"/>
        <w:rPr>
          <w:rFonts w:ascii="仿宋_GB2312" w:eastAsia="仿宋_GB2312"/>
          <w:kern w:val="0"/>
          <w:szCs w:val="32"/>
        </w:rPr>
      </w:pPr>
      <w:r>
        <w:rPr>
          <w:rFonts w:hint="eastAsia" w:ascii="仿宋_GB2312" w:eastAsia="仿宋_GB2312"/>
          <w:kern w:val="0"/>
          <w:szCs w:val="32"/>
        </w:rPr>
        <w:t>法制专项业务费项目，绩效评价综合得分为99.1</w:t>
      </w:r>
      <w:r>
        <w:rPr>
          <w:rFonts w:hint="eastAsia" w:ascii="仿宋_GB2312" w:eastAsia="仿宋_GB2312"/>
          <w:kern w:val="0"/>
          <w:szCs w:val="32"/>
        </w:rPr>
        <w:tab/>
      </w:r>
      <w:r>
        <w:rPr>
          <w:rFonts w:hint="eastAsia" w:ascii="仿宋_GB2312" w:eastAsia="仿宋_GB2312"/>
          <w:kern w:val="0"/>
          <w:szCs w:val="32"/>
        </w:rPr>
        <w:t>分，等级为优；</w:t>
      </w:r>
    </w:p>
    <w:p>
      <w:pPr>
        <w:widowControl/>
        <w:spacing w:line="560" w:lineRule="exact"/>
        <w:ind w:firstLine="640" w:firstLineChars="200"/>
        <w:rPr>
          <w:rFonts w:ascii="仿宋_GB2312" w:eastAsia="仿宋_GB2312"/>
          <w:kern w:val="0"/>
          <w:szCs w:val="32"/>
        </w:rPr>
      </w:pPr>
      <w:r>
        <w:rPr>
          <w:rFonts w:hint="eastAsia" w:ascii="仿宋_GB2312" w:eastAsia="仿宋_GB2312"/>
          <w:kern w:val="0"/>
          <w:szCs w:val="32"/>
        </w:rPr>
        <w:t>警用服装费项目，绩效评价综合得分为99.2分，等级为优；</w:t>
      </w:r>
    </w:p>
    <w:p>
      <w:pPr>
        <w:widowControl/>
        <w:spacing w:line="560" w:lineRule="exact"/>
        <w:ind w:firstLine="640" w:firstLineChars="200"/>
        <w:rPr>
          <w:rFonts w:ascii="仿宋_GB2312" w:eastAsia="仿宋_GB2312"/>
          <w:kern w:val="0"/>
          <w:szCs w:val="32"/>
        </w:rPr>
      </w:pPr>
      <w:r>
        <w:rPr>
          <w:rFonts w:hint="eastAsia" w:ascii="仿宋_GB2312" w:eastAsia="仿宋_GB2312"/>
          <w:kern w:val="0"/>
          <w:szCs w:val="32"/>
        </w:rPr>
        <w:t>法律职业资格考试费项目，绩效评价综合得分为84分，等级为良；</w:t>
      </w:r>
    </w:p>
    <w:p>
      <w:pPr>
        <w:widowControl/>
        <w:spacing w:line="560" w:lineRule="exact"/>
        <w:ind w:firstLine="640" w:firstLineChars="200"/>
        <w:rPr>
          <w:rFonts w:ascii="仿宋_GB2312" w:eastAsia="仿宋_GB2312"/>
          <w:kern w:val="0"/>
          <w:szCs w:val="32"/>
        </w:rPr>
      </w:pPr>
      <w:r>
        <w:rPr>
          <w:rFonts w:hint="eastAsia" w:ascii="仿宋_GB2312" w:eastAsia="仿宋_GB2312"/>
          <w:kern w:val="0"/>
          <w:szCs w:val="32"/>
        </w:rPr>
        <w:t>普法人民监督员涉法涉诉专项经费项目，绩效评价综合得分为99分，等级为优；</w:t>
      </w:r>
    </w:p>
    <w:p>
      <w:pPr>
        <w:widowControl/>
        <w:spacing w:line="560" w:lineRule="exact"/>
        <w:ind w:firstLine="640" w:firstLineChars="200"/>
        <w:rPr>
          <w:rFonts w:ascii="仿宋_GB2312" w:eastAsia="仿宋_GB2312"/>
          <w:kern w:val="0"/>
          <w:szCs w:val="32"/>
        </w:rPr>
      </w:pPr>
      <w:r>
        <w:rPr>
          <w:rFonts w:hint="eastAsia" w:ascii="仿宋_GB2312" w:eastAsia="仿宋_GB2312"/>
          <w:kern w:val="0"/>
          <w:szCs w:val="32"/>
        </w:rPr>
        <w:t>法律培训费项目，绩效评价综合得分为97.7分，等级为优；</w:t>
      </w:r>
    </w:p>
    <w:p>
      <w:pPr>
        <w:widowControl/>
        <w:spacing w:line="560" w:lineRule="exact"/>
        <w:ind w:firstLine="640" w:firstLineChars="200"/>
        <w:rPr>
          <w:rFonts w:ascii="仿宋_GB2312" w:eastAsia="仿宋_GB2312"/>
          <w:kern w:val="0"/>
          <w:szCs w:val="32"/>
        </w:rPr>
      </w:pPr>
      <w:r>
        <w:rPr>
          <w:rFonts w:hint="eastAsia" w:ascii="仿宋_GB2312" w:eastAsia="仿宋_GB2312"/>
          <w:kern w:val="0"/>
          <w:szCs w:val="32"/>
        </w:rPr>
        <w:t>惠企政策法律服务费项目，绩效评价综合得分为99.6分，等级为优；</w:t>
      </w:r>
    </w:p>
    <w:p>
      <w:pPr>
        <w:widowControl/>
        <w:spacing w:line="560" w:lineRule="exact"/>
        <w:ind w:firstLine="640" w:firstLineChars="200"/>
        <w:rPr>
          <w:rFonts w:ascii="仿宋_GB2312" w:eastAsia="仿宋_GB2312"/>
          <w:kern w:val="0"/>
          <w:szCs w:val="32"/>
        </w:rPr>
      </w:pPr>
      <w:r>
        <w:rPr>
          <w:rFonts w:hint="eastAsia" w:ascii="仿宋_GB2312" w:eastAsia="仿宋_GB2312"/>
          <w:kern w:val="0"/>
          <w:szCs w:val="32"/>
        </w:rPr>
        <w:t>法律援助及12348业务费</w:t>
      </w:r>
      <w:r>
        <w:rPr>
          <w:rFonts w:hint="eastAsia" w:ascii="仿宋_GB2312" w:eastAsia="仿宋_GB2312"/>
          <w:kern w:val="0"/>
          <w:szCs w:val="32"/>
        </w:rPr>
        <w:tab/>
      </w:r>
      <w:r>
        <w:rPr>
          <w:rFonts w:hint="eastAsia" w:ascii="仿宋_GB2312" w:eastAsia="仿宋_GB2312"/>
          <w:kern w:val="0"/>
          <w:szCs w:val="32"/>
        </w:rPr>
        <w:t>项目，绩效评价综合得分为97.35分，等级为优；</w:t>
      </w:r>
    </w:p>
    <w:p>
      <w:pPr>
        <w:widowControl/>
        <w:spacing w:line="560" w:lineRule="exact"/>
        <w:ind w:firstLine="640" w:firstLineChars="200"/>
        <w:rPr>
          <w:rFonts w:ascii="仿宋_GB2312" w:eastAsia="仿宋_GB2312"/>
          <w:kern w:val="0"/>
          <w:szCs w:val="32"/>
        </w:rPr>
      </w:pPr>
      <w:r>
        <w:rPr>
          <w:rFonts w:hint="eastAsia" w:ascii="仿宋_GB2312" w:eastAsia="仿宋_GB2312"/>
          <w:kern w:val="0"/>
          <w:szCs w:val="32"/>
        </w:rPr>
        <w:t>公共法律服务中心建设运行费项目，绩效评价综合得分为95.5分，等级为优。</w:t>
      </w:r>
    </w:p>
    <w:p>
      <w:pPr>
        <w:widowControl/>
        <w:spacing w:line="560" w:lineRule="exact"/>
        <w:ind w:firstLine="640" w:firstLineChars="200"/>
        <w:rPr>
          <w:rFonts w:ascii="仿宋_GB2312" w:eastAsia="仿宋_GB2312"/>
          <w:kern w:val="0"/>
          <w:szCs w:val="32"/>
        </w:rPr>
      </w:pPr>
      <w:r>
        <w:rPr>
          <w:rFonts w:hint="eastAsia" w:ascii="仿宋_GB2312" w:eastAsia="仿宋_GB2312"/>
          <w:kern w:val="0"/>
          <w:szCs w:val="32"/>
        </w:rPr>
        <w:t>项目支出部门评价情况汇总表及项目支出绩效评价指标体系详见“第五部分 附件”；本部门开展的部门评价报告因部分项目涉密不予公开。</w:t>
      </w:r>
    </w:p>
    <w:p>
      <w:pPr>
        <w:spacing w:line="560" w:lineRule="exact"/>
        <w:ind w:firstLine="640" w:firstLineChars="200"/>
        <w:rPr>
          <w:rFonts w:ascii="楷体_GB2312" w:eastAsia="楷体_GB2312"/>
          <w:szCs w:val="32"/>
        </w:rPr>
      </w:pPr>
      <w:r>
        <w:rPr>
          <w:rFonts w:hint="eastAsia" w:ascii="楷体_GB2312" w:eastAsia="楷体_GB2312"/>
          <w:bCs/>
          <w:kern w:val="0"/>
          <w:szCs w:val="32"/>
        </w:rPr>
        <w:t>（五）</w:t>
      </w:r>
      <w:r>
        <w:rPr>
          <w:rFonts w:hint="eastAsia" w:ascii="楷体_GB2312" w:eastAsia="楷体_GB2312"/>
          <w:szCs w:val="32"/>
        </w:rPr>
        <w:t>财政评价项目绩效评价结果</w:t>
      </w:r>
    </w:p>
    <w:p>
      <w:pPr>
        <w:spacing w:line="560" w:lineRule="exact"/>
        <w:ind w:firstLine="640" w:firstLineChars="200"/>
        <w:rPr>
          <w:rFonts w:ascii="方正小标宋简体" w:eastAsia="方正小标宋简体"/>
          <w:bCs/>
          <w:spacing w:val="60"/>
          <w:sz w:val="42"/>
        </w:rPr>
        <w:sectPr>
          <w:pgSz w:w="11906" w:h="16838"/>
          <w:pgMar w:top="2041" w:right="1701" w:bottom="2041" w:left="1701" w:header="851" w:footer="992" w:gutter="0"/>
          <w:cols w:space="720" w:num="1"/>
          <w:docGrid w:type="lines" w:linePitch="312" w:charSpace="0"/>
        </w:sectPr>
      </w:pPr>
      <w:r>
        <w:rPr>
          <w:rFonts w:hint="eastAsia" w:ascii="仿宋_GB2312" w:eastAsia="仿宋_GB2312"/>
          <w:bCs/>
          <w:kern w:val="0"/>
          <w:szCs w:val="32"/>
        </w:rPr>
        <w:t>本部门没有向市人大常委会报告的财政评价项目。</w:t>
      </w: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第四部分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名词解释</w:t>
      </w: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jc w:val="center"/>
        <w:rPr>
          <w:rFonts w:ascii="方正小标宋简体" w:eastAsia="方正小标宋简体"/>
          <w:spacing w:val="60"/>
          <w:sz w:val="48"/>
        </w:rPr>
      </w:pPr>
    </w:p>
    <w:p>
      <w:pPr>
        <w:spacing w:line="580" w:lineRule="exact"/>
        <w:ind w:firstLine="640" w:firstLineChars="200"/>
        <w:rPr>
          <w:rFonts w:ascii="黑体" w:hAnsi="黑体" w:eastAsia="黑体"/>
          <w:color w:val="000000"/>
          <w:szCs w:val="32"/>
        </w:rPr>
        <w:sectPr>
          <w:pgSz w:w="11906" w:h="16838"/>
          <w:pgMar w:top="2041" w:right="1701" w:bottom="2041" w:left="1701" w:header="851" w:footer="992" w:gutter="0"/>
          <w:cols w:space="720" w:num="1"/>
          <w:docGrid w:type="lines" w:linePitch="312" w:charSpace="0"/>
        </w:sectPr>
      </w:pPr>
    </w:p>
    <w:p>
      <w:pPr>
        <w:spacing w:line="580" w:lineRule="exact"/>
        <w:ind w:firstLine="640" w:firstLineChars="200"/>
        <w:rPr>
          <w:rFonts w:ascii="仿宋_GB2312" w:eastAsia="仿宋_GB2312"/>
          <w:szCs w:val="32"/>
        </w:rPr>
      </w:pPr>
      <w:r>
        <w:rPr>
          <w:rFonts w:hint="eastAsia" w:ascii="黑体" w:hAnsi="黑体" w:eastAsia="黑体"/>
          <w:color w:val="000000"/>
          <w:szCs w:val="32"/>
        </w:rPr>
        <w:t>一、财政拨款收入：</w:t>
      </w:r>
      <w:r>
        <w:rPr>
          <w:rFonts w:hint="eastAsia" w:ascii="仿宋_GB2312" w:eastAsia="仿宋_GB2312"/>
          <w:szCs w:val="32"/>
        </w:rPr>
        <w:t>指单位本年度从本级财政部门取得的财政拨款，包括一般公共预算财政拨款、政府性基金预算财政拨款和国有资本经营预算财政拨款。</w:t>
      </w:r>
    </w:p>
    <w:p>
      <w:pPr>
        <w:spacing w:line="580" w:lineRule="exact"/>
        <w:ind w:firstLine="640" w:firstLineChars="200"/>
        <w:rPr>
          <w:rFonts w:ascii="仿宋_GB2312" w:hAnsi="仿宋" w:eastAsia="仿宋_GB2312"/>
          <w:szCs w:val="32"/>
        </w:rPr>
      </w:pPr>
      <w:r>
        <w:rPr>
          <w:rFonts w:hint="eastAsia" w:ascii="黑体" w:hAnsi="黑体" w:eastAsia="黑体"/>
          <w:szCs w:val="32"/>
        </w:rPr>
        <w:t>二、上级补助收入：</w:t>
      </w:r>
      <w:r>
        <w:rPr>
          <w:rFonts w:hint="eastAsia" w:ascii="仿宋_GB2312" w:hAnsi="仿宋" w:eastAsia="仿宋_GB2312"/>
          <w:szCs w:val="32"/>
        </w:rPr>
        <w:t>指事业单位从主管部门和上级单位取得的非财政补助收入。</w:t>
      </w:r>
    </w:p>
    <w:p>
      <w:pPr>
        <w:spacing w:line="580" w:lineRule="exact"/>
        <w:ind w:firstLine="640" w:firstLineChars="200"/>
        <w:rPr>
          <w:rFonts w:ascii="仿宋_GB2312" w:hAnsi="仿宋" w:eastAsia="仿宋_GB2312"/>
          <w:szCs w:val="32"/>
        </w:rPr>
      </w:pPr>
      <w:r>
        <w:rPr>
          <w:rFonts w:hint="eastAsia" w:ascii="黑体" w:hAnsi="黑体" w:eastAsia="黑体"/>
          <w:szCs w:val="32"/>
        </w:rPr>
        <w:t>三、事业收入：</w:t>
      </w:r>
      <w:r>
        <w:rPr>
          <w:rFonts w:hint="eastAsia" w:ascii="仿宋_GB2312" w:hAnsi="仿宋" w:eastAsia="仿宋_GB2312"/>
          <w:szCs w:val="32"/>
        </w:rPr>
        <w:t>指事业单位开展专业业务活动及其辅助活动取得的收入；包括事业单位收到的财政专户实际核拨的教育收费等。</w:t>
      </w:r>
    </w:p>
    <w:p>
      <w:pPr>
        <w:spacing w:line="580" w:lineRule="exact"/>
        <w:ind w:firstLine="640" w:firstLineChars="200"/>
        <w:rPr>
          <w:rFonts w:ascii="仿宋_GB2312" w:hAnsi="仿宋" w:eastAsia="仿宋_GB2312"/>
          <w:szCs w:val="32"/>
        </w:rPr>
      </w:pPr>
      <w:r>
        <w:rPr>
          <w:rFonts w:hint="eastAsia" w:ascii="黑体" w:hAnsi="黑体" w:eastAsia="黑体"/>
          <w:szCs w:val="32"/>
        </w:rPr>
        <w:t>四、经营收入：</w:t>
      </w:r>
      <w:r>
        <w:rPr>
          <w:rFonts w:hint="eastAsia" w:ascii="仿宋_GB2312" w:hAnsi="仿宋" w:eastAsia="仿宋_GB2312"/>
          <w:szCs w:val="32"/>
        </w:rPr>
        <w:t>指事业单位在专业业务活动及其辅助活动之外开展非独立核算经营活动取得的收入。</w:t>
      </w:r>
    </w:p>
    <w:p>
      <w:pPr>
        <w:spacing w:line="580" w:lineRule="exact"/>
        <w:ind w:firstLine="640" w:firstLineChars="200"/>
        <w:rPr>
          <w:rFonts w:ascii="仿宋_GB2312" w:hAnsi="仿宋" w:eastAsia="仿宋_GB2312"/>
          <w:szCs w:val="32"/>
        </w:rPr>
      </w:pPr>
      <w:r>
        <w:rPr>
          <w:rFonts w:hint="eastAsia" w:ascii="黑体" w:hAnsi="黑体" w:eastAsia="黑体"/>
          <w:szCs w:val="32"/>
        </w:rPr>
        <w:t>五、附属单位上缴收入：</w:t>
      </w:r>
      <w:r>
        <w:rPr>
          <w:rFonts w:hint="eastAsia" w:ascii="仿宋_GB2312" w:hAnsi="仿宋" w:eastAsia="仿宋_GB2312"/>
          <w:szCs w:val="32"/>
        </w:rPr>
        <w:t>指事业单位附属独立核算单位按照有关规定上缴的收入。</w:t>
      </w:r>
    </w:p>
    <w:p>
      <w:pPr>
        <w:spacing w:line="580" w:lineRule="exact"/>
        <w:ind w:firstLine="640" w:firstLineChars="200"/>
        <w:rPr>
          <w:rFonts w:ascii="仿宋_GB2312" w:hAnsi="仿宋" w:eastAsia="仿宋_GB2312"/>
          <w:szCs w:val="32"/>
        </w:rPr>
      </w:pPr>
      <w:r>
        <w:rPr>
          <w:rFonts w:hint="eastAsia" w:ascii="黑体" w:hAnsi="黑体" w:eastAsia="黑体"/>
          <w:szCs w:val="32"/>
        </w:rPr>
        <w:t>六、其他收入：</w:t>
      </w:r>
      <w:r>
        <w:rPr>
          <w:rFonts w:hint="eastAsia" w:ascii="仿宋_GB2312" w:hAnsi="仿宋" w:eastAsia="仿宋_GB2312"/>
          <w:szCs w:val="32"/>
        </w:rPr>
        <w:t>指单位取得的除上述“</w:t>
      </w:r>
      <w:r>
        <w:rPr>
          <w:rFonts w:hint="eastAsia" w:ascii="仿宋_GB2312" w:eastAsia="仿宋_GB2312"/>
          <w:szCs w:val="32"/>
        </w:rPr>
        <w:t>财政拨款收入</w:t>
      </w:r>
      <w:r>
        <w:rPr>
          <w:rFonts w:hint="eastAsia" w:ascii="仿宋_GB2312" w:hAnsi="仿宋" w:eastAsia="仿宋_GB2312"/>
          <w:szCs w:val="32"/>
        </w:rPr>
        <w:t>”“上级补助收入”“事业收入”“经营收入”“附属单位上缴收入”等以外的各项收入。</w:t>
      </w:r>
    </w:p>
    <w:p>
      <w:pPr>
        <w:spacing w:line="580" w:lineRule="exact"/>
        <w:ind w:firstLine="640" w:firstLineChars="200"/>
        <w:rPr>
          <w:rFonts w:ascii="仿宋_GB2312" w:hAnsi="仿宋" w:eastAsia="仿宋_GB2312"/>
          <w:szCs w:val="32"/>
        </w:rPr>
      </w:pPr>
      <w:r>
        <w:rPr>
          <w:rFonts w:hint="eastAsia" w:ascii="黑体" w:hAnsi="黑体" w:eastAsia="黑体"/>
          <w:szCs w:val="32"/>
        </w:rPr>
        <w:t>七、使用非财政拨款结余：</w:t>
      </w:r>
      <w:r>
        <w:rPr>
          <w:rFonts w:hint="eastAsia" w:ascii="仿宋_GB2312" w:hAnsi="仿宋" w:eastAsia="仿宋_GB2312"/>
          <w:szCs w:val="32"/>
        </w:rPr>
        <w:t>指事业单位按照预算管理要求使用非财政拨款结余弥补收支差额的金额。</w:t>
      </w:r>
    </w:p>
    <w:p>
      <w:pPr>
        <w:spacing w:line="580" w:lineRule="exact"/>
        <w:ind w:firstLine="640" w:firstLineChars="200"/>
        <w:rPr>
          <w:rFonts w:ascii="仿宋_GB2312" w:eastAsia="仿宋_GB2312"/>
          <w:szCs w:val="32"/>
        </w:rPr>
      </w:pPr>
      <w:r>
        <w:rPr>
          <w:rFonts w:hint="eastAsia" w:ascii="黑体" w:hAnsi="黑体" w:eastAsia="黑体"/>
          <w:szCs w:val="32"/>
        </w:rPr>
        <w:t>八、年初结转和结余：</w:t>
      </w:r>
      <w:r>
        <w:rPr>
          <w:rFonts w:hint="eastAsia" w:ascii="仿宋_GB2312" w:eastAsia="仿宋_GB2312"/>
          <w:szCs w:val="32"/>
        </w:rPr>
        <w:t>指单位以前年度尚未完成、结转到本年仍按原规定用途继续使用的资金，或项目已完成等产生的结余资金。</w:t>
      </w:r>
    </w:p>
    <w:p>
      <w:pPr>
        <w:spacing w:line="580" w:lineRule="exact"/>
        <w:ind w:firstLine="640" w:firstLineChars="200"/>
        <w:rPr>
          <w:rFonts w:ascii="仿宋_GB2312" w:eastAsia="仿宋_GB2312"/>
          <w:szCs w:val="32"/>
        </w:rPr>
      </w:pPr>
      <w:r>
        <w:rPr>
          <w:rFonts w:hint="eastAsia" w:ascii="黑体" w:hAnsi="黑体" w:eastAsia="黑体"/>
          <w:szCs w:val="32"/>
        </w:rPr>
        <w:t>九、结余分配：</w:t>
      </w:r>
      <w:r>
        <w:rPr>
          <w:rFonts w:hint="eastAsia" w:ascii="仿宋_GB2312" w:eastAsia="仿宋_GB2312"/>
          <w:szCs w:val="32"/>
        </w:rPr>
        <w:t>指事业单位缴纳的所得税以及从非财政拨款结余或经营结余中提取的各类结余。</w:t>
      </w:r>
    </w:p>
    <w:p>
      <w:pPr>
        <w:spacing w:line="580" w:lineRule="exact"/>
        <w:ind w:firstLine="640" w:firstLineChars="200"/>
        <w:rPr>
          <w:rFonts w:ascii="仿宋_GB2312" w:hAnsi="仿宋" w:eastAsia="仿宋_GB2312"/>
          <w:szCs w:val="32"/>
        </w:rPr>
      </w:pPr>
      <w:r>
        <w:rPr>
          <w:rFonts w:hint="eastAsia" w:ascii="黑体" w:hAnsi="黑体" w:eastAsia="黑体"/>
          <w:szCs w:val="32"/>
        </w:rPr>
        <w:t>十、年末结转和结余：</w:t>
      </w:r>
      <w:r>
        <w:rPr>
          <w:rFonts w:hint="eastAsia" w:ascii="仿宋_GB2312" w:hAnsi="仿宋" w:eastAsia="仿宋_GB2312"/>
          <w:szCs w:val="32"/>
        </w:rPr>
        <w:t>指单位本年度或以前年度预算安排、因客观条件发生变化未全部执行或未执行，结转到以后年度继续使用的资金，或项目已完成等产生的结余资金。</w:t>
      </w:r>
    </w:p>
    <w:p>
      <w:pPr>
        <w:spacing w:line="580" w:lineRule="exact"/>
        <w:ind w:firstLine="640" w:firstLineChars="200"/>
        <w:rPr>
          <w:rFonts w:ascii="仿宋_GB2312" w:eastAsia="仿宋_GB2312"/>
          <w:szCs w:val="32"/>
        </w:rPr>
      </w:pPr>
      <w:r>
        <w:rPr>
          <w:rFonts w:hint="eastAsia" w:ascii="黑体" w:hAnsi="黑体" w:eastAsia="黑体"/>
          <w:szCs w:val="32"/>
        </w:rPr>
        <w:t>十一、基本支出：</w:t>
      </w:r>
      <w:r>
        <w:rPr>
          <w:rFonts w:hint="eastAsia" w:ascii="仿宋_GB2312" w:eastAsia="仿宋_GB2312"/>
          <w:szCs w:val="32"/>
        </w:rPr>
        <w:t>指单位为保障机构正常运转、完成日常工作任务而发生的各项支出。</w:t>
      </w:r>
    </w:p>
    <w:p>
      <w:pPr>
        <w:spacing w:line="580" w:lineRule="exact"/>
        <w:ind w:firstLine="640" w:firstLineChars="200"/>
        <w:rPr>
          <w:rFonts w:ascii="仿宋_GB2312" w:eastAsia="仿宋_GB2312"/>
          <w:szCs w:val="32"/>
        </w:rPr>
      </w:pPr>
      <w:r>
        <w:rPr>
          <w:rFonts w:hint="eastAsia" w:ascii="黑体" w:hAnsi="黑体" w:eastAsia="黑体"/>
          <w:szCs w:val="32"/>
        </w:rPr>
        <w:t>十二、项目支出：</w:t>
      </w:r>
      <w:r>
        <w:rPr>
          <w:rFonts w:hint="eastAsia" w:ascii="仿宋_GB2312" w:eastAsia="仿宋_GB2312"/>
          <w:szCs w:val="32"/>
        </w:rPr>
        <w:t>指单位为完成特定的行政工作任务或事业发展目标，在基本支出之外发生的各项支出。</w:t>
      </w:r>
    </w:p>
    <w:p>
      <w:pPr>
        <w:spacing w:line="580" w:lineRule="exact"/>
        <w:ind w:firstLine="640" w:firstLineChars="200"/>
        <w:rPr>
          <w:rFonts w:ascii="仿宋_GB2312" w:eastAsia="仿宋_GB2312"/>
          <w:szCs w:val="32"/>
        </w:rPr>
      </w:pPr>
      <w:r>
        <w:rPr>
          <w:rFonts w:hint="eastAsia" w:ascii="黑体" w:hAnsi="黑体" w:eastAsia="黑体"/>
          <w:szCs w:val="32"/>
        </w:rPr>
        <w:t>十三、经营支出：</w:t>
      </w:r>
      <w:r>
        <w:rPr>
          <w:rFonts w:hint="eastAsia" w:ascii="仿宋_GB2312" w:eastAsia="仿宋_GB2312"/>
          <w:szCs w:val="32"/>
        </w:rPr>
        <w:t>指事业单位在专业业务活动及其辅助活动之外开展非独立核算经营活动发生的支出。</w:t>
      </w:r>
    </w:p>
    <w:p>
      <w:pPr>
        <w:spacing w:line="580" w:lineRule="exact"/>
        <w:ind w:firstLine="640" w:firstLineChars="200"/>
        <w:rPr>
          <w:rFonts w:ascii="仿宋_GB2312" w:eastAsia="仿宋_GB2312"/>
          <w:szCs w:val="32"/>
        </w:rPr>
      </w:pPr>
      <w:r>
        <w:rPr>
          <w:rFonts w:hint="eastAsia" w:ascii="黑体" w:hAnsi="黑体" w:eastAsia="黑体"/>
          <w:szCs w:val="32"/>
        </w:rPr>
        <w:t>十四、“三公”经费：</w:t>
      </w:r>
      <w:r>
        <w:rPr>
          <w:rFonts w:hint="eastAsia" w:ascii="仿宋_GB2312" w:eastAsia="仿宋_GB2312"/>
          <w:szCs w:val="32"/>
        </w:rPr>
        <w:t>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桥过路费、保险费、安全奖励费用等支出；公务接待费反映单位按规定开支的各类公务接待（含外宾接待）支出。</w:t>
      </w:r>
    </w:p>
    <w:p>
      <w:pPr>
        <w:spacing w:line="580" w:lineRule="exact"/>
        <w:ind w:firstLine="640" w:firstLineChars="200"/>
        <w:rPr>
          <w:rFonts w:ascii="仿宋_GB2312" w:eastAsia="仿宋_GB2312"/>
          <w:szCs w:val="32"/>
        </w:rPr>
      </w:pPr>
      <w:r>
        <w:rPr>
          <w:rFonts w:hint="eastAsia" w:ascii="黑体" w:hAnsi="黑体" w:eastAsia="黑体"/>
          <w:szCs w:val="32"/>
        </w:rPr>
        <w:t>十五、机关运行经费：</w:t>
      </w:r>
      <w:r>
        <w:rPr>
          <w:rFonts w:hint="eastAsia" w:ascii="仿宋_GB2312" w:eastAsia="仿宋_GB231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40" w:lineRule="exact"/>
        <w:ind w:firstLine="640" w:firstLineChars="200"/>
        <w:rPr>
          <w:rFonts w:ascii="仿宋_GB2312" w:hAnsi="黑体" w:eastAsia="仿宋_GB2312"/>
          <w:szCs w:val="32"/>
        </w:rPr>
      </w:pPr>
      <w:r>
        <w:rPr>
          <w:rFonts w:hint="eastAsia" w:ascii="黑体" w:hAnsi="黑体" w:eastAsia="黑体"/>
          <w:szCs w:val="32"/>
        </w:rPr>
        <w:t>十六、公共安全支出（类）司法（款）行政运行（项）：</w:t>
      </w:r>
      <w:r>
        <w:rPr>
          <w:rFonts w:hint="eastAsia" w:ascii="仿宋_GB2312" w:hAnsi="黑体" w:eastAsia="仿宋_GB2312"/>
          <w:szCs w:val="32"/>
        </w:rPr>
        <w:t>反映行政单位（包括实行公务员管理的事业单位）的基本支出。</w:t>
      </w:r>
    </w:p>
    <w:p>
      <w:pPr>
        <w:spacing w:line="540" w:lineRule="exact"/>
        <w:ind w:firstLine="640" w:firstLineChars="200"/>
        <w:rPr>
          <w:rFonts w:ascii="仿宋_GB2312" w:eastAsia="仿宋_GB2312"/>
          <w:szCs w:val="32"/>
        </w:rPr>
      </w:pPr>
      <w:r>
        <w:rPr>
          <w:rFonts w:hint="eastAsia" w:ascii="黑体" w:hAnsi="黑体" w:eastAsia="黑体"/>
          <w:szCs w:val="32"/>
        </w:rPr>
        <w:t>十七、公共安全支出（类）司法（款）一般行政管理事务（项）：</w:t>
      </w:r>
      <w:r>
        <w:rPr>
          <w:rFonts w:hint="eastAsia" w:ascii="仿宋_GB2312" w:eastAsia="仿宋_GB2312"/>
          <w:szCs w:val="32"/>
        </w:rPr>
        <w:t>反映为行政单位</w:t>
      </w:r>
      <w:r>
        <w:rPr>
          <w:rFonts w:ascii="仿宋_GB2312" w:eastAsia="仿宋_GB2312"/>
          <w:szCs w:val="32"/>
        </w:rPr>
        <w:t>（</w:t>
      </w:r>
      <w:r>
        <w:rPr>
          <w:rFonts w:hint="eastAsia" w:ascii="仿宋_GB2312" w:eastAsia="仿宋_GB2312"/>
          <w:szCs w:val="32"/>
        </w:rPr>
        <w:t>包含</w:t>
      </w:r>
      <w:r>
        <w:rPr>
          <w:rFonts w:ascii="仿宋_GB2312" w:eastAsia="仿宋_GB2312"/>
          <w:szCs w:val="32"/>
        </w:rPr>
        <w:t>实行公务员管理的事业单位）</w:t>
      </w:r>
      <w:r>
        <w:rPr>
          <w:rFonts w:hint="eastAsia" w:ascii="仿宋_GB2312" w:eastAsia="仿宋_GB2312"/>
          <w:szCs w:val="32"/>
        </w:rPr>
        <w:t>未单独设置项级科目</w:t>
      </w:r>
      <w:r>
        <w:rPr>
          <w:rFonts w:ascii="仿宋_GB2312" w:eastAsia="仿宋_GB2312"/>
          <w:szCs w:val="32"/>
        </w:rPr>
        <w:t>的其他项目支出</w:t>
      </w:r>
      <w:r>
        <w:rPr>
          <w:rFonts w:hint="eastAsia" w:ascii="仿宋_GB2312" w:eastAsia="仿宋_GB2312"/>
          <w:szCs w:val="32"/>
        </w:rPr>
        <w:t>。</w:t>
      </w:r>
    </w:p>
    <w:p>
      <w:pPr>
        <w:spacing w:line="540" w:lineRule="exact"/>
        <w:ind w:firstLine="640" w:firstLineChars="200"/>
        <w:rPr>
          <w:rFonts w:ascii="黑体" w:hAnsi="黑体" w:eastAsia="黑体"/>
          <w:szCs w:val="32"/>
        </w:rPr>
      </w:pPr>
      <w:r>
        <w:rPr>
          <w:rFonts w:hint="eastAsia" w:ascii="黑体" w:hAnsi="黑体" w:eastAsia="黑体"/>
          <w:szCs w:val="32"/>
        </w:rPr>
        <w:t>十八、公共安全支出（类）司法（款）法律援助（项）：</w:t>
      </w:r>
      <w:r>
        <w:rPr>
          <w:rFonts w:hint="eastAsia" w:ascii="仿宋_GB2312" w:eastAsia="仿宋_GB2312"/>
          <w:szCs w:val="32"/>
        </w:rPr>
        <w:t>反映各级法律援助机构用于开展法律援助工作的支出。</w:t>
      </w:r>
    </w:p>
    <w:p>
      <w:pPr>
        <w:spacing w:line="540" w:lineRule="exact"/>
        <w:ind w:firstLine="640" w:firstLineChars="200"/>
        <w:rPr>
          <w:rFonts w:ascii="仿宋_GB2312" w:hAnsi="黑体" w:eastAsia="仿宋_GB2312"/>
          <w:szCs w:val="32"/>
        </w:rPr>
      </w:pPr>
      <w:r>
        <w:rPr>
          <w:rFonts w:hint="eastAsia" w:ascii="黑体" w:hAnsi="黑体" w:eastAsia="黑体"/>
          <w:szCs w:val="32"/>
        </w:rPr>
        <w:t>十九、公共安全支出（类）司法（款）国家统一法律职业资格考试（项）：</w:t>
      </w:r>
      <w:r>
        <w:rPr>
          <w:rFonts w:hint="eastAsia" w:ascii="仿宋_GB2312" w:hAnsi="黑体" w:eastAsia="仿宋_GB2312"/>
          <w:szCs w:val="32"/>
        </w:rPr>
        <w:t>反映各地司法系统举办的</w:t>
      </w:r>
      <w:r>
        <w:rPr>
          <w:rFonts w:ascii="仿宋_GB2312" w:hAnsi="黑体" w:eastAsia="仿宋_GB2312"/>
          <w:szCs w:val="32"/>
        </w:rPr>
        <w:t>国家统一法律职业资格考试</w:t>
      </w:r>
      <w:r>
        <w:rPr>
          <w:rFonts w:hint="eastAsia" w:ascii="仿宋_GB2312" w:hAnsi="黑体" w:eastAsia="仿宋_GB2312"/>
          <w:szCs w:val="32"/>
        </w:rPr>
        <w:t>所需的支出，包括报名组织费、命题费、题库</w:t>
      </w:r>
      <w:r>
        <w:rPr>
          <w:rFonts w:ascii="仿宋_GB2312" w:hAnsi="黑体" w:eastAsia="仿宋_GB2312"/>
          <w:szCs w:val="32"/>
        </w:rPr>
        <w:t>案例库建设费、</w:t>
      </w:r>
      <w:r>
        <w:rPr>
          <w:rFonts w:hint="eastAsia" w:ascii="仿宋_GB2312" w:hAnsi="黑体" w:eastAsia="仿宋_GB2312"/>
          <w:szCs w:val="32"/>
        </w:rPr>
        <w:t>试卷印刷费、阅卷费、计算机化考试服务费</w:t>
      </w:r>
      <w:r>
        <w:rPr>
          <w:rFonts w:ascii="仿宋_GB2312" w:hAnsi="黑体" w:eastAsia="仿宋_GB2312"/>
          <w:szCs w:val="32"/>
        </w:rPr>
        <w:t>、</w:t>
      </w:r>
      <w:r>
        <w:rPr>
          <w:rFonts w:hint="eastAsia" w:ascii="仿宋_GB2312" w:hAnsi="黑体" w:eastAsia="仿宋_GB2312"/>
          <w:szCs w:val="32"/>
        </w:rPr>
        <w:t>考场租赁费、</w:t>
      </w:r>
      <w:r>
        <w:rPr>
          <w:rFonts w:ascii="仿宋_GB2312" w:hAnsi="黑体" w:eastAsia="仿宋_GB2312"/>
          <w:szCs w:val="32"/>
        </w:rPr>
        <w:t>考试信息化运行维护费</w:t>
      </w:r>
      <w:r>
        <w:rPr>
          <w:rFonts w:hint="eastAsia" w:ascii="仿宋_GB2312" w:hAnsi="黑体" w:eastAsia="仿宋_GB2312"/>
          <w:szCs w:val="32"/>
        </w:rPr>
        <w:t>等。</w:t>
      </w:r>
    </w:p>
    <w:p>
      <w:pPr>
        <w:spacing w:line="540" w:lineRule="exact"/>
        <w:ind w:firstLine="640" w:firstLineChars="200"/>
        <w:rPr>
          <w:rFonts w:ascii="仿宋_GB2312" w:hAnsi="黑体" w:eastAsia="仿宋_GB2312"/>
          <w:szCs w:val="32"/>
        </w:rPr>
      </w:pPr>
      <w:r>
        <w:rPr>
          <w:rFonts w:hint="eastAsia" w:ascii="黑体" w:hAnsi="黑体" w:eastAsia="黑体"/>
          <w:szCs w:val="32"/>
        </w:rPr>
        <w:t>二十、公共安全支出（类）司法（款）其他司法支出（项）：</w:t>
      </w:r>
      <w:r>
        <w:rPr>
          <w:rFonts w:hint="eastAsia" w:ascii="仿宋" w:hAnsi="仿宋" w:eastAsia="仿宋"/>
          <w:szCs w:val="32"/>
        </w:rPr>
        <w:t>反映司法行政部门</w:t>
      </w:r>
      <w:r>
        <w:rPr>
          <w:rFonts w:ascii="仿宋" w:hAnsi="仿宋" w:eastAsia="仿宋"/>
          <w:szCs w:val="32"/>
        </w:rPr>
        <w:t>发生的</w:t>
      </w:r>
      <w:r>
        <w:rPr>
          <w:rFonts w:hint="eastAsia" w:ascii="仿宋" w:hAnsi="仿宋" w:eastAsia="仿宋"/>
          <w:szCs w:val="32"/>
        </w:rPr>
        <w:t>法学研究费</w:t>
      </w:r>
      <w:r>
        <w:rPr>
          <w:rFonts w:ascii="仿宋" w:hAnsi="仿宋" w:eastAsia="仿宋"/>
          <w:szCs w:val="32"/>
        </w:rPr>
        <w:t>、司法协助费、典型推广和表彰费、证书工本费等支出</w:t>
      </w:r>
      <w:r>
        <w:rPr>
          <w:rFonts w:hint="eastAsia" w:ascii="仿宋" w:hAnsi="仿宋" w:eastAsia="仿宋"/>
          <w:szCs w:val="32"/>
        </w:rPr>
        <w:t>。</w:t>
      </w:r>
    </w:p>
    <w:p>
      <w:pPr>
        <w:spacing w:line="540" w:lineRule="exact"/>
        <w:ind w:firstLine="640" w:firstLineChars="200"/>
        <w:rPr>
          <w:rFonts w:ascii="仿宋_GB2312" w:hAnsi="黑体" w:eastAsia="仿宋_GB2312"/>
          <w:szCs w:val="32"/>
        </w:rPr>
      </w:pPr>
      <w:r>
        <w:rPr>
          <w:rFonts w:hint="eastAsia" w:ascii="黑体" w:hAnsi="黑体" w:eastAsia="黑体"/>
          <w:szCs w:val="32"/>
        </w:rPr>
        <w:t>二十一、公共安全支出（类）监狱（款）：</w:t>
      </w:r>
      <w:r>
        <w:rPr>
          <w:rFonts w:hint="eastAsia" w:ascii="仿宋_GB2312" w:hAnsi="黑体" w:eastAsia="仿宋_GB2312"/>
          <w:szCs w:val="32"/>
        </w:rPr>
        <w:t>反映监狱管理事务支出。</w:t>
      </w:r>
    </w:p>
    <w:p>
      <w:pPr>
        <w:spacing w:line="540" w:lineRule="exact"/>
        <w:ind w:firstLine="697" w:firstLineChars="218"/>
      </w:pPr>
      <w:r>
        <w:rPr>
          <w:rFonts w:hint="eastAsia" w:ascii="黑体" w:hAnsi="黑体" w:eastAsia="黑体"/>
          <w:szCs w:val="32"/>
        </w:rPr>
        <w:t>二十二</w:t>
      </w:r>
      <w:r>
        <w:rPr>
          <w:rFonts w:ascii="黑体" w:hAnsi="黑体" w:eastAsia="黑体"/>
          <w:szCs w:val="32"/>
        </w:rPr>
        <w:t>、</w:t>
      </w:r>
      <w:r>
        <w:rPr>
          <w:rFonts w:hint="eastAsia" w:ascii="黑体" w:hAnsi="黑体" w:eastAsia="黑体"/>
          <w:szCs w:val="32"/>
        </w:rPr>
        <w:t>公共安全支出（类）强制隔离戒毒（款）：</w:t>
      </w:r>
      <w:r>
        <w:rPr>
          <w:rFonts w:hint="eastAsia" w:ascii="仿宋_GB2312" w:hAnsi="黑体" w:eastAsia="仿宋_GB2312"/>
          <w:szCs w:val="32"/>
        </w:rPr>
        <w:t>反映强制隔离戒毒管理事务支出。</w:t>
      </w:r>
    </w:p>
    <w:p>
      <w:pPr>
        <w:rPr>
          <w:rFonts w:ascii="方正小标宋简体" w:eastAsia="方正小标宋简体"/>
          <w:spacing w:val="60"/>
          <w:sz w:val="42"/>
        </w:rPr>
        <w:sectPr>
          <w:pgSz w:w="11906" w:h="16838"/>
          <w:pgMar w:top="2098" w:right="1418" w:bottom="1871" w:left="1531" w:header="851" w:footer="992" w:gutter="0"/>
          <w:cols w:space="720" w:num="1"/>
          <w:docGrid w:type="lines" w:linePitch="312" w:charSpace="0"/>
        </w:sect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第五部分</w:t>
      </w: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 xml:space="preserve">  附  件</w:t>
      </w:r>
    </w:p>
    <w:p>
      <w:pPr>
        <w:spacing w:line="540" w:lineRule="exact"/>
        <w:ind w:firstLine="640" w:firstLineChars="200"/>
        <w:rPr>
          <w:rFonts w:ascii="仿宋_GB2312" w:hAnsi="黑体" w:eastAsia="仿宋_GB2312"/>
          <w:szCs w:val="32"/>
        </w:rPr>
      </w:pPr>
    </w:p>
    <w:p>
      <w:pPr>
        <w:spacing w:line="540" w:lineRule="exact"/>
        <w:ind w:firstLine="640" w:firstLineChars="200"/>
        <w:rPr>
          <w:rFonts w:ascii="仿宋_GB2312" w:eastAsia="仿宋_GB2312"/>
          <w:kern w:val="0"/>
          <w:szCs w:val="32"/>
        </w:rPr>
      </w:pPr>
      <w:r>
        <w:rPr>
          <w:rFonts w:hint="eastAsia" w:ascii="仿宋_GB2312" w:hAnsi="黑体" w:eastAsia="仿宋_GB2312"/>
          <w:szCs w:val="32"/>
        </w:rPr>
        <w:t>1、</w:t>
      </w:r>
      <w:r>
        <w:rPr>
          <w:rFonts w:hint="eastAsia" w:ascii="仿宋_GB2312" w:eastAsia="仿宋_GB2312"/>
          <w:kern w:val="0"/>
          <w:szCs w:val="32"/>
        </w:rPr>
        <w:t>2021年度市</w:t>
      </w:r>
      <w:r>
        <w:rPr>
          <w:rFonts w:ascii="仿宋_GB2312" w:eastAsia="仿宋_GB2312"/>
          <w:kern w:val="0"/>
          <w:szCs w:val="32"/>
        </w:rPr>
        <w:t>级</w:t>
      </w:r>
      <w:r>
        <w:rPr>
          <w:rFonts w:hint="eastAsia" w:ascii="仿宋_GB2312" w:eastAsia="仿宋_GB2312"/>
          <w:kern w:val="0"/>
          <w:szCs w:val="32"/>
        </w:rPr>
        <w:t>预算安排项目支出绩效自评情况汇总表</w:t>
      </w:r>
    </w:p>
    <w:p>
      <w:pPr>
        <w:spacing w:line="540" w:lineRule="exact"/>
        <w:ind w:firstLine="640" w:firstLineChars="200"/>
        <w:rPr>
          <w:rFonts w:ascii="仿宋_GB2312" w:eastAsia="仿宋_GB2312"/>
          <w:kern w:val="0"/>
          <w:szCs w:val="32"/>
        </w:rPr>
      </w:pPr>
      <w:r>
        <w:rPr>
          <w:rFonts w:hint="eastAsia" w:ascii="仿宋_GB2312" w:eastAsia="仿宋_GB2312"/>
          <w:kern w:val="0"/>
          <w:szCs w:val="32"/>
        </w:rPr>
        <w:t>2、2021年度市级预算安排项目支出绩效自评表</w:t>
      </w:r>
    </w:p>
    <w:p>
      <w:pPr>
        <w:spacing w:line="540" w:lineRule="exact"/>
        <w:ind w:firstLine="640" w:firstLineChars="200"/>
        <w:rPr>
          <w:rFonts w:ascii="仿宋_GB2312" w:eastAsia="仿宋_GB2312"/>
          <w:kern w:val="0"/>
          <w:szCs w:val="32"/>
        </w:rPr>
      </w:pPr>
      <w:r>
        <w:rPr>
          <w:rFonts w:hint="eastAsia" w:ascii="仿宋_GB2312" w:eastAsia="仿宋_GB2312"/>
          <w:kern w:val="0"/>
          <w:szCs w:val="32"/>
        </w:rPr>
        <w:t>3、2021年度项目支出部门评价情况汇总表</w:t>
      </w:r>
    </w:p>
    <w:p>
      <w:pPr>
        <w:spacing w:line="540" w:lineRule="exact"/>
        <w:ind w:firstLine="640" w:firstLineChars="200"/>
        <w:rPr>
          <w:rFonts w:ascii="仿宋_GB2312" w:eastAsia="仿宋_GB2312"/>
          <w:kern w:val="0"/>
          <w:szCs w:val="32"/>
        </w:rPr>
      </w:pPr>
      <w:r>
        <w:rPr>
          <w:rFonts w:hint="eastAsia" w:ascii="仿宋_GB2312" w:eastAsia="仿宋_GB2312"/>
          <w:kern w:val="0"/>
          <w:szCs w:val="32"/>
        </w:rPr>
        <w:t>4、2021年度项目支出绩效评价指标体系表</w:t>
      </w:r>
    </w:p>
    <w:p>
      <w:pPr>
        <w:spacing w:line="580" w:lineRule="exact"/>
        <w:ind w:firstLine="640" w:firstLineChars="200"/>
        <w:rPr>
          <w:rFonts w:ascii="黑体" w:hAnsi="黑体" w:eastAsia="黑体"/>
          <w:szCs w:val="32"/>
        </w:rPr>
        <w:sectPr>
          <w:pgSz w:w="11906" w:h="16838"/>
          <w:pgMar w:top="2098" w:right="1418" w:bottom="1871" w:left="1531" w:header="851" w:footer="992" w:gutter="0"/>
          <w:cols w:space="720" w:num="1"/>
          <w:docGrid w:type="lines" w:linePitch="312" w:charSpace="0"/>
        </w:sectPr>
      </w:pPr>
    </w:p>
    <w:p>
      <w:pPr>
        <w:spacing w:after="305" w:afterLines="50" w:line="600" w:lineRule="exact"/>
        <w:ind w:firstLine="42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2021年度项目支出绩效自评情况汇总表</w:t>
      </w:r>
    </w:p>
    <w:p>
      <w:pPr>
        <w:widowControl/>
        <w:spacing w:before="610" w:beforeLines="100"/>
        <w:jc w:val="left"/>
        <w:textAlignment w:val="center"/>
        <w:rPr>
          <w:rFonts w:ascii="黑体" w:hAnsi="宋体" w:eastAsia="黑体" w:cs="黑体"/>
          <w:color w:val="000000"/>
          <w:kern w:val="0"/>
          <w:sz w:val="28"/>
          <w:szCs w:val="28"/>
        </w:rPr>
      </w:pPr>
      <w:r>
        <w:rPr>
          <w:rFonts w:hint="eastAsia" w:ascii="黑体" w:hAnsi="宋体" w:eastAsia="黑体" w:cs="黑体"/>
          <w:color w:val="000000"/>
          <w:kern w:val="0"/>
          <w:sz w:val="28"/>
          <w:szCs w:val="28"/>
        </w:rPr>
        <w:t>部门：青岛市司法局</w:t>
      </w:r>
    </w:p>
    <w:tbl>
      <w:tblPr>
        <w:tblStyle w:val="15"/>
        <w:tblW w:w="1346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7"/>
        <w:gridCol w:w="4600"/>
        <w:gridCol w:w="3195"/>
        <w:gridCol w:w="2106"/>
        <w:gridCol w:w="2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Header/>
        </w:trPr>
        <w:tc>
          <w:tcPr>
            <w:tcW w:w="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序号</w:t>
            </w:r>
          </w:p>
        </w:tc>
        <w:tc>
          <w:tcPr>
            <w:tcW w:w="460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项目名称</w:t>
            </w:r>
          </w:p>
        </w:tc>
        <w:tc>
          <w:tcPr>
            <w:tcW w:w="31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资金使用单位</w:t>
            </w:r>
          </w:p>
        </w:tc>
        <w:tc>
          <w:tcPr>
            <w:tcW w:w="210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自评得分</w:t>
            </w:r>
          </w:p>
        </w:tc>
        <w:tc>
          <w:tcPr>
            <w:tcW w:w="280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自评等级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blHeader/>
        </w:trPr>
        <w:tc>
          <w:tcPr>
            <w:tcW w:w="13466" w:type="dxa"/>
            <w:gridSpan w:val="5"/>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textAlignment w:val="center"/>
              <w:rPr>
                <w:rFonts w:ascii="仿宋_GB2312" w:hAnsi="宋体" w:eastAsia="仿宋_GB2312" w:cs="仿宋_GB2312"/>
                <w:b/>
                <w:color w:val="000000"/>
                <w:sz w:val="28"/>
                <w:szCs w:val="28"/>
              </w:rPr>
            </w:pPr>
            <w:r>
              <w:rPr>
                <w:rFonts w:hint="eastAsia" w:ascii="仿宋_GB2312" w:hAnsi="宋体" w:eastAsia="仿宋_GB2312" w:cs="仿宋_GB2312"/>
                <w:b/>
                <w:color w:val="000000"/>
                <w:kern w:val="0"/>
                <w:sz w:val="28"/>
                <w:szCs w:val="28"/>
              </w:rPr>
              <w:t>市本级支出项目绩效自评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1</w:t>
            </w:r>
          </w:p>
        </w:tc>
        <w:tc>
          <w:tcPr>
            <w:tcW w:w="460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法制专项业务费</w:t>
            </w:r>
          </w:p>
        </w:tc>
        <w:tc>
          <w:tcPr>
            <w:tcW w:w="319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青岛市司法局</w:t>
            </w:r>
          </w:p>
        </w:tc>
        <w:tc>
          <w:tcPr>
            <w:tcW w:w="210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99.75</w:t>
            </w:r>
          </w:p>
        </w:tc>
        <w:tc>
          <w:tcPr>
            <w:tcW w:w="2808"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2</w:t>
            </w:r>
          </w:p>
        </w:tc>
        <w:tc>
          <w:tcPr>
            <w:tcW w:w="4600"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警用服装费</w:t>
            </w:r>
          </w:p>
        </w:tc>
        <w:tc>
          <w:tcPr>
            <w:tcW w:w="3195"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青岛市司法局</w:t>
            </w:r>
          </w:p>
        </w:tc>
        <w:tc>
          <w:tcPr>
            <w:tcW w:w="210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99.69</w:t>
            </w:r>
          </w:p>
        </w:tc>
        <w:tc>
          <w:tcPr>
            <w:tcW w:w="2808"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3</w:t>
            </w:r>
          </w:p>
        </w:tc>
        <w:tc>
          <w:tcPr>
            <w:tcW w:w="4600"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法律职业资格考试费</w:t>
            </w:r>
          </w:p>
        </w:tc>
        <w:tc>
          <w:tcPr>
            <w:tcW w:w="3195"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青岛市司法局</w:t>
            </w:r>
          </w:p>
        </w:tc>
        <w:tc>
          <w:tcPr>
            <w:tcW w:w="210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93.31</w:t>
            </w:r>
          </w:p>
        </w:tc>
        <w:tc>
          <w:tcPr>
            <w:tcW w:w="2808"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4</w:t>
            </w:r>
          </w:p>
        </w:tc>
        <w:tc>
          <w:tcPr>
            <w:tcW w:w="4600"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普法人民监督员涉法涉诉专项经费</w:t>
            </w:r>
          </w:p>
        </w:tc>
        <w:tc>
          <w:tcPr>
            <w:tcW w:w="3195"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青岛市司法局</w:t>
            </w:r>
          </w:p>
        </w:tc>
        <w:tc>
          <w:tcPr>
            <w:tcW w:w="210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100</w:t>
            </w:r>
          </w:p>
        </w:tc>
        <w:tc>
          <w:tcPr>
            <w:tcW w:w="2808"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57"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5</w:t>
            </w:r>
          </w:p>
        </w:tc>
        <w:tc>
          <w:tcPr>
            <w:tcW w:w="4600"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法律培训费</w:t>
            </w:r>
          </w:p>
        </w:tc>
        <w:tc>
          <w:tcPr>
            <w:tcW w:w="3195"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青岛市司法局</w:t>
            </w:r>
          </w:p>
        </w:tc>
        <w:tc>
          <w:tcPr>
            <w:tcW w:w="210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99.2</w:t>
            </w:r>
          </w:p>
        </w:tc>
        <w:tc>
          <w:tcPr>
            <w:tcW w:w="2808"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6</w:t>
            </w:r>
          </w:p>
        </w:tc>
        <w:tc>
          <w:tcPr>
            <w:tcW w:w="4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惠企政策法律服务费</w:t>
            </w:r>
          </w:p>
        </w:tc>
        <w:tc>
          <w:tcPr>
            <w:tcW w:w="31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青岛市司法局</w:t>
            </w:r>
          </w:p>
        </w:tc>
        <w:tc>
          <w:tcPr>
            <w:tcW w:w="21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100</w:t>
            </w:r>
          </w:p>
        </w:tc>
        <w:tc>
          <w:tcPr>
            <w:tcW w:w="2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7</w:t>
            </w:r>
          </w:p>
        </w:tc>
        <w:tc>
          <w:tcPr>
            <w:tcW w:w="4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法律援助及12348业务费</w:t>
            </w:r>
          </w:p>
        </w:tc>
        <w:tc>
          <w:tcPr>
            <w:tcW w:w="31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青岛市法律援助中心</w:t>
            </w:r>
          </w:p>
        </w:tc>
        <w:tc>
          <w:tcPr>
            <w:tcW w:w="21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99.5</w:t>
            </w:r>
          </w:p>
        </w:tc>
        <w:tc>
          <w:tcPr>
            <w:tcW w:w="2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7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8</w:t>
            </w:r>
          </w:p>
        </w:tc>
        <w:tc>
          <w:tcPr>
            <w:tcW w:w="4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公共法律服务中心建设运行费</w:t>
            </w:r>
          </w:p>
        </w:tc>
        <w:tc>
          <w:tcPr>
            <w:tcW w:w="31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青岛市法律援助中心</w:t>
            </w:r>
          </w:p>
        </w:tc>
        <w:tc>
          <w:tcPr>
            <w:tcW w:w="21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95.71</w:t>
            </w:r>
          </w:p>
        </w:tc>
        <w:tc>
          <w:tcPr>
            <w:tcW w:w="28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优</w:t>
            </w:r>
          </w:p>
        </w:tc>
      </w:tr>
    </w:tbl>
    <w:p>
      <w:pPr>
        <w:spacing w:line="400" w:lineRule="exact"/>
        <w:rPr>
          <w:rFonts w:ascii="仿宋_GB2312" w:eastAsia="仿宋_GB2312"/>
          <w:b/>
          <w:szCs w:val="32"/>
        </w:rPr>
      </w:pPr>
      <w:r>
        <w:rPr>
          <w:rFonts w:hint="eastAsia" w:ascii="仿宋_GB2312" w:eastAsia="仿宋_GB2312"/>
          <w:b/>
          <w:szCs w:val="32"/>
        </w:rPr>
        <w:t xml:space="preserve">    </w:t>
      </w:r>
    </w:p>
    <w:p>
      <w:pPr>
        <w:spacing w:line="400" w:lineRule="exact"/>
        <w:rPr>
          <w:rFonts w:ascii="仿宋_GB2312" w:eastAsia="仿宋_GB2312"/>
          <w:bCs/>
          <w:szCs w:val="32"/>
        </w:rPr>
      </w:pPr>
      <w:r>
        <w:rPr>
          <w:rFonts w:hint="eastAsia" w:ascii="仿宋_GB2312" w:eastAsia="仿宋_GB2312"/>
          <w:b/>
          <w:szCs w:val="32"/>
        </w:rPr>
        <w:t xml:space="preserve">    </w:t>
      </w:r>
      <w:r>
        <w:rPr>
          <w:rFonts w:hint="eastAsia" w:ascii="仿宋_GB2312" w:eastAsia="仿宋_GB2312"/>
          <w:bCs/>
          <w:szCs w:val="32"/>
        </w:rPr>
        <w:t>本部门开展的另外14项绩效自评结果因项目涉密按规定不予公开。</w:t>
      </w:r>
    </w:p>
    <w:p>
      <w:pPr>
        <w:spacing w:line="400" w:lineRule="exact"/>
        <w:ind w:firstLine="632" w:firstLineChars="200"/>
        <w:rPr>
          <w:rFonts w:ascii="仿宋_GB2312" w:eastAsia="仿宋_GB2312"/>
          <w:b/>
          <w:szCs w:val="32"/>
        </w:rPr>
      </w:pPr>
    </w:p>
    <w:p>
      <w:pPr>
        <w:spacing w:line="400" w:lineRule="exact"/>
        <w:rPr>
          <w:rFonts w:ascii="仿宋_GB2312" w:eastAsia="仿宋_GB2312"/>
          <w:sz w:val="28"/>
          <w:szCs w:val="28"/>
        </w:rPr>
      </w:pPr>
      <w:r>
        <w:rPr>
          <w:rFonts w:hint="eastAsia" w:ascii="仿宋_GB2312" w:eastAsia="仿宋_GB2312"/>
          <w:sz w:val="28"/>
          <w:szCs w:val="28"/>
          <w:lang w:val="zh-CN"/>
        </w:rPr>
        <w:t>注：</w:t>
      </w:r>
      <w:r>
        <w:rPr>
          <w:rFonts w:hint="eastAsia" w:ascii="仿宋_GB2312" w:eastAsia="仿宋_GB2312"/>
          <w:sz w:val="28"/>
          <w:szCs w:val="28"/>
        </w:rPr>
        <w:t>1.</w:t>
      </w:r>
      <w:r>
        <w:rPr>
          <w:rFonts w:hint="eastAsia" w:ascii="仿宋_GB2312" w:eastAsia="仿宋_GB2312"/>
          <w:sz w:val="28"/>
          <w:szCs w:val="28"/>
          <w:lang w:val="zh-CN"/>
        </w:rPr>
        <w:t>“资金使用单位</w:t>
      </w:r>
      <w:r>
        <w:rPr>
          <w:rFonts w:ascii="仿宋_GB2312" w:eastAsia="仿宋_GB2312"/>
          <w:sz w:val="28"/>
          <w:szCs w:val="28"/>
        </w:rPr>
        <w:t>”</w:t>
      </w:r>
      <w:r>
        <w:rPr>
          <w:rFonts w:hint="eastAsia" w:ascii="仿宋_GB2312" w:eastAsia="仿宋_GB2312"/>
          <w:sz w:val="28"/>
          <w:szCs w:val="28"/>
        </w:rPr>
        <w:t>为具体使用资金的机关本级或下级单位；</w:t>
      </w:r>
    </w:p>
    <w:p>
      <w:pPr>
        <w:spacing w:line="400" w:lineRule="exact"/>
        <w:rPr>
          <w:rFonts w:ascii="仿宋_GB2312" w:eastAsia="仿宋_GB2312"/>
          <w:sz w:val="28"/>
          <w:szCs w:val="28"/>
          <w:lang w:val="zh-CN"/>
        </w:rPr>
      </w:pPr>
      <w:r>
        <w:rPr>
          <w:rFonts w:hint="eastAsia" w:ascii="仿宋_GB2312" w:eastAsia="仿宋_GB2312"/>
          <w:sz w:val="28"/>
          <w:szCs w:val="28"/>
        </w:rPr>
        <w:t>2.</w:t>
      </w:r>
      <w:r>
        <w:rPr>
          <w:rFonts w:hint="eastAsia" w:ascii="仿宋_GB2312" w:eastAsia="仿宋_GB2312"/>
          <w:sz w:val="28"/>
          <w:szCs w:val="28"/>
          <w:lang w:val="zh-CN"/>
        </w:rPr>
        <w:t>自评等级：自评得分在</w:t>
      </w:r>
      <w:r>
        <w:rPr>
          <w:rFonts w:hint="eastAsia" w:ascii="仿宋_GB2312" w:eastAsia="仿宋_GB2312"/>
          <w:sz w:val="28"/>
          <w:szCs w:val="28"/>
        </w:rPr>
        <w:t>90</w:t>
      </w:r>
      <w:r>
        <w:rPr>
          <w:rFonts w:hint="eastAsia" w:ascii="仿宋_GB2312" w:eastAsia="仿宋_GB2312"/>
          <w:sz w:val="28"/>
          <w:szCs w:val="28"/>
          <w:lang w:val="zh-CN"/>
        </w:rPr>
        <w:t>（含）</w:t>
      </w:r>
      <w:r>
        <w:rPr>
          <w:rFonts w:hint="eastAsia" w:ascii="仿宋_GB2312" w:hAnsi="仿宋_GB2312" w:eastAsia="仿宋_GB2312" w:cs="仿宋_GB2312"/>
          <w:sz w:val="28"/>
          <w:szCs w:val="28"/>
        </w:rPr>
        <w:t>-100</w:t>
      </w:r>
      <w:r>
        <w:rPr>
          <w:rFonts w:hint="eastAsia" w:ascii="仿宋_GB2312" w:eastAsia="仿宋_GB2312"/>
          <w:sz w:val="28"/>
          <w:szCs w:val="28"/>
          <w:lang w:val="zh-CN"/>
        </w:rPr>
        <w:t>为“优”，</w:t>
      </w:r>
      <w:r>
        <w:rPr>
          <w:rFonts w:hint="eastAsia" w:ascii="仿宋_GB2312" w:eastAsia="仿宋_GB2312"/>
          <w:sz w:val="28"/>
          <w:szCs w:val="28"/>
        </w:rPr>
        <w:t>80（含）-90为“良”，60（含）-80为“中”，</w:t>
      </w:r>
      <w:r>
        <w:rPr>
          <w:rFonts w:hint="eastAsia" w:ascii="仿宋_GB2312" w:hAnsi="仿宋_GB2312" w:eastAsia="仿宋_GB2312" w:cs="仿宋_GB2312"/>
          <w:sz w:val="28"/>
          <w:szCs w:val="28"/>
        </w:rPr>
        <w:t>60分以下为</w:t>
      </w:r>
      <w:r>
        <w:rPr>
          <w:rFonts w:hint="eastAsia" w:ascii="仿宋_GB2312" w:eastAsia="仿宋_GB2312"/>
          <w:sz w:val="28"/>
          <w:szCs w:val="28"/>
          <w:lang w:val="zh-CN"/>
        </w:rPr>
        <w:t>“</w:t>
      </w:r>
      <w:r>
        <w:rPr>
          <w:rFonts w:hint="eastAsia" w:ascii="仿宋_GB2312" w:hAnsi="仿宋_GB2312" w:eastAsia="仿宋_GB2312" w:cs="仿宋_GB2312"/>
          <w:sz w:val="28"/>
          <w:szCs w:val="28"/>
        </w:rPr>
        <w:t>差</w:t>
      </w:r>
      <w:r>
        <w:rPr>
          <w:rFonts w:hint="eastAsia" w:ascii="仿宋_GB2312" w:eastAsia="仿宋_GB2312"/>
          <w:sz w:val="28"/>
          <w:szCs w:val="28"/>
          <w:lang w:val="zh-CN"/>
        </w:rPr>
        <w:t>”；</w:t>
      </w:r>
    </w:p>
    <w:p>
      <w:pPr>
        <w:spacing w:line="400" w:lineRule="exact"/>
        <w:rPr>
          <w:rFonts w:ascii="仿宋_GB2312" w:hAnsi="仿宋_GB2312" w:eastAsia="仿宋_GB2312" w:cs="仿宋_GB2312"/>
          <w:sz w:val="28"/>
          <w:szCs w:val="28"/>
        </w:rPr>
      </w:pPr>
      <w:r>
        <w:rPr>
          <w:rFonts w:hint="eastAsia" w:ascii="仿宋_GB2312" w:eastAsia="仿宋_GB2312"/>
          <w:sz w:val="28"/>
          <w:szCs w:val="28"/>
        </w:rPr>
        <w:t>3.</w:t>
      </w:r>
      <w:r>
        <w:rPr>
          <w:rFonts w:hint="eastAsia" w:ascii="仿宋_GB2312" w:hAnsi="仿宋_GB2312" w:eastAsia="仿宋_GB2312" w:cs="仿宋_GB2312"/>
          <w:sz w:val="28"/>
          <w:szCs w:val="28"/>
        </w:rPr>
        <w:t>表格中两部分的项目总数应与“1、预算绩效管理工作开展情况”“2、项目绩效自评结果”中表述的自评项目数量保持一致。如因项目涉密等原因造成项目数量不一致，需说明。</w:t>
      </w: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sectPr>
          <w:pgSz w:w="16838" w:h="11906" w:orient="landscape"/>
          <w:pgMar w:top="1077" w:right="1701" w:bottom="1077" w:left="1701" w:header="0" w:footer="1418" w:gutter="0"/>
          <w:cols w:space="720" w:num="1"/>
          <w:docGrid w:type="linesAndChars" w:linePitch="610" w:charSpace="-849"/>
        </w:sectPr>
      </w:pPr>
    </w:p>
    <w:tbl>
      <w:tblPr>
        <w:tblStyle w:val="15"/>
        <w:tblW w:w="146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3"/>
        <w:gridCol w:w="1982"/>
        <w:gridCol w:w="1176"/>
        <w:gridCol w:w="1838"/>
        <w:gridCol w:w="1621"/>
        <w:gridCol w:w="797"/>
        <w:gridCol w:w="1780"/>
        <w:gridCol w:w="528"/>
        <w:gridCol w:w="1088"/>
        <w:gridCol w:w="2542"/>
        <w:gridCol w:w="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0" w:hRule="atLeast"/>
        </w:trPr>
        <w:tc>
          <w:tcPr>
            <w:tcW w:w="14659" w:type="dxa"/>
            <w:gridSpan w:val="11"/>
            <w:vMerge w:val="restart"/>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color w:val="000000"/>
                <w:sz w:val="56"/>
                <w:szCs w:val="56"/>
              </w:rPr>
            </w:pPr>
            <w:r>
              <w:rPr>
                <w:rFonts w:hint="eastAsia" w:ascii="宋体" w:hAnsi="宋体" w:cs="宋体"/>
                <w:b/>
                <w:color w:val="000000"/>
                <w:kern w:val="0"/>
                <w:sz w:val="56"/>
                <w:szCs w:val="56"/>
              </w:rPr>
              <w:t>市级专项资金单位自评表（三级）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0" w:hRule="atLeast"/>
        </w:trPr>
        <w:tc>
          <w:tcPr>
            <w:tcW w:w="14659" w:type="dxa"/>
            <w:gridSpan w:val="11"/>
            <w:vMerge w:val="continue"/>
            <w:tcBorders>
              <w:top w:val="nil"/>
              <w:left w:val="nil"/>
              <w:bottom w:val="nil"/>
              <w:right w:val="nil"/>
            </w:tcBorders>
            <w:tcMar>
              <w:top w:w="15" w:type="dxa"/>
              <w:left w:w="15" w:type="dxa"/>
              <w:right w:w="15" w:type="dxa"/>
            </w:tcMar>
            <w:vAlign w:val="center"/>
          </w:tcPr>
          <w:p>
            <w:pPr>
              <w:jc w:val="center"/>
              <w:rPr>
                <w:rFonts w:ascii="宋体" w:hAnsi="宋体" w:cs="宋体"/>
                <w:b/>
                <w:color w:val="000000"/>
                <w:sz w:val="56"/>
                <w:szCs w:val="5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3911" w:type="dxa"/>
            <w:gridSpan w:val="3"/>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填报部门（单位）：青岛市司法局</w:t>
            </w:r>
          </w:p>
        </w:tc>
        <w:tc>
          <w:tcPr>
            <w:tcW w:w="6036" w:type="dxa"/>
            <w:gridSpan w:val="4"/>
            <w:tcBorders>
              <w:top w:val="nil"/>
              <w:left w:val="nil"/>
              <w:bottom w:val="nil"/>
              <w:right w:val="nil"/>
            </w:tcBorders>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  2021  )年度</w:t>
            </w:r>
          </w:p>
        </w:tc>
        <w:tc>
          <w:tcPr>
            <w:tcW w:w="4712" w:type="dxa"/>
            <w:gridSpan w:val="4"/>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3158"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22-其他运转类</w:t>
            </w:r>
          </w:p>
        </w:tc>
        <w:tc>
          <w:tcPr>
            <w:tcW w:w="183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支出领域</w:t>
            </w:r>
          </w:p>
        </w:tc>
        <w:tc>
          <w:tcPr>
            <w:tcW w:w="2418"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其他运转类</w:t>
            </w:r>
          </w:p>
        </w:tc>
        <w:tc>
          <w:tcPr>
            <w:tcW w:w="2308"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资金名称</w:t>
            </w:r>
          </w:p>
        </w:tc>
        <w:tc>
          <w:tcPr>
            <w:tcW w:w="418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法制专项业务费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主管部门</w:t>
            </w:r>
          </w:p>
        </w:tc>
        <w:tc>
          <w:tcPr>
            <w:tcW w:w="4996"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青岛市司法局部门</w:t>
            </w:r>
          </w:p>
        </w:tc>
        <w:tc>
          <w:tcPr>
            <w:tcW w:w="2418"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项目实施单位</w:t>
            </w:r>
          </w:p>
        </w:tc>
        <w:tc>
          <w:tcPr>
            <w:tcW w:w="6492" w:type="dxa"/>
            <w:gridSpan w:val="5"/>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青岛市司法局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7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预算执行情况（10分）</w:t>
            </w:r>
          </w:p>
        </w:tc>
        <w:tc>
          <w:tcPr>
            <w:tcW w:w="198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117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年初预算数</w:t>
            </w:r>
          </w:p>
        </w:tc>
        <w:tc>
          <w:tcPr>
            <w:tcW w:w="183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调整后的预算数（A）</w:t>
            </w:r>
          </w:p>
        </w:tc>
        <w:tc>
          <w:tcPr>
            <w:tcW w:w="162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全年执行数（B）</w:t>
            </w:r>
          </w:p>
        </w:tc>
        <w:tc>
          <w:tcPr>
            <w:tcW w:w="79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分值</w:t>
            </w:r>
          </w:p>
        </w:tc>
        <w:tc>
          <w:tcPr>
            <w:tcW w:w="1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执行率（B/A*100%）</w:t>
            </w:r>
          </w:p>
        </w:tc>
        <w:tc>
          <w:tcPr>
            <w:tcW w:w="52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得分</w:t>
            </w:r>
          </w:p>
        </w:tc>
        <w:tc>
          <w:tcPr>
            <w:tcW w:w="418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未达到进度分析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7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8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年度资金总额</w:t>
            </w:r>
          </w:p>
        </w:tc>
        <w:tc>
          <w:tcPr>
            <w:tcW w:w="117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158.4</w:t>
            </w:r>
          </w:p>
        </w:tc>
        <w:tc>
          <w:tcPr>
            <w:tcW w:w="183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158.4</w:t>
            </w:r>
          </w:p>
        </w:tc>
        <w:tc>
          <w:tcPr>
            <w:tcW w:w="162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154.45</w:t>
            </w:r>
          </w:p>
        </w:tc>
        <w:tc>
          <w:tcPr>
            <w:tcW w:w="79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97.51</w:t>
            </w:r>
          </w:p>
        </w:tc>
        <w:tc>
          <w:tcPr>
            <w:tcW w:w="52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9.75</w:t>
            </w:r>
          </w:p>
        </w:tc>
        <w:tc>
          <w:tcPr>
            <w:tcW w:w="418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kern w:val="0"/>
                <w:sz w:val="22"/>
                <w:szCs w:val="22"/>
              </w:rPr>
              <w:t>贯彻厉行节约要求，压缩经费开支。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7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8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其中：市级转移支付资金</w:t>
            </w:r>
          </w:p>
        </w:tc>
        <w:tc>
          <w:tcPr>
            <w:tcW w:w="117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83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621"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9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52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418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kern w:val="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7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年度总体目标</w:t>
            </w:r>
          </w:p>
        </w:tc>
        <w:tc>
          <w:tcPr>
            <w:tcW w:w="6617"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年初预期目标</w:t>
            </w:r>
          </w:p>
        </w:tc>
        <w:tc>
          <w:tcPr>
            <w:tcW w:w="7289"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00" w:hRule="atLeast"/>
        </w:trPr>
        <w:tc>
          <w:tcPr>
            <w:tcW w:w="7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6617"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据司法体制改革工作目标要求，保障各项司法行政工作顺利开展，完成各类信息化等装备配备保障任务。着力提高法治建设水平、法律服务水平，提高人民群众对司法公正的满意度，全力推进法治政府建设。继续保持各项司法业务工作走在全省前列，发挥青岛在全省的龙头作用。</w:t>
            </w:r>
          </w:p>
        </w:tc>
        <w:tc>
          <w:tcPr>
            <w:tcW w:w="7289"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据司法体制改革工作目标要求，保障各项司法行政工作顺利开展，完成各类信息化等装备配备保障任务。着力提高法治建设水平、法律服务水平，提高人民群众对司法公正的满意度，全力推进法治政府建设。继续保持各项司法业务工作走在全省前列，发挥青岛在全省的龙头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4659"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年度绩效指标完成情况（90分）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5" w:hRule="atLeast"/>
        </w:trPr>
        <w:tc>
          <w:tcPr>
            <w:tcW w:w="75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982"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3014"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621"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年度指标值</w:t>
            </w:r>
          </w:p>
        </w:tc>
        <w:tc>
          <w:tcPr>
            <w:tcW w:w="797"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实际完成值</w:t>
            </w:r>
          </w:p>
        </w:tc>
        <w:tc>
          <w:tcPr>
            <w:tcW w:w="1780"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分值</w:t>
            </w:r>
          </w:p>
        </w:tc>
        <w:tc>
          <w:tcPr>
            <w:tcW w:w="528"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得分</w:t>
            </w:r>
          </w:p>
        </w:tc>
        <w:tc>
          <w:tcPr>
            <w:tcW w:w="1088"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未完成指标的原因分析</w:t>
            </w:r>
          </w:p>
        </w:tc>
        <w:tc>
          <w:tcPr>
            <w:tcW w:w="2542"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偏离年初设定的绩效指标值较多(30%及以上)的原因分析</w:t>
            </w:r>
          </w:p>
        </w:tc>
        <w:tc>
          <w:tcPr>
            <w:tcW w:w="554"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75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982"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3014"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市级重大决策合法性审查率</w:t>
            </w:r>
          </w:p>
        </w:tc>
        <w:tc>
          <w:tcPr>
            <w:tcW w:w="16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95 %</w:t>
            </w:r>
          </w:p>
        </w:tc>
        <w:tc>
          <w:tcPr>
            <w:tcW w:w="79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78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5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08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54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55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75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982"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3014"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行政执法人员执法证审验数</w:t>
            </w:r>
          </w:p>
        </w:tc>
        <w:tc>
          <w:tcPr>
            <w:tcW w:w="162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1200 人</w:t>
            </w:r>
          </w:p>
        </w:tc>
        <w:tc>
          <w:tcPr>
            <w:tcW w:w="79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3025</w:t>
            </w:r>
          </w:p>
        </w:tc>
        <w:tc>
          <w:tcPr>
            <w:tcW w:w="1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52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08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54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55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75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982"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3014"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市级单位行政执法监督覆盖率</w:t>
            </w:r>
          </w:p>
        </w:tc>
        <w:tc>
          <w:tcPr>
            <w:tcW w:w="162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90 %</w:t>
            </w:r>
          </w:p>
        </w:tc>
        <w:tc>
          <w:tcPr>
            <w:tcW w:w="79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w:t>
            </w:r>
          </w:p>
        </w:tc>
        <w:tc>
          <w:tcPr>
            <w:tcW w:w="1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52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08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54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55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75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982"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3014"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行政复议行政应诉结案数量</w:t>
            </w:r>
          </w:p>
        </w:tc>
        <w:tc>
          <w:tcPr>
            <w:tcW w:w="162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1000 件</w:t>
            </w:r>
          </w:p>
        </w:tc>
        <w:tc>
          <w:tcPr>
            <w:tcW w:w="79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1190</w:t>
            </w:r>
          </w:p>
        </w:tc>
        <w:tc>
          <w:tcPr>
            <w:tcW w:w="178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52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08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54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55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75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982" w:type="dxa"/>
            <w:tcBorders>
              <w:top w:val="single" w:color="000000" w:sz="4" w:space="0"/>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3014" w:type="dxa"/>
            <w:gridSpan w:val="2"/>
            <w:tcBorders>
              <w:top w:val="single" w:color="000000" w:sz="4" w:space="0"/>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立法计划完成率</w:t>
            </w:r>
          </w:p>
        </w:tc>
        <w:tc>
          <w:tcPr>
            <w:tcW w:w="1621"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80 %</w:t>
            </w:r>
          </w:p>
        </w:tc>
        <w:tc>
          <w:tcPr>
            <w:tcW w:w="797"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780"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528"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088"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542"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554"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7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9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301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当事人满意度</w:t>
            </w:r>
          </w:p>
        </w:tc>
        <w:tc>
          <w:tcPr>
            <w:tcW w:w="16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80 %</w:t>
            </w:r>
          </w:p>
        </w:tc>
        <w:tc>
          <w:tcPr>
            <w:tcW w:w="7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1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5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5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7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9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社会效益指标</w:t>
            </w:r>
          </w:p>
        </w:tc>
        <w:tc>
          <w:tcPr>
            <w:tcW w:w="301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行政诉讼单位负责人到庭应诉率</w:t>
            </w:r>
          </w:p>
        </w:tc>
        <w:tc>
          <w:tcPr>
            <w:tcW w:w="16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90 %</w:t>
            </w:r>
          </w:p>
        </w:tc>
        <w:tc>
          <w:tcPr>
            <w:tcW w:w="7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10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5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5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273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得分合计</w:t>
            </w:r>
          </w:p>
        </w:tc>
        <w:tc>
          <w:tcPr>
            <w:tcW w:w="11924" w:type="dxa"/>
            <w:gridSpan w:val="9"/>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273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总分</w:t>
            </w:r>
          </w:p>
        </w:tc>
        <w:tc>
          <w:tcPr>
            <w:tcW w:w="11924" w:type="dxa"/>
            <w:gridSpan w:val="9"/>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99.75</w:t>
            </w:r>
          </w:p>
        </w:tc>
      </w:tr>
    </w:tbl>
    <w:p>
      <w:pPr>
        <w:spacing w:line="400" w:lineRule="exact"/>
        <w:rPr>
          <w:rFonts w:ascii="仿宋_GB2312" w:hAnsi="仿宋_GB2312" w:eastAsia="仿宋_GB2312" w:cs="仿宋_GB2312"/>
          <w:sz w:val="28"/>
          <w:szCs w:val="28"/>
        </w:rPr>
        <w:sectPr>
          <w:pgSz w:w="16783" w:h="23757"/>
          <w:pgMar w:top="1701" w:right="1077" w:bottom="1701" w:left="1077" w:header="0" w:footer="1418" w:gutter="0"/>
          <w:cols w:space="720" w:num="1"/>
          <w:docGrid w:type="linesAndChars" w:linePitch="610" w:charSpace="-849"/>
        </w:sectPr>
      </w:pPr>
    </w:p>
    <w:p>
      <w:pPr>
        <w:spacing w:line="400" w:lineRule="exact"/>
        <w:rPr>
          <w:rFonts w:ascii="仿宋_GB2312" w:hAnsi="仿宋_GB2312" w:eastAsia="仿宋_GB2312" w:cs="仿宋_GB2312"/>
          <w:sz w:val="28"/>
          <w:szCs w:val="28"/>
        </w:rPr>
      </w:pPr>
    </w:p>
    <w:tbl>
      <w:tblPr>
        <w:tblStyle w:val="15"/>
        <w:tblW w:w="146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6"/>
        <w:gridCol w:w="1824"/>
        <w:gridCol w:w="947"/>
        <w:gridCol w:w="1648"/>
        <w:gridCol w:w="1357"/>
        <w:gridCol w:w="736"/>
        <w:gridCol w:w="1522"/>
        <w:gridCol w:w="422"/>
        <w:gridCol w:w="1173"/>
        <w:gridCol w:w="2785"/>
        <w:gridCol w:w="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0" w:hRule="atLeast"/>
        </w:trPr>
        <w:tc>
          <w:tcPr>
            <w:tcW w:w="14659" w:type="dxa"/>
            <w:gridSpan w:val="11"/>
            <w:vMerge w:val="restart"/>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color w:val="000000"/>
                <w:sz w:val="56"/>
                <w:szCs w:val="56"/>
              </w:rPr>
            </w:pPr>
            <w:r>
              <w:rPr>
                <w:rFonts w:hint="eastAsia" w:ascii="宋体" w:hAnsi="宋体" w:cs="宋体"/>
                <w:b/>
                <w:color w:val="000000"/>
                <w:kern w:val="0"/>
                <w:sz w:val="56"/>
                <w:szCs w:val="56"/>
              </w:rPr>
              <w:t>市级专项资金单位自评表（三级）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0" w:hRule="atLeast"/>
        </w:trPr>
        <w:tc>
          <w:tcPr>
            <w:tcW w:w="14659" w:type="dxa"/>
            <w:gridSpan w:val="11"/>
            <w:vMerge w:val="continue"/>
            <w:tcBorders>
              <w:top w:val="nil"/>
              <w:left w:val="nil"/>
              <w:bottom w:val="nil"/>
              <w:right w:val="nil"/>
            </w:tcBorders>
            <w:tcMar>
              <w:top w:w="15" w:type="dxa"/>
              <w:left w:w="15" w:type="dxa"/>
              <w:right w:w="15" w:type="dxa"/>
            </w:tcMar>
            <w:vAlign w:val="center"/>
          </w:tcPr>
          <w:p>
            <w:pPr>
              <w:jc w:val="center"/>
              <w:rPr>
                <w:rFonts w:ascii="宋体" w:hAnsi="宋体" w:cs="宋体"/>
                <w:b/>
                <w:color w:val="000000"/>
                <w:sz w:val="56"/>
                <w:szCs w:val="5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4057" w:type="dxa"/>
            <w:gridSpan w:val="3"/>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填报部门（单位）：青岛市司法局</w:t>
            </w:r>
          </w:p>
        </w:tc>
        <w:tc>
          <w:tcPr>
            <w:tcW w:w="5263" w:type="dxa"/>
            <w:gridSpan w:val="4"/>
            <w:tcBorders>
              <w:top w:val="nil"/>
              <w:left w:val="nil"/>
              <w:bottom w:val="nil"/>
              <w:right w:val="nil"/>
            </w:tcBorders>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  2021  )年度</w:t>
            </w:r>
          </w:p>
        </w:tc>
        <w:tc>
          <w:tcPr>
            <w:tcW w:w="5339" w:type="dxa"/>
            <w:gridSpan w:val="4"/>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277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22-其他运转类</w:t>
            </w:r>
          </w:p>
        </w:tc>
        <w:tc>
          <w:tcPr>
            <w:tcW w:w="164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支出领域</w:t>
            </w:r>
          </w:p>
        </w:tc>
        <w:tc>
          <w:tcPr>
            <w:tcW w:w="2093"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其他运转类</w:t>
            </w:r>
          </w:p>
        </w:tc>
        <w:tc>
          <w:tcPr>
            <w:tcW w:w="1944"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资金名称</w:t>
            </w:r>
          </w:p>
        </w:tc>
        <w:tc>
          <w:tcPr>
            <w:tcW w:w="491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法律职业资格考试费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主管部门</w:t>
            </w:r>
          </w:p>
        </w:tc>
        <w:tc>
          <w:tcPr>
            <w:tcW w:w="4419"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青岛市司法局部门</w:t>
            </w:r>
          </w:p>
        </w:tc>
        <w:tc>
          <w:tcPr>
            <w:tcW w:w="2093"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项目实施单位</w:t>
            </w:r>
          </w:p>
        </w:tc>
        <w:tc>
          <w:tcPr>
            <w:tcW w:w="6861" w:type="dxa"/>
            <w:gridSpan w:val="5"/>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青岛市司法局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预算执行情况（10分）</w:t>
            </w:r>
          </w:p>
        </w:tc>
        <w:tc>
          <w:tcPr>
            <w:tcW w:w="182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94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年初预算数</w:t>
            </w:r>
          </w:p>
        </w:tc>
        <w:tc>
          <w:tcPr>
            <w:tcW w:w="164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调整后的预算数（A）</w:t>
            </w:r>
          </w:p>
        </w:tc>
        <w:tc>
          <w:tcPr>
            <w:tcW w:w="135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全年执行数（B）</w:t>
            </w:r>
          </w:p>
        </w:tc>
        <w:tc>
          <w:tcPr>
            <w:tcW w:w="73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分值</w:t>
            </w:r>
          </w:p>
        </w:tc>
        <w:tc>
          <w:tcPr>
            <w:tcW w:w="15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执行率（B/A*100%）</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得分</w:t>
            </w:r>
          </w:p>
        </w:tc>
        <w:tc>
          <w:tcPr>
            <w:tcW w:w="491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未达到进度分析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2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年度资金总额</w:t>
            </w:r>
          </w:p>
        </w:tc>
        <w:tc>
          <w:tcPr>
            <w:tcW w:w="94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90.5</w:t>
            </w:r>
          </w:p>
        </w:tc>
        <w:tc>
          <w:tcPr>
            <w:tcW w:w="164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90.5</w:t>
            </w:r>
          </w:p>
        </w:tc>
        <w:tc>
          <w:tcPr>
            <w:tcW w:w="135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90.5</w:t>
            </w:r>
          </w:p>
        </w:tc>
        <w:tc>
          <w:tcPr>
            <w:tcW w:w="73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5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491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5" w:hRule="atLeast"/>
        </w:trPr>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2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其中：市级转移支付资金</w:t>
            </w:r>
          </w:p>
        </w:tc>
        <w:tc>
          <w:tcPr>
            <w:tcW w:w="94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64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35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3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491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kern w:val="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年度总体目标</w:t>
            </w:r>
          </w:p>
        </w:tc>
        <w:tc>
          <w:tcPr>
            <w:tcW w:w="5776"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年初预期目标</w:t>
            </w:r>
          </w:p>
        </w:tc>
        <w:tc>
          <w:tcPr>
            <w:tcW w:w="7597"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5" w:hRule="atLeast"/>
        </w:trPr>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5776"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根据司法部要求，做好2021年度国家法律职业资格考试组织工作，确保为国家选拔优秀的法律从业人员。     </w:t>
            </w:r>
          </w:p>
        </w:tc>
        <w:tc>
          <w:tcPr>
            <w:tcW w:w="7597"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顺利完成2021年度国家法律职业资格考试组织工作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4659"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年度绩效指标完成情况（90分）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5" w:hRule="atLeast"/>
        </w:trPr>
        <w:tc>
          <w:tcPr>
            <w:tcW w:w="128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824"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595"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357"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年度指标值</w:t>
            </w:r>
          </w:p>
        </w:tc>
        <w:tc>
          <w:tcPr>
            <w:tcW w:w="736"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实际完成值</w:t>
            </w:r>
          </w:p>
        </w:tc>
        <w:tc>
          <w:tcPr>
            <w:tcW w:w="1522"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分值</w:t>
            </w:r>
          </w:p>
        </w:tc>
        <w:tc>
          <w:tcPr>
            <w:tcW w:w="422"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得分</w:t>
            </w:r>
          </w:p>
        </w:tc>
        <w:tc>
          <w:tcPr>
            <w:tcW w:w="1173"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未完成指标的原因分析</w:t>
            </w:r>
          </w:p>
        </w:tc>
        <w:tc>
          <w:tcPr>
            <w:tcW w:w="2785"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偏离年初设定的绩效指标值较多(30%及以上)的原因分析</w:t>
            </w:r>
          </w:p>
        </w:tc>
        <w:tc>
          <w:tcPr>
            <w:tcW w:w="959"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8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824"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2595"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主客观题考试人数</w:t>
            </w:r>
          </w:p>
        </w:tc>
        <w:tc>
          <w:tcPr>
            <w:tcW w:w="1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6000 人</w:t>
            </w:r>
          </w:p>
        </w:tc>
        <w:tc>
          <w:tcPr>
            <w:tcW w:w="73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9800</w:t>
            </w:r>
          </w:p>
        </w:tc>
        <w:tc>
          <w:tcPr>
            <w:tcW w:w="152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42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117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78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95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8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824"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2595"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考试单人成本控制</w:t>
            </w:r>
          </w:p>
        </w:tc>
        <w:tc>
          <w:tcPr>
            <w:tcW w:w="135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20 元/人</w:t>
            </w:r>
          </w:p>
        </w:tc>
        <w:tc>
          <w:tcPr>
            <w:tcW w:w="73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w:t>
            </w:r>
          </w:p>
        </w:tc>
        <w:tc>
          <w:tcPr>
            <w:tcW w:w="15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5.81</w:t>
            </w:r>
          </w:p>
        </w:tc>
        <w:tc>
          <w:tcPr>
            <w:tcW w:w="117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4-自身原因</w:t>
            </w:r>
          </w:p>
        </w:tc>
        <w:tc>
          <w:tcPr>
            <w:tcW w:w="278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成本指标预估过低</w:t>
            </w:r>
          </w:p>
        </w:tc>
        <w:tc>
          <w:tcPr>
            <w:tcW w:w="95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成本指标预估过低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8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824"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2595"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考生机位准备率</w:t>
            </w:r>
          </w:p>
        </w:tc>
        <w:tc>
          <w:tcPr>
            <w:tcW w:w="135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100 %</w:t>
            </w:r>
          </w:p>
        </w:tc>
        <w:tc>
          <w:tcPr>
            <w:tcW w:w="73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5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117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78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95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8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824" w:type="dxa"/>
            <w:tcBorders>
              <w:top w:val="single" w:color="000000" w:sz="4" w:space="0"/>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2595" w:type="dxa"/>
            <w:gridSpan w:val="2"/>
            <w:tcBorders>
              <w:top w:val="single" w:color="000000" w:sz="4" w:space="0"/>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十月下旬客观题考试，十一月下旬主观题考试</w:t>
            </w:r>
          </w:p>
        </w:tc>
        <w:tc>
          <w:tcPr>
            <w:tcW w:w="1357"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3 天</w:t>
            </w:r>
          </w:p>
        </w:tc>
        <w:tc>
          <w:tcPr>
            <w:tcW w:w="736"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522"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422"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1173"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785"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959"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8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259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考生满意度</w:t>
            </w:r>
          </w:p>
        </w:tc>
        <w:tc>
          <w:tcPr>
            <w:tcW w:w="13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90 %</w:t>
            </w:r>
          </w:p>
        </w:tc>
        <w:tc>
          <w:tcPr>
            <w:tcW w:w="7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15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4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7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9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8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社会效益指标</w:t>
            </w:r>
          </w:p>
        </w:tc>
        <w:tc>
          <w:tcPr>
            <w:tcW w:w="259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法律职业资格考试正常举办</w:t>
            </w:r>
          </w:p>
        </w:tc>
        <w:tc>
          <w:tcPr>
            <w:tcW w:w="13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100 %</w:t>
            </w:r>
          </w:p>
        </w:tc>
        <w:tc>
          <w:tcPr>
            <w:tcW w:w="7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5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4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11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7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9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311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得分合计</w:t>
            </w:r>
          </w:p>
        </w:tc>
        <w:tc>
          <w:tcPr>
            <w:tcW w:w="11549" w:type="dxa"/>
            <w:gridSpan w:val="9"/>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83.31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311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总分</w:t>
            </w:r>
          </w:p>
        </w:tc>
        <w:tc>
          <w:tcPr>
            <w:tcW w:w="11549" w:type="dxa"/>
            <w:gridSpan w:val="9"/>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93.31</w:t>
            </w:r>
          </w:p>
        </w:tc>
      </w:tr>
    </w:tbl>
    <w:p>
      <w:pPr>
        <w:spacing w:line="400" w:lineRule="exact"/>
        <w:rPr>
          <w:rFonts w:ascii="仿宋_GB2312" w:hAnsi="仿宋_GB2312" w:eastAsia="仿宋_GB2312" w:cs="仿宋_GB2312"/>
          <w:sz w:val="28"/>
          <w:szCs w:val="28"/>
        </w:rPr>
        <w:sectPr>
          <w:pgSz w:w="16783" w:h="23757"/>
          <w:pgMar w:top="1701" w:right="1077" w:bottom="1701" w:left="1077" w:header="0" w:footer="1418" w:gutter="0"/>
          <w:cols w:space="720" w:num="1"/>
          <w:docGrid w:type="linesAndChars" w:linePitch="610" w:charSpace="-849"/>
        </w:sectPr>
      </w:pPr>
    </w:p>
    <w:p>
      <w:pPr>
        <w:spacing w:line="400" w:lineRule="exact"/>
        <w:rPr>
          <w:rFonts w:ascii="仿宋_GB2312" w:hAnsi="仿宋_GB2312" w:eastAsia="仿宋_GB2312" w:cs="仿宋_GB2312"/>
          <w:sz w:val="28"/>
          <w:szCs w:val="28"/>
        </w:rPr>
      </w:pPr>
    </w:p>
    <w:tbl>
      <w:tblPr>
        <w:tblStyle w:val="15"/>
        <w:tblW w:w="146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8"/>
        <w:gridCol w:w="2354"/>
        <w:gridCol w:w="1108"/>
        <w:gridCol w:w="2143"/>
        <w:gridCol w:w="1774"/>
        <w:gridCol w:w="739"/>
        <w:gridCol w:w="1630"/>
        <w:gridCol w:w="284"/>
        <w:gridCol w:w="768"/>
        <w:gridCol w:w="2428"/>
        <w:gridCol w:w="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0" w:hRule="atLeast"/>
        </w:trPr>
        <w:tc>
          <w:tcPr>
            <w:tcW w:w="14659" w:type="dxa"/>
            <w:gridSpan w:val="11"/>
            <w:vMerge w:val="restart"/>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color w:val="000000"/>
                <w:sz w:val="56"/>
                <w:szCs w:val="56"/>
              </w:rPr>
            </w:pPr>
            <w:r>
              <w:rPr>
                <w:rFonts w:hint="eastAsia" w:ascii="宋体" w:hAnsi="宋体" w:cs="宋体"/>
                <w:b/>
                <w:color w:val="000000"/>
                <w:kern w:val="0"/>
                <w:sz w:val="56"/>
                <w:szCs w:val="56"/>
              </w:rPr>
              <w:t>市级专项资金单位自评表（三级）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0" w:hRule="atLeast"/>
        </w:trPr>
        <w:tc>
          <w:tcPr>
            <w:tcW w:w="14659" w:type="dxa"/>
            <w:gridSpan w:val="11"/>
            <w:vMerge w:val="continue"/>
            <w:tcBorders>
              <w:top w:val="nil"/>
              <w:left w:val="nil"/>
              <w:bottom w:val="nil"/>
              <w:right w:val="nil"/>
            </w:tcBorders>
            <w:tcMar>
              <w:top w:w="15" w:type="dxa"/>
              <w:left w:w="15" w:type="dxa"/>
              <w:right w:w="15" w:type="dxa"/>
            </w:tcMar>
            <w:vAlign w:val="center"/>
          </w:tcPr>
          <w:p>
            <w:pPr>
              <w:jc w:val="center"/>
              <w:rPr>
                <w:rFonts w:ascii="宋体" w:hAnsi="宋体" w:cs="宋体"/>
                <w:b/>
                <w:color w:val="000000"/>
                <w:sz w:val="56"/>
                <w:szCs w:val="5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4380" w:type="dxa"/>
            <w:gridSpan w:val="3"/>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填报部门（单位）：青岛市司法局</w:t>
            </w:r>
          </w:p>
        </w:tc>
        <w:tc>
          <w:tcPr>
            <w:tcW w:w="6286" w:type="dxa"/>
            <w:gridSpan w:val="4"/>
            <w:tcBorders>
              <w:top w:val="nil"/>
              <w:left w:val="nil"/>
              <w:bottom w:val="nil"/>
              <w:right w:val="nil"/>
            </w:tcBorders>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  2021  )年度</w:t>
            </w:r>
          </w:p>
        </w:tc>
        <w:tc>
          <w:tcPr>
            <w:tcW w:w="3993" w:type="dxa"/>
            <w:gridSpan w:val="4"/>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3462"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22-其他运转类</w:t>
            </w:r>
          </w:p>
        </w:tc>
        <w:tc>
          <w:tcPr>
            <w:tcW w:w="214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支出领域</w:t>
            </w:r>
          </w:p>
        </w:tc>
        <w:tc>
          <w:tcPr>
            <w:tcW w:w="2513"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其他运转类</w:t>
            </w:r>
          </w:p>
        </w:tc>
        <w:tc>
          <w:tcPr>
            <w:tcW w:w="2682"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资金名称</w:t>
            </w:r>
          </w:p>
        </w:tc>
        <w:tc>
          <w:tcPr>
            <w:tcW w:w="294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法律培训费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主管部门</w:t>
            </w:r>
          </w:p>
        </w:tc>
        <w:tc>
          <w:tcPr>
            <w:tcW w:w="5605"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青岛市司法局部门</w:t>
            </w:r>
          </w:p>
        </w:tc>
        <w:tc>
          <w:tcPr>
            <w:tcW w:w="2513"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项目实施单位</w:t>
            </w:r>
          </w:p>
        </w:tc>
        <w:tc>
          <w:tcPr>
            <w:tcW w:w="5623" w:type="dxa"/>
            <w:gridSpan w:val="5"/>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青岛市司法局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9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预算执行情况（10分）</w:t>
            </w:r>
          </w:p>
        </w:tc>
        <w:tc>
          <w:tcPr>
            <w:tcW w:w="235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11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年初预算数</w:t>
            </w:r>
          </w:p>
        </w:tc>
        <w:tc>
          <w:tcPr>
            <w:tcW w:w="214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调整后的预算数（A）</w:t>
            </w:r>
          </w:p>
        </w:tc>
        <w:tc>
          <w:tcPr>
            <w:tcW w:w="177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全年执行数（B）</w:t>
            </w:r>
          </w:p>
        </w:tc>
        <w:tc>
          <w:tcPr>
            <w:tcW w:w="73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分值</w:t>
            </w:r>
          </w:p>
        </w:tc>
        <w:tc>
          <w:tcPr>
            <w:tcW w:w="163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执行率（B/A*100%）</w:t>
            </w:r>
          </w:p>
        </w:tc>
        <w:tc>
          <w:tcPr>
            <w:tcW w:w="1052"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得分</w:t>
            </w:r>
          </w:p>
        </w:tc>
        <w:tc>
          <w:tcPr>
            <w:tcW w:w="294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未达到进度分析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9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35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年度资金总额</w:t>
            </w:r>
          </w:p>
        </w:tc>
        <w:tc>
          <w:tcPr>
            <w:tcW w:w="11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w:t>
            </w:r>
          </w:p>
        </w:tc>
        <w:tc>
          <w:tcPr>
            <w:tcW w:w="214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w:t>
            </w:r>
          </w:p>
        </w:tc>
        <w:tc>
          <w:tcPr>
            <w:tcW w:w="177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24.83</w:t>
            </w:r>
          </w:p>
        </w:tc>
        <w:tc>
          <w:tcPr>
            <w:tcW w:w="73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63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91.96</w:t>
            </w:r>
          </w:p>
        </w:tc>
        <w:tc>
          <w:tcPr>
            <w:tcW w:w="1052"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w:t>
            </w:r>
          </w:p>
        </w:tc>
        <w:tc>
          <w:tcPr>
            <w:tcW w:w="294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35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其中：市级转移支付资金</w:t>
            </w:r>
          </w:p>
        </w:tc>
        <w:tc>
          <w:tcPr>
            <w:tcW w:w="110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214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77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3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63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052"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294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kern w:val="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9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年度总体目标</w:t>
            </w:r>
          </w:p>
        </w:tc>
        <w:tc>
          <w:tcPr>
            <w:tcW w:w="7379"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年初预期目标</w:t>
            </w:r>
          </w:p>
        </w:tc>
        <w:tc>
          <w:tcPr>
            <w:tcW w:w="6362"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00" w:hRule="atLeast"/>
        </w:trPr>
        <w:tc>
          <w:tcPr>
            <w:tcW w:w="9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7379"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组织全市执法人员执法培训及执法考试、律师入职岗前培训、系统处级科级干部任职培训、基层司法局司法所业务能力提升培训、狱所安全管理培训等，提高行政执法人员、法律从业人员、基层司法行政人员的政治理论水平、业务素质</w:t>
            </w:r>
          </w:p>
        </w:tc>
        <w:tc>
          <w:tcPr>
            <w:tcW w:w="6362"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按年初计划组织我市执法人员执法培训、组织全面依法治市业务培训，提高行政执法人员执法水平，确保执法人员持证上岗，提高政府法治化水平。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4659"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年度绩效指标完成情况（90分）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5" w:hRule="atLeast"/>
        </w:trPr>
        <w:tc>
          <w:tcPr>
            <w:tcW w:w="9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2354"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3251"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774"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年度指标值</w:t>
            </w:r>
          </w:p>
        </w:tc>
        <w:tc>
          <w:tcPr>
            <w:tcW w:w="739"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实际完成值</w:t>
            </w:r>
          </w:p>
        </w:tc>
        <w:tc>
          <w:tcPr>
            <w:tcW w:w="1630"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分值</w:t>
            </w:r>
          </w:p>
        </w:tc>
        <w:tc>
          <w:tcPr>
            <w:tcW w:w="284"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得分</w:t>
            </w:r>
          </w:p>
        </w:tc>
        <w:tc>
          <w:tcPr>
            <w:tcW w:w="768"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未完成指标的原因分析</w:t>
            </w:r>
          </w:p>
        </w:tc>
        <w:tc>
          <w:tcPr>
            <w:tcW w:w="2428"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偏离年初设定的绩效指标值较多(30%及以上)的原因分析</w:t>
            </w:r>
          </w:p>
        </w:tc>
        <w:tc>
          <w:tcPr>
            <w:tcW w:w="513"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9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2354"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3251"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年初培训计划完成率</w:t>
            </w: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100 %</w:t>
            </w:r>
          </w:p>
        </w:tc>
        <w:tc>
          <w:tcPr>
            <w:tcW w:w="73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63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28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76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4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51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9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2354"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3251"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单人培训成本</w:t>
            </w:r>
          </w:p>
        </w:tc>
        <w:tc>
          <w:tcPr>
            <w:tcW w:w="177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400 元</w:t>
            </w:r>
          </w:p>
        </w:tc>
        <w:tc>
          <w:tcPr>
            <w:tcW w:w="73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200</w:t>
            </w:r>
          </w:p>
        </w:tc>
        <w:tc>
          <w:tcPr>
            <w:tcW w:w="163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28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42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51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9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2354"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3251"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行政执法人员培训次数</w:t>
            </w:r>
          </w:p>
        </w:tc>
        <w:tc>
          <w:tcPr>
            <w:tcW w:w="177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3 批次</w:t>
            </w:r>
          </w:p>
        </w:tc>
        <w:tc>
          <w:tcPr>
            <w:tcW w:w="73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63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28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42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51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91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2354"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3251"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行政执法人员及法律从业人员参加培训数量</w:t>
            </w:r>
          </w:p>
        </w:tc>
        <w:tc>
          <w:tcPr>
            <w:tcW w:w="177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200 人</w:t>
            </w:r>
          </w:p>
        </w:tc>
        <w:tc>
          <w:tcPr>
            <w:tcW w:w="73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588</w:t>
            </w:r>
          </w:p>
        </w:tc>
        <w:tc>
          <w:tcPr>
            <w:tcW w:w="163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28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76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42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51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91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2354" w:type="dxa"/>
            <w:tcBorders>
              <w:top w:val="single" w:color="000000" w:sz="4" w:space="0"/>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3251" w:type="dxa"/>
            <w:gridSpan w:val="2"/>
            <w:tcBorders>
              <w:top w:val="single" w:color="000000" w:sz="4" w:space="0"/>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组织执法资格证考试和复审</w:t>
            </w:r>
          </w:p>
        </w:tc>
        <w:tc>
          <w:tcPr>
            <w:tcW w:w="1774"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2 天</w:t>
            </w:r>
          </w:p>
        </w:tc>
        <w:tc>
          <w:tcPr>
            <w:tcW w:w="739"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630"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284"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768"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428"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513"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9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23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325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参加培训人满意度</w:t>
            </w:r>
          </w:p>
        </w:tc>
        <w:tc>
          <w:tcPr>
            <w:tcW w:w="17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95 %</w:t>
            </w:r>
          </w:p>
        </w:tc>
        <w:tc>
          <w:tcPr>
            <w:tcW w:w="7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2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7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9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235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社会效益指标</w:t>
            </w:r>
          </w:p>
        </w:tc>
        <w:tc>
          <w:tcPr>
            <w:tcW w:w="325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确保全市行政执法人员（新增和复审）培训考试持证上岗</w:t>
            </w:r>
          </w:p>
        </w:tc>
        <w:tc>
          <w:tcPr>
            <w:tcW w:w="17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3000 人</w:t>
            </w:r>
          </w:p>
        </w:tc>
        <w:tc>
          <w:tcPr>
            <w:tcW w:w="7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5000</w:t>
            </w:r>
          </w:p>
        </w:tc>
        <w:tc>
          <w:tcPr>
            <w:tcW w:w="1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2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7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4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327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得分合计</w:t>
            </w:r>
          </w:p>
        </w:tc>
        <w:tc>
          <w:tcPr>
            <w:tcW w:w="11387" w:type="dxa"/>
            <w:gridSpan w:val="9"/>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327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总分</w:t>
            </w:r>
          </w:p>
        </w:tc>
        <w:tc>
          <w:tcPr>
            <w:tcW w:w="11387" w:type="dxa"/>
            <w:gridSpan w:val="9"/>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99.2</w:t>
            </w:r>
          </w:p>
        </w:tc>
      </w:tr>
    </w:tbl>
    <w:p>
      <w:pPr>
        <w:spacing w:line="400" w:lineRule="exact"/>
        <w:rPr>
          <w:rFonts w:ascii="仿宋_GB2312" w:hAnsi="仿宋_GB2312" w:eastAsia="仿宋_GB2312" w:cs="仿宋_GB2312"/>
          <w:sz w:val="28"/>
          <w:szCs w:val="28"/>
        </w:rPr>
        <w:sectPr>
          <w:pgSz w:w="16783" w:h="23757"/>
          <w:pgMar w:top="1701" w:right="1077" w:bottom="1701" w:left="1077" w:header="0" w:footer="1418" w:gutter="0"/>
          <w:cols w:space="720" w:num="1"/>
          <w:docGrid w:type="linesAndChars" w:linePitch="610" w:charSpace="-849"/>
        </w:sectPr>
      </w:pPr>
    </w:p>
    <w:p>
      <w:pPr>
        <w:spacing w:line="400" w:lineRule="exact"/>
        <w:rPr>
          <w:rFonts w:ascii="仿宋_GB2312" w:hAnsi="仿宋_GB2312" w:eastAsia="仿宋_GB2312" w:cs="仿宋_GB2312"/>
          <w:sz w:val="28"/>
          <w:szCs w:val="28"/>
        </w:rPr>
      </w:pPr>
    </w:p>
    <w:tbl>
      <w:tblPr>
        <w:tblStyle w:val="15"/>
        <w:tblW w:w="146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59"/>
        <w:gridCol w:w="1366"/>
        <w:gridCol w:w="789"/>
        <w:gridCol w:w="630"/>
        <w:gridCol w:w="627"/>
        <w:gridCol w:w="1096"/>
        <w:gridCol w:w="164"/>
        <w:gridCol w:w="800"/>
        <w:gridCol w:w="21"/>
        <w:gridCol w:w="1504"/>
        <w:gridCol w:w="422"/>
        <w:gridCol w:w="1340"/>
        <w:gridCol w:w="2697"/>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0" w:hRule="atLeast"/>
        </w:trPr>
        <w:tc>
          <w:tcPr>
            <w:tcW w:w="14659" w:type="dxa"/>
            <w:gridSpan w:val="14"/>
            <w:vMerge w:val="restart"/>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color w:val="000000"/>
                <w:sz w:val="56"/>
                <w:szCs w:val="56"/>
              </w:rPr>
            </w:pPr>
            <w:r>
              <w:rPr>
                <w:rFonts w:hint="eastAsia" w:ascii="宋体" w:hAnsi="宋体" w:cs="宋体"/>
                <w:b/>
                <w:color w:val="000000"/>
                <w:kern w:val="0"/>
                <w:sz w:val="56"/>
                <w:szCs w:val="56"/>
              </w:rPr>
              <w:t>市级专项资金单位自评表（三级）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0" w:hRule="atLeast"/>
        </w:trPr>
        <w:tc>
          <w:tcPr>
            <w:tcW w:w="14659" w:type="dxa"/>
            <w:gridSpan w:val="14"/>
            <w:vMerge w:val="continue"/>
            <w:tcBorders>
              <w:top w:val="nil"/>
              <w:left w:val="nil"/>
              <w:bottom w:val="nil"/>
              <w:right w:val="nil"/>
            </w:tcBorders>
            <w:tcMar>
              <w:top w:w="15" w:type="dxa"/>
              <w:left w:w="15" w:type="dxa"/>
              <w:right w:w="15" w:type="dxa"/>
            </w:tcMar>
            <w:vAlign w:val="center"/>
          </w:tcPr>
          <w:p>
            <w:pPr>
              <w:jc w:val="center"/>
              <w:rPr>
                <w:rFonts w:ascii="宋体" w:hAnsi="宋体" w:cs="宋体"/>
                <w:b/>
                <w:color w:val="000000"/>
                <w:sz w:val="56"/>
                <w:szCs w:val="5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3414" w:type="dxa"/>
            <w:gridSpan w:val="3"/>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填报部门（单位）：青岛市法律援助中心</w:t>
            </w:r>
          </w:p>
        </w:tc>
        <w:tc>
          <w:tcPr>
            <w:tcW w:w="4842" w:type="dxa"/>
            <w:gridSpan w:val="7"/>
            <w:tcBorders>
              <w:top w:val="nil"/>
              <w:left w:val="nil"/>
              <w:bottom w:val="nil"/>
              <w:right w:val="nil"/>
            </w:tcBorders>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  2021  )年度</w:t>
            </w:r>
          </w:p>
        </w:tc>
        <w:tc>
          <w:tcPr>
            <w:tcW w:w="6403" w:type="dxa"/>
            <w:gridSpan w:val="4"/>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2155"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22-其他运转类</w:t>
            </w:r>
          </w:p>
        </w:tc>
        <w:tc>
          <w:tcPr>
            <w:tcW w:w="1257"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支出领域</w:t>
            </w:r>
          </w:p>
        </w:tc>
        <w:tc>
          <w:tcPr>
            <w:tcW w:w="206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其他运转类</w:t>
            </w:r>
          </w:p>
        </w:tc>
        <w:tc>
          <w:tcPr>
            <w:tcW w:w="194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资金名称</w:t>
            </w:r>
          </w:p>
        </w:tc>
        <w:tc>
          <w:tcPr>
            <w:tcW w:w="598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法律援助及12348业务费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主管部门</w:t>
            </w:r>
          </w:p>
        </w:tc>
        <w:tc>
          <w:tcPr>
            <w:tcW w:w="3412"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青岛市司法局部门</w:t>
            </w:r>
          </w:p>
        </w:tc>
        <w:tc>
          <w:tcPr>
            <w:tcW w:w="2060"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项目实施单位</w:t>
            </w:r>
          </w:p>
        </w:tc>
        <w:tc>
          <w:tcPr>
            <w:tcW w:w="7928"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青岛市法律援助中心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5" w:hRule="atLeast"/>
        </w:trPr>
        <w:tc>
          <w:tcPr>
            <w:tcW w:w="12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预算执行情况（10分）</w:t>
            </w:r>
          </w:p>
        </w:tc>
        <w:tc>
          <w:tcPr>
            <w:tcW w:w="136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年初预算数</w:t>
            </w:r>
          </w:p>
        </w:tc>
        <w:tc>
          <w:tcPr>
            <w:tcW w:w="1257"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调整后的预算数（A）</w:t>
            </w:r>
          </w:p>
        </w:tc>
        <w:tc>
          <w:tcPr>
            <w:tcW w:w="109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全年执行数（B）</w:t>
            </w:r>
          </w:p>
        </w:tc>
        <w:tc>
          <w:tcPr>
            <w:tcW w:w="964"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分值</w:t>
            </w:r>
          </w:p>
        </w:tc>
        <w:tc>
          <w:tcPr>
            <w:tcW w:w="1525"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执行率（B/A*100%）</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得分</w:t>
            </w:r>
          </w:p>
        </w:tc>
        <w:tc>
          <w:tcPr>
            <w:tcW w:w="598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未达到进度分析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12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36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年度资金总额</w:t>
            </w: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216.5</w:t>
            </w:r>
          </w:p>
        </w:tc>
        <w:tc>
          <w:tcPr>
            <w:tcW w:w="1257"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216.5</w:t>
            </w:r>
          </w:p>
        </w:tc>
        <w:tc>
          <w:tcPr>
            <w:tcW w:w="109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213.42</w:t>
            </w:r>
          </w:p>
        </w:tc>
        <w:tc>
          <w:tcPr>
            <w:tcW w:w="964"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525"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98.58</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9.86</w:t>
            </w:r>
          </w:p>
        </w:tc>
        <w:tc>
          <w:tcPr>
            <w:tcW w:w="598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Calibri" w:hAnsi="Calibri" w:cs="Calibri"/>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5" w:hRule="atLeast"/>
        </w:trPr>
        <w:tc>
          <w:tcPr>
            <w:tcW w:w="12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36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其中：市级转移支付资金</w:t>
            </w:r>
          </w:p>
        </w:tc>
        <w:tc>
          <w:tcPr>
            <w:tcW w:w="789"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257"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096"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964"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525"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5981"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kern w:val="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2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年度总体目标</w:t>
            </w:r>
          </w:p>
        </w:tc>
        <w:tc>
          <w:tcPr>
            <w:tcW w:w="4508" w:type="dxa"/>
            <w:gridSpan w:val="5"/>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年初预期目标</w:t>
            </w:r>
          </w:p>
        </w:tc>
        <w:tc>
          <w:tcPr>
            <w:tcW w:w="8892" w:type="dxa"/>
            <w:gridSpan w:val="8"/>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5" w:hRule="atLeast"/>
        </w:trPr>
        <w:tc>
          <w:tcPr>
            <w:tcW w:w="12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4508" w:type="dxa"/>
            <w:gridSpan w:val="5"/>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年度办理法律援助案件满意度达80%以上，12348全年接话量大70000次以上。</w:t>
            </w:r>
          </w:p>
        </w:tc>
        <w:tc>
          <w:tcPr>
            <w:tcW w:w="8892" w:type="dxa"/>
            <w:gridSpan w:val="8"/>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年度办理法律援助案件满意度达到90%以上，12348全年接话量达到15万次以上。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4659" w:type="dxa"/>
            <w:gridSpan w:val="1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年度绩效指标完成情况（90分）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8" w:hRule="atLeast"/>
        </w:trPr>
        <w:tc>
          <w:tcPr>
            <w:tcW w:w="125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366"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419"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887" w:type="dxa"/>
            <w:gridSpan w:val="3"/>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年度指标值</w:t>
            </w:r>
          </w:p>
        </w:tc>
        <w:tc>
          <w:tcPr>
            <w:tcW w:w="821" w:type="dxa"/>
            <w:gridSpan w:val="2"/>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实际完成值</w:t>
            </w:r>
          </w:p>
        </w:tc>
        <w:tc>
          <w:tcPr>
            <w:tcW w:w="1504"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分值</w:t>
            </w:r>
          </w:p>
        </w:tc>
        <w:tc>
          <w:tcPr>
            <w:tcW w:w="422"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得分</w:t>
            </w:r>
          </w:p>
        </w:tc>
        <w:tc>
          <w:tcPr>
            <w:tcW w:w="1340"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未完成指标的原因分析</w:t>
            </w:r>
          </w:p>
        </w:tc>
        <w:tc>
          <w:tcPr>
            <w:tcW w:w="2697"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偏离年初设定的绩效指标值较多(30%及以上)的原因分析</w:t>
            </w:r>
          </w:p>
        </w:tc>
        <w:tc>
          <w:tcPr>
            <w:tcW w:w="1944"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5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366"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419"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热线咨询量</w:t>
            </w:r>
          </w:p>
        </w:tc>
        <w:tc>
          <w:tcPr>
            <w:tcW w:w="18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90000 人次</w:t>
            </w:r>
          </w:p>
        </w:tc>
        <w:tc>
          <w:tcPr>
            <w:tcW w:w="82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150997</w:t>
            </w:r>
          </w:p>
        </w:tc>
        <w:tc>
          <w:tcPr>
            <w:tcW w:w="150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8.33</w:t>
            </w:r>
          </w:p>
        </w:tc>
        <w:tc>
          <w:tcPr>
            <w:tcW w:w="42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8.33</w:t>
            </w:r>
          </w:p>
        </w:tc>
        <w:tc>
          <w:tcPr>
            <w:tcW w:w="13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697"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194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5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366"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419"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案件优良率</w:t>
            </w:r>
          </w:p>
        </w:tc>
        <w:tc>
          <w:tcPr>
            <w:tcW w:w="188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10 %</w:t>
            </w:r>
          </w:p>
        </w:tc>
        <w:tc>
          <w:tcPr>
            <w:tcW w:w="821"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150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8.33</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8.33</w:t>
            </w:r>
          </w:p>
        </w:tc>
        <w:tc>
          <w:tcPr>
            <w:tcW w:w="1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69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194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5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366"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419"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受援人回访率</w:t>
            </w:r>
          </w:p>
        </w:tc>
        <w:tc>
          <w:tcPr>
            <w:tcW w:w="188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20 %</w:t>
            </w:r>
          </w:p>
        </w:tc>
        <w:tc>
          <w:tcPr>
            <w:tcW w:w="821"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66</w:t>
            </w:r>
          </w:p>
        </w:tc>
        <w:tc>
          <w:tcPr>
            <w:tcW w:w="150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8.33</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8.33</w:t>
            </w:r>
          </w:p>
        </w:tc>
        <w:tc>
          <w:tcPr>
            <w:tcW w:w="1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69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194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5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366"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419"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指派律师人数</w:t>
            </w:r>
          </w:p>
        </w:tc>
        <w:tc>
          <w:tcPr>
            <w:tcW w:w="188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50 人次</w:t>
            </w:r>
          </w:p>
        </w:tc>
        <w:tc>
          <w:tcPr>
            <w:tcW w:w="821"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400</w:t>
            </w:r>
          </w:p>
        </w:tc>
        <w:tc>
          <w:tcPr>
            <w:tcW w:w="150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8.33</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8.33</w:t>
            </w:r>
          </w:p>
        </w:tc>
        <w:tc>
          <w:tcPr>
            <w:tcW w:w="1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69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194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5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366" w:type="dxa"/>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419"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援助案件完成率</w:t>
            </w:r>
          </w:p>
        </w:tc>
        <w:tc>
          <w:tcPr>
            <w:tcW w:w="1887"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90 次</w:t>
            </w:r>
          </w:p>
        </w:tc>
        <w:tc>
          <w:tcPr>
            <w:tcW w:w="821"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86.29</w:t>
            </w:r>
          </w:p>
        </w:tc>
        <w:tc>
          <w:tcPr>
            <w:tcW w:w="150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8.33</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7.99</w:t>
            </w:r>
          </w:p>
        </w:tc>
        <w:tc>
          <w:tcPr>
            <w:tcW w:w="13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2-经济社会等外部环境影响</w:t>
            </w:r>
          </w:p>
        </w:tc>
        <w:tc>
          <w:tcPr>
            <w:tcW w:w="269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因疫情影响审理机关未在审理期限内结案</w:t>
            </w:r>
          </w:p>
        </w:tc>
        <w:tc>
          <w:tcPr>
            <w:tcW w:w="194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因疫情影响审理机关未在审理期限内结案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5" w:hRule="atLeast"/>
        </w:trPr>
        <w:tc>
          <w:tcPr>
            <w:tcW w:w="125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366" w:type="dxa"/>
            <w:tcBorders>
              <w:top w:val="single" w:color="000000" w:sz="4" w:space="0"/>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419" w:type="dxa"/>
            <w:gridSpan w:val="2"/>
            <w:tcBorders>
              <w:top w:val="single" w:color="000000" w:sz="4" w:space="0"/>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12348热线接通率</w:t>
            </w:r>
          </w:p>
        </w:tc>
        <w:tc>
          <w:tcPr>
            <w:tcW w:w="1887" w:type="dxa"/>
            <w:gridSpan w:val="3"/>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70 %</w:t>
            </w:r>
          </w:p>
        </w:tc>
        <w:tc>
          <w:tcPr>
            <w:tcW w:w="821" w:type="dxa"/>
            <w:gridSpan w:val="2"/>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72</w:t>
            </w:r>
          </w:p>
        </w:tc>
        <w:tc>
          <w:tcPr>
            <w:tcW w:w="1504"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8.33</w:t>
            </w:r>
          </w:p>
        </w:tc>
        <w:tc>
          <w:tcPr>
            <w:tcW w:w="422"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8.33</w:t>
            </w:r>
          </w:p>
        </w:tc>
        <w:tc>
          <w:tcPr>
            <w:tcW w:w="1340"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697"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1944"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1" w:hRule="atLeast"/>
        </w:trPr>
        <w:tc>
          <w:tcPr>
            <w:tcW w:w="1259" w:type="dxa"/>
            <w:tcBorders>
              <w:top w:val="single" w:color="000000" w:sz="4" w:space="0"/>
              <w:left w:val="single" w:color="000000" w:sz="4" w:space="0"/>
              <w:bottom w:val="nil"/>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141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援助案件投诉率</w:t>
            </w:r>
          </w:p>
        </w:tc>
        <w:tc>
          <w:tcPr>
            <w:tcW w:w="1887"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20 %</w:t>
            </w:r>
          </w:p>
        </w:tc>
        <w:tc>
          <w:tcPr>
            <w:tcW w:w="82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0.4</w:t>
            </w:r>
          </w:p>
        </w:tc>
        <w:tc>
          <w:tcPr>
            <w:tcW w:w="15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3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6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19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59" w:type="dxa"/>
            <w:tcBorders>
              <w:top w:val="single" w:color="000000" w:sz="4" w:space="0"/>
              <w:left w:val="single" w:color="000000" w:sz="4" w:space="0"/>
              <w:bottom w:val="nil"/>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141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援助对象满意度</w:t>
            </w:r>
          </w:p>
        </w:tc>
        <w:tc>
          <w:tcPr>
            <w:tcW w:w="1887"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80 %</w:t>
            </w:r>
          </w:p>
        </w:tc>
        <w:tc>
          <w:tcPr>
            <w:tcW w:w="82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5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3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6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19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59" w:type="dxa"/>
            <w:tcBorders>
              <w:top w:val="single" w:color="000000" w:sz="4" w:space="0"/>
              <w:left w:val="single" w:color="000000" w:sz="4" w:space="0"/>
              <w:bottom w:val="nil"/>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社会效益指标</w:t>
            </w:r>
          </w:p>
        </w:tc>
        <w:tc>
          <w:tcPr>
            <w:tcW w:w="1419"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法律援助受益人增加</w:t>
            </w:r>
          </w:p>
        </w:tc>
        <w:tc>
          <w:tcPr>
            <w:tcW w:w="1887"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10人次 </w:t>
            </w:r>
          </w:p>
        </w:tc>
        <w:tc>
          <w:tcPr>
            <w:tcW w:w="82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5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4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13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6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19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262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得分合计</w:t>
            </w:r>
          </w:p>
        </w:tc>
        <w:tc>
          <w:tcPr>
            <w:tcW w:w="12034" w:type="dxa"/>
            <w:gridSpan w:val="1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89.64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262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总分</w:t>
            </w:r>
          </w:p>
        </w:tc>
        <w:tc>
          <w:tcPr>
            <w:tcW w:w="12034" w:type="dxa"/>
            <w:gridSpan w:val="1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99.5</w:t>
            </w:r>
          </w:p>
        </w:tc>
      </w:tr>
    </w:tbl>
    <w:p>
      <w:pPr>
        <w:spacing w:line="400" w:lineRule="exact"/>
        <w:rPr>
          <w:rFonts w:ascii="仿宋_GB2312" w:hAnsi="仿宋_GB2312" w:eastAsia="仿宋_GB2312" w:cs="仿宋_GB2312"/>
          <w:sz w:val="28"/>
          <w:szCs w:val="28"/>
        </w:rPr>
        <w:sectPr>
          <w:pgSz w:w="16783" w:h="23757"/>
          <w:pgMar w:top="1701" w:right="1077" w:bottom="1701" w:left="1077" w:header="0" w:footer="1418" w:gutter="0"/>
          <w:cols w:space="720" w:num="1"/>
          <w:docGrid w:type="linesAndChars" w:linePitch="610" w:charSpace="-849"/>
        </w:sectPr>
      </w:pPr>
    </w:p>
    <w:p>
      <w:pPr>
        <w:spacing w:line="400" w:lineRule="exact"/>
        <w:rPr>
          <w:rFonts w:ascii="仿宋_GB2312" w:hAnsi="仿宋_GB2312" w:eastAsia="仿宋_GB2312" w:cs="仿宋_GB2312"/>
          <w:sz w:val="28"/>
          <w:szCs w:val="28"/>
        </w:rPr>
      </w:pPr>
    </w:p>
    <w:tbl>
      <w:tblPr>
        <w:tblStyle w:val="15"/>
        <w:tblW w:w="146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2"/>
        <w:gridCol w:w="1486"/>
        <w:gridCol w:w="399"/>
        <w:gridCol w:w="402"/>
        <w:gridCol w:w="1363"/>
        <w:gridCol w:w="1135"/>
        <w:gridCol w:w="765"/>
        <w:gridCol w:w="1498"/>
        <w:gridCol w:w="422"/>
        <w:gridCol w:w="1184"/>
        <w:gridCol w:w="2630"/>
        <w:gridCol w:w="2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0" w:hRule="atLeast"/>
        </w:trPr>
        <w:tc>
          <w:tcPr>
            <w:tcW w:w="14659" w:type="dxa"/>
            <w:gridSpan w:val="12"/>
            <w:vMerge w:val="restart"/>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color w:val="000000"/>
                <w:sz w:val="56"/>
                <w:szCs w:val="56"/>
              </w:rPr>
            </w:pPr>
            <w:r>
              <w:rPr>
                <w:rFonts w:hint="eastAsia" w:ascii="宋体" w:hAnsi="宋体" w:cs="宋体"/>
                <w:b/>
                <w:color w:val="000000"/>
                <w:kern w:val="0"/>
                <w:sz w:val="56"/>
                <w:szCs w:val="56"/>
              </w:rPr>
              <w:t>市级专项资金单位自评表（三级）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0" w:hRule="atLeast"/>
        </w:trPr>
        <w:tc>
          <w:tcPr>
            <w:tcW w:w="14659" w:type="dxa"/>
            <w:gridSpan w:val="12"/>
            <w:vMerge w:val="continue"/>
            <w:tcBorders>
              <w:top w:val="nil"/>
              <w:left w:val="nil"/>
              <w:bottom w:val="nil"/>
              <w:right w:val="nil"/>
            </w:tcBorders>
            <w:tcMar>
              <w:top w:w="15" w:type="dxa"/>
              <w:left w:w="15" w:type="dxa"/>
              <w:right w:w="15" w:type="dxa"/>
            </w:tcMar>
            <w:vAlign w:val="center"/>
          </w:tcPr>
          <w:p>
            <w:pPr>
              <w:jc w:val="center"/>
              <w:rPr>
                <w:rFonts w:ascii="宋体" w:hAnsi="宋体" w:cs="宋体"/>
                <w:b/>
                <w:color w:val="000000"/>
                <w:sz w:val="56"/>
                <w:szCs w:val="5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3519" w:type="dxa"/>
            <w:gridSpan w:val="4"/>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填报部门（单位）：青岛市法律援助中心</w:t>
            </w:r>
          </w:p>
        </w:tc>
        <w:tc>
          <w:tcPr>
            <w:tcW w:w="4761" w:type="dxa"/>
            <w:gridSpan w:val="4"/>
            <w:tcBorders>
              <w:top w:val="nil"/>
              <w:left w:val="nil"/>
              <w:bottom w:val="nil"/>
              <w:right w:val="nil"/>
            </w:tcBorders>
            <w:tcMar>
              <w:top w:w="15" w:type="dxa"/>
              <w:left w:w="15" w:type="dxa"/>
              <w:right w:w="15" w:type="dxa"/>
            </w:tcMar>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  2021  )年度</w:t>
            </w:r>
          </w:p>
        </w:tc>
        <w:tc>
          <w:tcPr>
            <w:tcW w:w="6379" w:type="dxa"/>
            <w:gridSpan w:val="4"/>
            <w:tcBorders>
              <w:top w:val="nil"/>
              <w:left w:val="nil"/>
              <w:bottom w:val="nil"/>
              <w:right w:val="nil"/>
            </w:tcBorders>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228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22-其他运转类</w:t>
            </w:r>
          </w:p>
        </w:tc>
        <w:tc>
          <w:tcPr>
            <w:tcW w:w="136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支出领域</w:t>
            </w:r>
          </w:p>
        </w:tc>
        <w:tc>
          <w:tcPr>
            <w:tcW w:w="1900"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其他运转类</w:t>
            </w:r>
          </w:p>
        </w:tc>
        <w:tc>
          <w:tcPr>
            <w:tcW w:w="1920"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资金名称</w:t>
            </w:r>
          </w:p>
        </w:tc>
        <w:tc>
          <w:tcPr>
            <w:tcW w:w="595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公共法律服务中心建设运行费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主管部门</w:t>
            </w:r>
          </w:p>
        </w:tc>
        <w:tc>
          <w:tcPr>
            <w:tcW w:w="3650" w:type="dxa"/>
            <w:gridSpan w:val="4"/>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青岛市司法局部门</w:t>
            </w:r>
          </w:p>
        </w:tc>
        <w:tc>
          <w:tcPr>
            <w:tcW w:w="1900"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项目实施单位</w:t>
            </w:r>
          </w:p>
        </w:tc>
        <w:tc>
          <w:tcPr>
            <w:tcW w:w="7877" w:type="dxa"/>
            <w:gridSpan w:val="5"/>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青岛市法律援助中心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预算执行情况（10分）</w:t>
            </w:r>
          </w:p>
        </w:tc>
        <w:tc>
          <w:tcPr>
            <w:tcW w:w="14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801"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年初预算数</w:t>
            </w:r>
          </w:p>
        </w:tc>
        <w:tc>
          <w:tcPr>
            <w:tcW w:w="136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调整后的预算数（A）</w:t>
            </w:r>
          </w:p>
        </w:tc>
        <w:tc>
          <w:tcPr>
            <w:tcW w:w="11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全年执行数（B）</w:t>
            </w:r>
          </w:p>
        </w:tc>
        <w:tc>
          <w:tcPr>
            <w:tcW w:w="7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分值</w:t>
            </w:r>
          </w:p>
        </w:tc>
        <w:tc>
          <w:tcPr>
            <w:tcW w:w="149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执行率（B/A*100%）</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得分</w:t>
            </w:r>
          </w:p>
        </w:tc>
        <w:tc>
          <w:tcPr>
            <w:tcW w:w="595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未达到进度分析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年度资金总额</w:t>
            </w:r>
          </w:p>
        </w:tc>
        <w:tc>
          <w:tcPr>
            <w:tcW w:w="801"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37.8</w:t>
            </w:r>
          </w:p>
        </w:tc>
        <w:tc>
          <w:tcPr>
            <w:tcW w:w="136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37.8</w:t>
            </w:r>
          </w:p>
        </w:tc>
        <w:tc>
          <w:tcPr>
            <w:tcW w:w="11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36.71</w:t>
            </w:r>
          </w:p>
        </w:tc>
        <w:tc>
          <w:tcPr>
            <w:tcW w:w="7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49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97.12</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9.71</w:t>
            </w:r>
          </w:p>
        </w:tc>
        <w:tc>
          <w:tcPr>
            <w:tcW w:w="595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kern w:val="0"/>
                <w:sz w:val="22"/>
                <w:szCs w:val="22"/>
              </w:rPr>
              <w:t>预算基本执行完毕，剩余指标年底已交回。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4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其中：市级转移支付资金</w:t>
            </w:r>
          </w:p>
        </w:tc>
        <w:tc>
          <w:tcPr>
            <w:tcW w:w="801" w:type="dxa"/>
            <w:gridSpan w:val="2"/>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36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1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7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149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p>
        </w:tc>
        <w:tc>
          <w:tcPr>
            <w:tcW w:w="595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Calibri" w:hAnsi="Calibri" w:cs="Calibri"/>
                <w:color w:val="000000"/>
                <w:sz w:val="22"/>
                <w:szCs w:val="22"/>
              </w:rPr>
            </w:pPr>
            <w:r>
              <w:rPr>
                <w:rFonts w:ascii="Calibri" w:hAnsi="Calibri" w:cs="Calibri"/>
                <w:color w:val="000000"/>
                <w:kern w:val="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年度总体目标</w:t>
            </w:r>
          </w:p>
        </w:tc>
        <w:tc>
          <w:tcPr>
            <w:tcW w:w="4785" w:type="dxa"/>
            <w:gridSpan w:val="5"/>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年初预期目标</w:t>
            </w:r>
          </w:p>
        </w:tc>
        <w:tc>
          <w:tcPr>
            <w:tcW w:w="8642"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72" w:hRule="atLeast"/>
        </w:trPr>
        <w:tc>
          <w:tcPr>
            <w:tcW w:w="12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4785" w:type="dxa"/>
            <w:gridSpan w:val="5"/>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完成上级考核任务，处理非诉讼纠纷调解，进行法治宣传，公共法律服务中心正常运行。</w:t>
            </w:r>
          </w:p>
        </w:tc>
        <w:tc>
          <w:tcPr>
            <w:tcW w:w="8642"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根据年度工作安排，已完成年初预定的总体工作目标，公共法律服务中心运转正常。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4659" w:type="dxa"/>
            <w:gridSpan w:val="1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年度绩效指标完成情况（90分）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95" w:hRule="atLeast"/>
        </w:trPr>
        <w:tc>
          <w:tcPr>
            <w:tcW w:w="123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885"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765"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135"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年度指标值</w:t>
            </w:r>
          </w:p>
        </w:tc>
        <w:tc>
          <w:tcPr>
            <w:tcW w:w="765"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实际完成值</w:t>
            </w:r>
          </w:p>
        </w:tc>
        <w:tc>
          <w:tcPr>
            <w:tcW w:w="1498"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分值</w:t>
            </w:r>
          </w:p>
        </w:tc>
        <w:tc>
          <w:tcPr>
            <w:tcW w:w="422"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得分</w:t>
            </w:r>
          </w:p>
        </w:tc>
        <w:tc>
          <w:tcPr>
            <w:tcW w:w="1184"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未完成指标的原因分析</w:t>
            </w:r>
          </w:p>
        </w:tc>
        <w:tc>
          <w:tcPr>
            <w:tcW w:w="2630"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偏离年初设定的绩效指标值较多(30%及以上)的原因分析</w:t>
            </w:r>
          </w:p>
        </w:tc>
        <w:tc>
          <w:tcPr>
            <w:tcW w:w="2143" w:type="dxa"/>
            <w:tcBorders>
              <w:top w:val="nil"/>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3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885"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765"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项目总预算</w:t>
            </w:r>
          </w:p>
        </w:tc>
        <w:tc>
          <w:tcPr>
            <w:tcW w:w="11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37.8 万元</w:t>
            </w:r>
          </w:p>
        </w:tc>
        <w:tc>
          <w:tcPr>
            <w:tcW w:w="76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36.71</w:t>
            </w:r>
          </w:p>
        </w:tc>
        <w:tc>
          <w:tcPr>
            <w:tcW w:w="149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42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118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w:t>
            </w:r>
          </w:p>
        </w:tc>
        <w:tc>
          <w:tcPr>
            <w:tcW w:w="263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w:t>
            </w:r>
          </w:p>
        </w:tc>
        <w:tc>
          <w:tcPr>
            <w:tcW w:w="214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3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885"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765"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办理非诉讼调解案件</w:t>
            </w:r>
          </w:p>
        </w:tc>
        <w:tc>
          <w:tcPr>
            <w:tcW w:w="11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100 件</w:t>
            </w:r>
          </w:p>
        </w:tc>
        <w:tc>
          <w:tcPr>
            <w:tcW w:w="7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6075</w:t>
            </w:r>
          </w:p>
        </w:tc>
        <w:tc>
          <w:tcPr>
            <w:tcW w:w="149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118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w:t>
            </w:r>
          </w:p>
        </w:tc>
        <w:tc>
          <w:tcPr>
            <w:tcW w:w="263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w:t>
            </w:r>
          </w:p>
        </w:tc>
        <w:tc>
          <w:tcPr>
            <w:tcW w:w="214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3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885"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765"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非诉讼调解案件成功率</w:t>
            </w:r>
          </w:p>
        </w:tc>
        <w:tc>
          <w:tcPr>
            <w:tcW w:w="11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50 %</w:t>
            </w:r>
          </w:p>
        </w:tc>
        <w:tc>
          <w:tcPr>
            <w:tcW w:w="7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149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8.5</w:t>
            </w:r>
          </w:p>
        </w:tc>
        <w:tc>
          <w:tcPr>
            <w:tcW w:w="118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2-经济社会等外部环境影响</w:t>
            </w:r>
          </w:p>
        </w:tc>
        <w:tc>
          <w:tcPr>
            <w:tcW w:w="263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非诉讼调解工作处于起步阶段，需要不断探索完善</w:t>
            </w:r>
          </w:p>
        </w:tc>
        <w:tc>
          <w:tcPr>
            <w:tcW w:w="214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非诉讼调解工作处于起步阶段，需要不断探索完善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3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1885"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765" w:type="dxa"/>
            <w:gridSpan w:val="2"/>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接待咨询量</w:t>
            </w:r>
          </w:p>
        </w:tc>
        <w:tc>
          <w:tcPr>
            <w:tcW w:w="113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5000 人次</w:t>
            </w:r>
          </w:p>
        </w:tc>
        <w:tc>
          <w:tcPr>
            <w:tcW w:w="76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6000</w:t>
            </w:r>
          </w:p>
        </w:tc>
        <w:tc>
          <w:tcPr>
            <w:tcW w:w="1498"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42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1184"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63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143"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3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885" w:type="dxa"/>
            <w:gridSpan w:val="2"/>
            <w:tcBorders>
              <w:top w:val="single" w:color="000000" w:sz="4" w:space="0"/>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1765" w:type="dxa"/>
            <w:gridSpan w:val="2"/>
            <w:tcBorders>
              <w:top w:val="single" w:color="000000" w:sz="4" w:space="0"/>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调解成功案件满意度</w:t>
            </w:r>
          </w:p>
        </w:tc>
        <w:tc>
          <w:tcPr>
            <w:tcW w:w="1135" w:type="dxa"/>
            <w:tcBorders>
              <w:top w:val="nil"/>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85 %</w:t>
            </w:r>
          </w:p>
        </w:tc>
        <w:tc>
          <w:tcPr>
            <w:tcW w:w="765"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85</w:t>
            </w:r>
          </w:p>
        </w:tc>
        <w:tc>
          <w:tcPr>
            <w:tcW w:w="1498"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22"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84"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630"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143" w:type="dxa"/>
            <w:tcBorders>
              <w:top w:val="nil"/>
              <w:left w:val="nil"/>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188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176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咨询人员满意度</w:t>
            </w:r>
          </w:p>
        </w:tc>
        <w:tc>
          <w:tcPr>
            <w:tcW w:w="11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85 %</w:t>
            </w:r>
          </w:p>
        </w:tc>
        <w:tc>
          <w:tcPr>
            <w:tcW w:w="7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85</w:t>
            </w:r>
          </w:p>
        </w:tc>
        <w:tc>
          <w:tcPr>
            <w:tcW w:w="14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4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1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2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88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经济效益指标</w:t>
            </w:r>
          </w:p>
        </w:tc>
        <w:tc>
          <w:tcPr>
            <w:tcW w:w="176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为企业化解纠纷</w:t>
            </w:r>
          </w:p>
        </w:tc>
        <w:tc>
          <w:tcPr>
            <w:tcW w:w="11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50 件</w:t>
            </w:r>
          </w:p>
        </w:tc>
        <w:tc>
          <w:tcPr>
            <w:tcW w:w="7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70</w:t>
            </w:r>
          </w:p>
        </w:tc>
        <w:tc>
          <w:tcPr>
            <w:tcW w:w="14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4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11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c>
          <w:tcPr>
            <w:tcW w:w="21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3117"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得分合计</w:t>
            </w:r>
          </w:p>
        </w:tc>
        <w:tc>
          <w:tcPr>
            <w:tcW w:w="11542" w:type="dxa"/>
            <w:gridSpan w:val="9"/>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3117"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总分</w:t>
            </w:r>
          </w:p>
        </w:tc>
        <w:tc>
          <w:tcPr>
            <w:tcW w:w="11542" w:type="dxa"/>
            <w:gridSpan w:val="9"/>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95.71</w:t>
            </w:r>
          </w:p>
        </w:tc>
      </w:tr>
    </w:tbl>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pPr>
    </w:p>
    <w:p>
      <w:pPr>
        <w:spacing w:line="400" w:lineRule="exact"/>
        <w:rPr>
          <w:rFonts w:ascii="仿宋_GB2312" w:hAnsi="仿宋_GB2312" w:eastAsia="仿宋_GB2312" w:cs="仿宋_GB2312"/>
          <w:sz w:val="28"/>
          <w:szCs w:val="28"/>
        </w:rPr>
        <w:sectPr>
          <w:pgSz w:w="16783" w:h="23757"/>
          <w:pgMar w:top="1701" w:right="1077" w:bottom="1701" w:left="1077" w:header="0" w:footer="1418" w:gutter="0"/>
          <w:cols w:space="720" w:num="1"/>
          <w:docGrid w:type="linesAndChars" w:linePitch="610" w:charSpace="-849"/>
        </w:sectPr>
      </w:pPr>
    </w:p>
    <w:p>
      <w:pPr>
        <w:spacing w:after="305" w:afterLines="50" w:line="600" w:lineRule="exact"/>
        <w:ind w:firstLine="42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2021年度项目支出部门评价情况汇总表</w:t>
      </w:r>
    </w:p>
    <w:p>
      <w:pPr>
        <w:widowControl/>
        <w:spacing w:before="610" w:beforeLines="100"/>
        <w:jc w:val="left"/>
        <w:textAlignment w:val="center"/>
        <w:rPr>
          <w:rFonts w:ascii="黑体" w:hAnsi="宋体" w:eastAsia="黑体" w:cs="黑体"/>
          <w:color w:val="000000"/>
          <w:kern w:val="0"/>
          <w:sz w:val="28"/>
          <w:szCs w:val="28"/>
        </w:rPr>
      </w:pPr>
      <w:r>
        <w:rPr>
          <w:rFonts w:hint="eastAsia" w:ascii="黑体" w:hAnsi="宋体" w:eastAsia="黑体" w:cs="黑体"/>
          <w:color w:val="000000"/>
          <w:kern w:val="0"/>
          <w:sz w:val="28"/>
          <w:szCs w:val="28"/>
        </w:rPr>
        <w:t>部门：青岛市司法局</w:t>
      </w:r>
    </w:p>
    <w:tbl>
      <w:tblPr>
        <w:tblStyle w:val="15"/>
        <w:tblW w:w="1346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4"/>
        <w:gridCol w:w="3803"/>
        <w:gridCol w:w="1145"/>
        <w:gridCol w:w="1145"/>
        <w:gridCol w:w="1144"/>
        <w:gridCol w:w="1145"/>
        <w:gridCol w:w="1145"/>
        <w:gridCol w:w="1145"/>
        <w:gridCol w:w="1145"/>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blHeader/>
        </w:trPr>
        <w:tc>
          <w:tcPr>
            <w:tcW w:w="504" w:type="dxa"/>
            <w:vMerge w:val="restar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序号</w:t>
            </w:r>
          </w:p>
        </w:tc>
        <w:tc>
          <w:tcPr>
            <w:tcW w:w="380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评价资金名称</w:t>
            </w:r>
          </w:p>
        </w:tc>
        <w:tc>
          <w:tcPr>
            <w:tcW w:w="9158" w:type="dxa"/>
            <w:gridSpan w:val="8"/>
            <w:tcBorders>
              <w:top w:val="single" w:color="auto" w:sz="4" w:space="0"/>
              <w:left w:val="nil"/>
              <w:bottom w:val="single" w:color="auto"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sz w:val="24"/>
              </w:rPr>
            </w:pPr>
            <w:r>
              <w:rPr>
                <w:rFonts w:hint="eastAsia" w:ascii="仿宋" w:hAnsi="仿宋" w:eastAsia="仿宋" w:cs="仿宋"/>
                <w:b/>
                <w:kern w:val="0"/>
                <w:sz w:val="24"/>
              </w:rPr>
              <w:t>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5" w:hRule="atLeast"/>
          <w:tblHeader/>
        </w:trPr>
        <w:tc>
          <w:tcPr>
            <w:tcW w:w="504" w:type="dxa"/>
            <w:vMerge w:val="continue"/>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b/>
                <w:color w:val="000000"/>
                <w:sz w:val="24"/>
              </w:rPr>
            </w:pPr>
          </w:p>
        </w:tc>
        <w:tc>
          <w:tcPr>
            <w:tcW w:w="380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仿宋"/>
                <w:b/>
                <w:color w:val="000000"/>
                <w:sz w:val="24"/>
              </w:rPr>
            </w:pPr>
          </w:p>
        </w:tc>
        <w:tc>
          <w:tcPr>
            <w:tcW w:w="114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投入得分</w:t>
            </w:r>
          </w:p>
        </w:tc>
        <w:tc>
          <w:tcPr>
            <w:tcW w:w="114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过程得分</w:t>
            </w:r>
          </w:p>
        </w:tc>
        <w:tc>
          <w:tcPr>
            <w:tcW w:w="114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产出得分</w:t>
            </w:r>
          </w:p>
        </w:tc>
        <w:tc>
          <w:tcPr>
            <w:tcW w:w="114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rPr>
              <w:t>效果得分</w:t>
            </w:r>
          </w:p>
        </w:tc>
        <w:tc>
          <w:tcPr>
            <w:tcW w:w="114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rPr>
              <w:t>评价总分</w:t>
            </w:r>
          </w:p>
        </w:tc>
        <w:tc>
          <w:tcPr>
            <w:tcW w:w="114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color w:val="000000"/>
                <w:sz w:val="24"/>
              </w:rPr>
            </w:pPr>
            <w:r>
              <w:rPr>
                <w:rFonts w:hint="eastAsia" w:ascii="仿宋" w:hAnsi="仿宋" w:eastAsia="仿宋" w:cs="仿宋"/>
                <w:b/>
                <w:color w:val="000000"/>
                <w:kern w:val="0"/>
                <w:sz w:val="24"/>
              </w:rPr>
              <w:t>评价等级</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发现问题</w:t>
            </w:r>
          </w:p>
        </w:tc>
        <w:tc>
          <w:tcPr>
            <w:tcW w:w="114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相关建议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504"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380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法制专项业务费</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24.1</w:t>
            </w:r>
          </w:p>
        </w:tc>
        <w:tc>
          <w:tcPr>
            <w:tcW w:w="114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25</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40</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99.1</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优</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　</w:t>
            </w:r>
          </w:p>
        </w:tc>
        <w:tc>
          <w:tcPr>
            <w:tcW w:w="114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504"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380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警用服装费</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24.2</w:t>
            </w:r>
          </w:p>
        </w:tc>
        <w:tc>
          <w:tcPr>
            <w:tcW w:w="114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25</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40</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99.2</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优</w:t>
            </w:r>
          </w:p>
        </w:tc>
        <w:tc>
          <w:tcPr>
            <w:tcW w:w="1145" w:type="dxa"/>
            <w:tcBorders>
              <w:top w:val="nil"/>
              <w:left w:val="nil"/>
              <w:bottom w:val="single" w:color="auto" w:sz="4" w:space="0"/>
              <w:right w:val="single" w:color="auto" w:sz="4" w:space="0"/>
            </w:tcBorders>
            <w:tcMar>
              <w:top w:w="15" w:type="dxa"/>
              <w:left w:w="15" w:type="dxa"/>
              <w:right w:w="15" w:type="dxa"/>
            </w:tcMar>
            <w:vAlign w:val="bottom"/>
          </w:tcPr>
          <w:p>
            <w:pPr>
              <w:widowControl/>
              <w:jc w:val="left"/>
              <w:textAlignment w:val="bottom"/>
              <w:rPr>
                <w:rFonts w:ascii="仿宋" w:hAnsi="仿宋" w:eastAsia="仿宋" w:cs="仿宋"/>
                <w:sz w:val="20"/>
                <w:szCs w:val="20"/>
              </w:rPr>
            </w:pPr>
            <w:r>
              <w:rPr>
                <w:rFonts w:hint="eastAsia" w:ascii="仿宋" w:hAnsi="仿宋" w:eastAsia="仿宋" w:cs="仿宋"/>
                <w:kern w:val="0"/>
                <w:sz w:val="20"/>
                <w:szCs w:val="20"/>
              </w:rPr>
              <w:t>　</w:t>
            </w:r>
          </w:p>
        </w:tc>
        <w:tc>
          <w:tcPr>
            <w:tcW w:w="1144" w:type="dxa"/>
            <w:tcBorders>
              <w:top w:val="nil"/>
              <w:left w:val="nil"/>
              <w:bottom w:val="single" w:color="auto" w:sz="4" w:space="0"/>
              <w:right w:val="single" w:color="auto" w:sz="4" w:space="0"/>
            </w:tcBorders>
            <w:tcMar>
              <w:top w:w="15" w:type="dxa"/>
              <w:left w:w="15" w:type="dxa"/>
              <w:right w:w="15" w:type="dxa"/>
            </w:tcMar>
            <w:vAlign w:val="bottom"/>
          </w:tcPr>
          <w:p>
            <w:pPr>
              <w:widowControl/>
              <w:jc w:val="left"/>
              <w:textAlignment w:val="bottom"/>
              <w:rPr>
                <w:rFonts w:ascii="仿宋" w:hAnsi="仿宋" w:eastAsia="仿宋" w:cs="仿宋"/>
                <w:sz w:val="20"/>
                <w:szCs w:val="20"/>
              </w:rPr>
            </w:pPr>
            <w:r>
              <w:rPr>
                <w:rFonts w:hint="eastAsia" w:ascii="仿宋" w:hAnsi="仿宋" w:eastAsia="仿宋" w:cs="仿宋"/>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504"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380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法律职业资格考试费</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25</w:t>
            </w:r>
          </w:p>
        </w:tc>
        <w:tc>
          <w:tcPr>
            <w:tcW w:w="114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19</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30</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84</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良</w:t>
            </w:r>
          </w:p>
        </w:tc>
        <w:tc>
          <w:tcPr>
            <w:tcW w:w="1145"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宋体" w:hAnsi="宋体" w:cs="宋体"/>
                <w:sz w:val="13"/>
                <w:szCs w:val="13"/>
              </w:rPr>
            </w:pPr>
            <w:r>
              <w:rPr>
                <w:rFonts w:hint="eastAsia" w:ascii="宋体" w:hAnsi="宋体" w:cs="宋体"/>
                <w:kern w:val="0"/>
                <w:sz w:val="13"/>
                <w:szCs w:val="13"/>
              </w:rPr>
              <w:t>成本指标超额</w:t>
            </w:r>
          </w:p>
        </w:tc>
        <w:tc>
          <w:tcPr>
            <w:tcW w:w="1144"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sz w:val="13"/>
                <w:szCs w:val="13"/>
              </w:rPr>
            </w:pPr>
            <w:r>
              <w:rPr>
                <w:rFonts w:hint="eastAsia" w:ascii="宋体" w:hAnsi="宋体" w:cs="宋体"/>
                <w:kern w:val="0"/>
                <w:sz w:val="13"/>
                <w:szCs w:val="13"/>
              </w:rPr>
              <w:t>控制成本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504"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380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普法人民监督员涉法涉诉专项经费</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9</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25</w:t>
            </w:r>
          </w:p>
        </w:tc>
        <w:tc>
          <w:tcPr>
            <w:tcW w:w="114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25</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40</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99</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优</w:t>
            </w:r>
          </w:p>
        </w:tc>
        <w:tc>
          <w:tcPr>
            <w:tcW w:w="1145" w:type="dxa"/>
            <w:tcBorders>
              <w:top w:val="nil"/>
              <w:left w:val="nil"/>
              <w:bottom w:val="single" w:color="auto" w:sz="4" w:space="0"/>
              <w:right w:val="single" w:color="auto" w:sz="4" w:space="0"/>
            </w:tcBorders>
            <w:tcMar>
              <w:top w:w="15" w:type="dxa"/>
              <w:left w:w="15" w:type="dxa"/>
              <w:right w:w="15"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rPr>
              <w:t>　</w:t>
            </w:r>
          </w:p>
        </w:tc>
        <w:tc>
          <w:tcPr>
            <w:tcW w:w="1144" w:type="dxa"/>
            <w:tcBorders>
              <w:top w:val="nil"/>
              <w:left w:val="nil"/>
              <w:bottom w:val="single" w:color="auto" w:sz="4" w:space="0"/>
              <w:right w:val="single" w:color="auto" w:sz="4" w:space="0"/>
            </w:tcBorders>
            <w:tcMar>
              <w:top w:w="15" w:type="dxa"/>
              <w:left w:w="15" w:type="dxa"/>
              <w:right w:w="15"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504"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5</w:t>
            </w:r>
          </w:p>
        </w:tc>
        <w:tc>
          <w:tcPr>
            <w:tcW w:w="380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法律培训费</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9.7</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23</w:t>
            </w:r>
          </w:p>
        </w:tc>
        <w:tc>
          <w:tcPr>
            <w:tcW w:w="114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25</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40</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97.7</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优</w:t>
            </w:r>
          </w:p>
        </w:tc>
        <w:tc>
          <w:tcPr>
            <w:tcW w:w="1145" w:type="dxa"/>
            <w:tcBorders>
              <w:top w:val="nil"/>
              <w:left w:val="nil"/>
              <w:bottom w:val="single" w:color="auto" w:sz="4" w:space="0"/>
              <w:right w:val="single" w:color="auto" w:sz="4" w:space="0"/>
            </w:tcBorders>
            <w:tcMar>
              <w:top w:w="15" w:type="dxa"/>
              <w:left w:w="15" w:type="dxa"/>
              <w:right w:w="15"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rPr>
              <w:t>　</w:t>
            </w:r>
          </w:p>
        </w:tc>
        <w:tc>
          <w:tcPr>
            <w:tcW w:w="1144" w:type="dxa"/>
            <w:tcBorders>
              <w:top w:val="nil"/>
              <w:left w:val="nil"/>
              <w:bottom w:val="single" w:color="auto" w:sz="4" w:space="0"/>
              <w:right w:val="single" w:color="auto" w:sz="4" w:space="0"/>
            </w:tcBorders>
            <w:tcMar>
              <w:top w:w="15" w:type="dxa"/>
              <w:left w:w="15" w:type="dxa"/>
              <w:right w:w="15"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504"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6</w:t>
            </w:r>
          </w:p>
        </w:tc>
        <w:tc>
          <w:tcPr>
            <w:tcW w:w="380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惠企政策法律服务费</w:t>
            </w:r>
            <w:bookmarkStart w:id="0" w:name="_GoBack"/>
            <w:bookmarkEnd w:id="0"/>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9.6</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25</w:t>
            </w:r>
          </w:p>
        </w:tc>
        <w:tc>
          <w:tcPr>
            <w:tcW w:w="114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25</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40</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99.6</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优</w:t>
            </w:r>
          </w:p>
        </w:tc>
        <w:tc>
          <w:tcPr>
            <w:tcW w:w="1145" w:type="dxa"/>
            <w:tcBorders>
              <w:top w:val="nil"/>
              <w:left w:val="nil"/>
              <w:bottom w:val="single" w:color="auto" w:sz="4" w:space="0"/>
              <w:right w:val="single" w:color="auto" w:sz="4" w:space="0"/>
            </w:tcBorders>
            <w:tcMar>
              <w:top w:w="15" w:type="dxa"/>
              <w:left w:w="15" w:type="dxa"/>
              <w:right w:w="15"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rPr>
              <w:t>　</w:t>
            </w:r>
          </w:p>
        </w:tc>
        <w:tc>
          <w:tcPr>
            <w:tcW w:w="1144" w:type="dxa"/>
            <w:tcBorders>
              <w:top w:val="nil"/>
              <w:left w:val="nil"/>
              <w:bottom w:val="single" w:color="auto" w:sz="4" w:space="0"/>
              <w:right w:val="single" w:color="auto" w:sz="4" w:space="0"/>
            </w:tcBorders>
            <w:tcMar>
              <w:top w:w="15" w:type="dxa"/>
              <w:left w:w="15" w:type="dxa"/>
              <w:right w:w="15" w:type="dxa"/>
            </w:tcMar>
            <w:vAlign w:val="bottom"/>
          </w:tcPr>
          <w:p>
            <w:pPr>
              <w:widowControl/>
              <w:jc w:val="left"/>
              <w:textAlignment w:val="bottom"/>
              <w:rPr>
                <w:rFonts w:ascii="宋体" w:hAnsi="宋体" w:cs="宋体"/>
                <w:sz w:val="13"/>
                <w:szCs w:val="13"/>
              </w:rPr>
            </w:pPr>
            <w:r>
              <w:rPr>
                <w:rFonts w:hint="eastAsia" w:ascii="宋体" w:hAnsi="宋体" w:cs="宋体"/>
                <w:kern w:val="0"/>
                <w:sz w:val="13"/>
                <w:szCs w:val="13"/>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504"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7</w:t>
            </w:r>
          </w:p>
        </w:tc>
        <w:tc>
          <w:tcPr>
            <w:tcW w:w="380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法律援助及12348业务费</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24.75</w:t>
            </w:r>
          </w:p>
        </w:tc>
        <w:tc>
          <w:tcPr>
            <w:tcW w:w="114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22.6</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40</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97.35</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优</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　</w:t>
            </w:r>
          </w:p>
        </w:tc>
        <w:tc>
          <w:tcPr>
            <w:tcW w:w="114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504"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8</w:t>
            </w:r>
          </w:p>
        </w:tc>
        <w:tc>
          <w:tcPr>
            <w:tcW w:w="380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公共法律服务中心建设运行费</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10</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24.25</w:t>
            </w:r>
          </w:p>
        </w:tc>
        <w:tc>
          <w:tcPr>
            <w:tcW w:w="114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21.25</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40</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95.5</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优</w:t>
            </w:r>
          </w:p>
        </w:tc>
        <w:tc>
          <w:tcPr>
            <w:tcW w:w="114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　</w:t>
            </w:r>
          </w:p>
        </w:tc>
        <w:tc>
          <w:tcPr>
            <w:tcW w:w="114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　</w:t>
            </w:r>
          </w:p>
        </w:tc>
      </w:tr>
    </w:tbl>
    <w:p>
      <w:pPr>
        <w:spacing w:line="400" w:lineRule="exact"/>
        <w:rPr>
          <w:rFonts w:ascii="仿宋_GB2312" w:eastAsia="仿宋_GB2312"/>
          <w:b/>
          <w:szCs w:val="32"/>
        </w:rPr>
      </w:pPr>
    </w:p>
    <w:p>
      <w:pPr>
        <w:spacing w:line="400" w:lineRule="exact"/>
        <w:rPr>
          <w:rFonts w:ascii="仿宋_GB2312" w:eastAsia="仿宋_GB2312"/>
          <w:bCs/>
          <w:szCs w:val="32"/>
        </w:rPr>
      </w:pPr>
      <w:r>
        <w:rPr>
          <w:rFonts w:hint="eastAsia" w:ascii="仿宋_GB2312" w:eastAsia="仿宋_GB2312"/>
          <w:bCs/>
          <w:szCs w:val="32"/>
        </w:rPr>
        <w:t xml:space="preserve">    本部门开展的另外</w:t>
      </w:r>
      <w:r>
        <w:rPr>
          <w:rFonts w:ascii="仿宋_GB2312" w:eastAsia="仿宋_GB2312"/>
          <w:bCs/>
          <w:szCs w:val="32"/>
        </w:rPr>
        <w:t>14</w:t>
      </w:r>
      <w:r>
        <w:rPr>
          <w:rFonts w:hint="eastAsia" w:ascii="仿宋_GB2312" w:eastAsia="仿宋_GB2312"/>
          <w:bCs/>
          <w:szCs w:val="32"/>
        </w:rPr>
        <w:t>项部门评价因项目涉密按规定不予公开。</w:t>
      </w:r>
    </w:p>
    <w:p>
      <w:pPr>
        <w:spacing w:after="305" w:afterLines="50" w:line="600" w:lineRule="exact"/>
        <w:rPr>
          <w:rFonts w:ascii="方正小标宋简体" w:hAnsi="方正小标宋简体" w:eastAsia="方正小标宋简体" w:cs="方正小标宋简体"/>
          <w:sz w:val="24"/>
        </w:rPr>
        <w:sectPr>
          <w:pgSz w:w="16838" w:h="11906" w:orient="landscape"/>
          <w:pgMar w:top="1077" w:right="1701" w:bottom="1077" w:left="1701" w:header="0" w:footer="1418" w:gutter="0"/>
          <w:cols w:space="720" w:num="1"/>
          <w:docGrid w:type="linesAndChars" w:linePitch="610" w:charSpace="-849"/>
        </w:sectPr>
      </w:pPr>
    </w:p>
    <w:tbl>
      <w:tblPr>
        <w:tblStyle w:val="15"/>
        <w:tblW w:w="14659"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2"/>
        <w:gridCol w:w="1036"/>
        <w:gridCol w:w="1148"/>
        <w:gridCol w:w="574"/>
        <w:gridCol w:w="629"/>
        <w:gridCol w:w="3146"/>
        <w:gridCol w:w="1055"/>
        <w:gridCol w:w="4591"/>
        <w:gridCol w:w="666"/>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12901"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Cs w:val="32"/>
              </w:rPr>
            </w:pPr>
            <w:r>
              <w:rPr>
                <w:rFonts w:hint="eastAsia" w:ascii="仿宋_GB2312" w:hAnsi="Tahoma" w:eastAsia="仿宋_GB2312" w:cs="仿宋_GB2312"/>
                <w:b/>
                <w:color w:val="000000"/>
                <w:kern w:val="0"/>
                <w:szCs w:val="32"/>
              </w:rPr>
              <w:t>法制专项业务费项目支出绩效评价指标体系</w:t>
            </w:r>
          </w:p>
        </w:tc>
        <w:tc>
          <w:tcPr>
            <w:tcW w:w="666" w:type="dxa"/>
            <w:tcBorders>
              <w:top w:val="nil"/>
              <w:left w:val="nil"/>
              <w:bottom w:val="nil"/>
              <w:right w:val="nil"/>
            </w:tcBorders>
            <w:tcMar>
              <w:top w:w="15" w:type="dxa"/>
              <w:left w:w="15" w:type="dxa"/>
              <w:right w:w="15" w:type="dxa"/>
            </w:tcMar>
            <w:vAlign w:val="center"/>
          </w:tcPr>
          <w:p>
            <w:pPr>
              <w:jc w:val="center"/>
              <w:rPr>
                <w:rFonts w:ascii="仿宋_GB2312" w:hAnsi="Tahoma" w:eastAsia="仿宋_GB2312" w:cs="仿宋_GB2312"/>
                <w:b/>
                <w:color w:val="000000"/>
                <w:szCs w:val="32"/>
              </w:rPr>
            </w:pPr>
          </w:p>
        </w:tc>
        <w:tc>
          <w:tcPr>
            <w:tcW w:w="1092"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7255" w:type="dxa"/>
            <w:gridSpan w:val="6"/>
            <w:tcBorders>
              <w:top w:val="nil"/>
              <w:left w:val="nil"/>
              <w:bottom w:val="single" w:color="auto" w:sz="4" w:space="0"/>
              <w:right w:val="nil"/>
            </w:tcBorders>
            <w:tcMar>
              <w:top w:w="15" w:type="dxa"/>
              <w:left w:w="15" w:type="dxa"/>
              <w:right w:w="15" w:type="dxa"/>
            </w:tcMar>
            <w:vAlign w:val="center"/>
          </w:tcPr>
          <w:p>
            <w:pPr>
              <w:widowControl/>
              <w:jc w:val="left"/>
              <w:textAlignment w:val="center"/>
              <w:rPr>
                <w:rFonts w:ascii="仿宋_GB2312" w:hAnsi="Tahoma" w:eastAsia="仿宋_GB2312" w:cs="仿宋_GB2312"/>
                <w:b/>
                <w:color w:val="000000"/>
                <w:sz w:val="24"/>
              </w:rPr>
            </w:pPr>
            <w:r>
              <w:rPr>
                <w:rFonts w:hint="eastAsia" w:ascii="仿宋_GB2312" w:hAnsi="Tahoma" w:eastAsia="仿宋_GB2312" w:cs="仿宋_GB2312"/>
                <w:b/>
                <w:color w:val="000000"/>
                <w:kern w:val="0"/>
                <w:sz w:val="24"/>
              </w:rPr>
              <w:t>项目单位：青岛市司法局</w:t>
            </w:r>
          </w:p>
        </w:tc>
        <w:tc>
          <w:tcPr>
            <w:tcW w:w="1055" w:type="dxa"/>
            <w:tcBorders>
              <w:top w:val="nil"/>
              <w:left w:val="nil"/>
              <w:bottom w:val="nil"/>
              <w:right w:val="nil"/>
            </w:tcBorders>
            <w:tcMar>
              <w:top w:w="15" w:type="dxa"/>
              <w:left w:w="15" w:type="dxa"/>
              <w:right w:w="15" w:type="dxa"/>
            </w:tcMar>
            <w:vAlign w:val="center"/>
          </w:tcPr>
          <w:p>
            <w:pPr>
              <w:jc w:val="center"/>
              <w:rPr>
                <w:rFonts w:ascii="仿宋_GB2312" w:hAnsi="Tahoma" w:eastAsia="仿宋_GB2312" w:cs="仿宋_GB2312"/>
                <w:b/>
                <w:color w:val="000000"/>
                <w:szCs w:val="32"/>
              </w:rPr>
            </w:pPr>
          </w:p>
        </w:tc>
        <w:tc>
          <w:tcPr>
            <w:tcW w:w="4591" w:type="dxa"/>
            <w:tcBorders>
              <w:top w:val="nil"/>
              <w:left w:val="nil"/>
              <w:bottom w:val="nil"/>
              <w:right w:val="nil"/>
            </w:tcBorders>
            <w:tcMar>
              <w:top w:w="15" w:type="dxa"/>
              <w:left w:w="15" w:type="dxa"/>
              <w:right w:w="15" w:type="dxa"/>
            </w:tcMar>
            <w:vAlign w:val="center"/>
          </w:tcPr>
          <w:p>
            <w:pPr>
              <w:jc w:val="center"/>
              <w:rPr>
                <w:rFonts w:ascii="仿宋_GB2312" w:hAnsi="Tahoma" w:eastAsia="仿宋_GB2312" w:cs="仿宋_GB2312"/>
                <w:b/>
                <w:color w:val="000000"/>
                <w:szCs w:val="32"/>
              </w:rPr>
            </w:pPr>
          </w:p>
        </w:tc>
        <w:tc>
          <w:tcPr>
            <w:tcW w:w="666" w:type="dxa"/>
            <w:tcBorders>
              <w:top w:val="nil"/>
              <w:left w:val="nil"/>
              <w:bottom w:val="nil"/>
              <w:right w:val="nil"/>
            </w:tcBorders>
            <w:tcMar>
              <w:top w:w="15" w:type="dxa"/>
              <w:left w:w="15" w:type="dxa"/>
              <w:right w:w="15" w:type="dxa"/>
            </w:tcMar>
            <w:vAlign w:val="center"/>
          </w:tcPr>
          <w:p>
            <w:pPr>
              <w:jc w:val="center"/>
              <w:rPr>
                <w:rFonts w:ascii="仿宋_GB2312" w:hAnsi="Tahoma" w:eastAsia="仿宋_GB2312" w:cs="仿宋_GB2312"/>
                <w:b/>
                <w:color w:val="000000"/>
                <w:szCs w:val="32"/>
              </w:rPr>
            </w:pPr>
          </w:p>
        </w:tc>
        <w:tc>
          <w:tcPr>
            <w:tcW w:w="1092"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0" w:hRule="atLeast"/>
        </w:trPr>
        <w:tc>
          <w:tcPr>
            <w:tcW w:w="722"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一级</w:t>
            </w:r>
            <w:r>
              <w:rPr>
                <w:rFonts w:hint="eastAsia" w:ascii="仿宋_GB2312" w:hAnsi="Tahoma" w:eastAsia="仿宋_GB2312" w:cs="仿宋_GB2312"/>
                <w:b/>
                <w:color w:val="000000"/>
                <w:kern w:val="0"/>
                <w:sz w:val="22"/>
                <w:szCs w:val="22"/>
              </w:rPr>
              <w:br/>
            </w:r>
            <w:r>
              <w:rPr>
                <w:rFonts w:hint="eastAsia" w:ascii="仿宋_GB2312" w:hAnsi="Tahoma" w:eastAsia="仿宋_GB2312" w:cs="仿宋_GB2312"/>
                <w:b/>
                <w:color w:val="000000"/>
                <w:kern w:val="0"/>
                <w:sz w:val="22"/>
                <w:szCs w:val="22"/>
              </w:rPr>
              <w:t>指标</w:t>
            </w:r>
          </w:p>
        </w:tc>
        <w:tc>
          <w:tcPr>
            <w:tcW w:w="1036"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二级指标</w:t>
            </w:r>
          </w:p>
        </w:tc>
        <w:tc>
          <w:tcPr>
            <w:tcW w:w="1148"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三级指标</w:t>
            </w:r>
          </w:p>
        </w:tc>
        <w:tc>
          <w:tcPr>
            <w:tcW w:w="57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四级指标</w:t>
            </w:r>
          </w:p>
        </w:tc>
        <w:tc>
          <w:tcPr>
            <w:tcW w:w="62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权重</w:t>
            </w:r>
          </w:p>
        </w:tc>
        <w:tc>
          <w:tcPr>
            <w:tcW w:w="3146"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指标解释</w:t>
            </w:r>
          </w:p>
        </w:tc>
        <w:tc>
          <w:tcPr>
            <w:tcW w:w="1055"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标杆值</w:t>
            </w:r>
          </w:p>
        </w:tc>
        <w:tc>
          <w:tcPr>
            <w:tcW w:w="4591"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评分标准</w:t>
            </w:r>
          </w:p>
        </w:tc>
        <w:tc>
          <w:tcPr>
            <w:tcW w:w="66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得分</w:t>
            </w:r>
          </w:p>
        </w:tc>
        <w:tc>
          <w:tcPr>
            <w:tcW w:w="109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25" w:hRule="atLeast"/>
        </w:trPr>
        <w:tc>
          <w:tcPr>
            <w:tcW w:w="722"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决策</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（10分）</w:t>
            </w:r>
          </w:p>
        </w:tc>
        <w:tc>
          <w:tcPr>
            <w:tcW w:w="1036"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项目立项（2分）</w:t>
            </w:r>
          </w:p>
        </w:tc>
        <w:tc>
          <w:tcPr>
            <w:tcW w:w="114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立项依据</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充分性</w:t>
            </w:r>
          </w:p>
        </w:tc>
        <w:tc>
          <w:tcPr>
            <w:tcW w:w="57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项目立项是否符合法律法规、相关政策、发展规划以及部门职责，用以反映和考核项目立项依据情况。</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充分</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①项目立项是否符合国家法律法规、国民经济发展规划和相关政策；</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②项目立项是否符合行业发展规划和政策要求；</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③项目立项是否与部门职责范围相符，属于部门履职所需；</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④项目是否属于公共财政支持范围，是否符合中央、地方事权支出责任划分原则；</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⑤项目是否与相关部门同类项目或部门内部相关项目不重复。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5项各占1/5权重分，每有一项不满足，则扣除相应权重分。</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22"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14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立项程序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规范性</w:t>
            </w:r>
          </w:p>
        </w:tc>
        <w:tc>
          <w:tcPr>
            <w:tcW w:w="57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项目的申请、设立过程是否符合相关要求，用以反映和考核项目立项的规范情况。</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规范</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①项目按照规定的程序申请设立；</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②所提交的文件、材料符合相关要求；</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③事前已经过必要的可行性研究、专家论证、风险评估、绩效评估、集体决策等。</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若①②③齐全得权重100%；如不符合①得0分；缺②扣权重1/3；缺③扣权重1/3。</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35" w:hRule="atLeast"/>
        </w:trPr>
        <w:tc>
          <w:tcPr>
            <w:tcW w:w="722"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绩效目标（4分）</w:t>
            </w:r>
          </w:p>
        </w:tc>
        <w:tc>
          <w:tcPr>
            <w:tcW w:w="114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绩效目标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合理性</w:t>
            </w:r>
          </w:p>
        </w:tc>
        <w:tc>
          <w:tcPr>
            <w:tcW w:w="57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项目所设定的绩效目标是否依据充分，是否符合客观实际，用以反映和考核项目绩效目标与项目实施的相符情况。</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合理</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①项目有绩效目标；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②项目绩效目标与实际工作内容具有相关性；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③项目预期产出效益和效果符合正常的业绩水平；</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④绩效目标与预算确定的项目投资额或资金量相匹配。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1.7</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5" w:hRule="atLeast"/>
        </w:trPr>
        <w:tc>
          <w:tcPr>
            <w:tcW w:w="722"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14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明确性</w:t>
            </w:r>
          </w:p>
        </w:tc>
        <w:tc>
          <w:tcPr>
            <w:tcW w:w="57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依据绩效目标设定的绩效指标是否清晰、细化、可衡量等，用以反映和考核项目绩效目标的明细化情况。</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明确</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①将项目绩效目标细化分解为具体的绩效指标；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②指标值清晰、可衡量；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③指标值与项目年度任务数或计划数相对应。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3项各占1/3权重分，每有一项不满足，则扣除相应权重分。</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5" w:hRule="atLeast"/>
        </w:trPr>
        <w:tc>
          <w:tcPr>
            <w:tcW w:w="722"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资金投入（4分）</w:t>
            </w:r>
          </w:p>
        </w:tc>
        <w:tc>
          <w:tcPr>
            <w:tcW w:w="114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预算编制</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科学性</w:t>
            </w:r>
          </w:p>
        </w:tc>
        <w:tc>
          <w:tcPr>
            <w:tcW w:w="57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项目预算编制是否经过科学论证、有明确标准，资金额度与年度目标是否相适应，用以反映和考核项目预算编制的科学性、合理性情况。</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科学</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①预算编制经过科学论证；</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②预算内容与项目内容匹配；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③预算额度测算依据充分，按照标准编制；</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④预算确定的项目投资额或资金量与工作任务相匹配。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15" w:hRule="atLeast"/>
        </w:trPr>
        <w:tc>
          <w:tcPr>
            <w:tcW w:w="722"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14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资金分配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合理性</w:t>
            </w:r>
          </w:p>
        </w:tc>
        <w:tc>
          <w:tcPr>
            <w:tcW w:w="57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考察项目资金分配是否有测算依据，预算安排内容与专项资金的设立目的及年度工作重点是否一致，用以反映和考核项目预算资金分配的科学性、合理性。</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合理</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①项目资金分配有测算依据得1/2权重分；</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②根据预算安排内容与专项资金的设立目的及年度工作重点的匹配程度判断，分别得年度剩余权重的100%、75%、50%、25%和0%。</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10" w:hRule="atLeast"/>
        </w:trPr>
        <w:tc>
          <w:tcPr>
            <w:tcW w:w="722"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过程</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1036"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资金管理（8分）</w:t>
            </w:r>
          </w:p>
        </w:tc>
        <w:tc>
          <w:tcPr>
            <w:tcW w:w="114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w:t>
            </w:r>
          </w:p>
        </w:tc>
        <w:tc>
          <w:tcPr>
            <w:tcW w:w="57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实际到位资金与预算资金的比率，用以反映和考核上年度资金落实情况对项目实施的总体保障程度。资金到位率=（实际到位资金/预算资金）*100%。</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资金到位率达100%得相应权重的100%，每下降1%扣5%权重，扣完相应权重为止。</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22"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14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预算执行率</w:t>
            </w:r>
          </w:p>
        </w:tc>
        <w:tc>
          <w:tcPr>
            <w:tcW w:w="57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项目预算资金是否按照计划执行，用以反映或考核项目预算执行情况。预算执行率=（实际支出金额/实际到位资金）×100%。</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①已完成的项目，预算执行率100%得满分，每降低1%扣5%权重分，扣完为止。②实施期项目，预算执行率与项目当年实施进度相匹配，预算执行率与项目实际完成率相比较，每偏离1%扣5%权重，扣完相应权重为止。</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4.4</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0" w:hRule="atLeast"/>
        </w:trPr>
        <w:tc>
          <w:tcPr>
            <w:tcW w:w="722"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14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资金使用</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合规性</w:t>
            </w:r>
          </w:p>
        </w:tc>
        <w:tc>
          <w:tcPr>
            <w:tcW w:w="57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项目资金使用是否符合相关的财务管理制度规定，用以反映和考核项目资金的规范运行情况。</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合规</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①符合国家财经法规和财务管理制度以及有关专项资金管理办法的规定；</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②资金的拨付有完整的审批程序和手续；</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③符合项目预算批复或合同规定的用途；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④不存在截留、挤占、挪用、虚列支出等情况。</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4项全部符合视为使用合规，得满分；存在①或③或④不满足时属于严重违规事项，本项指标不得分；在①③④同时符合，②不符合时，本项指标得75%权重分；</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55" w:hRule="atLeast"/>
        </w:trPr>
        <w:tc>
          <w:tcPr>
            <w:tcW w:w="722"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组织实施（17分）</w:t>
            </w:r>
            <w:r>
              <w:rPr>
                <w:rFonts w:ascii="Arial" w:hAnsi="Arial" w:eastAsia="仿宋_GB2312" w:cs="Arial"/>
                <w:color w:val="000000"/>
                <w:kern w:val="0"/>
                <w:sz w:val="22"/>
                <w:szCs w:val="22"/>
              </w:rPr>
              <w:t> </w:t>
            </w:r>
          </w:p>
        </w:tc>
        <w:tc>
          <w:tcPr>
            <w:tcW w:w="114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xml:space="preserve"> 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健全性</w:t>
            </w:r>
          </w:p>
        </w:tc>
        <w:tc>
          <w:tcPr>
            <w:tcW w:w="57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项目实施单位的管理制度是否健全，是否已制定或具有相应的财务和业务管理制度，财务和业务管理制度是否合法、合规、完整。用以反映和考核财务和业务管理制度对项目顺利实施的保障情况。</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健全</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①制定或具有相应的财务管理制度；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②制定或具有相应的业务管理制度；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③财务管理制度合法、合规、完整；</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④业务管理制度合法、合规、完整。</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4项各占1/4权重分，每有一项不满足，则扣除相应权重分。（需根据实际情况细化制度和修改权重比）</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25" w:hRule="atLeast"/>
        </w:trPr>
        <w:tc>
          <w:tcPr>
            <w:tcW w:w="722"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14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绩效管理有效性</w:t>
            </w:r>
          </w:p>
        </w:tc>
        <w:tc>
          <w:tcPr>
            <w:tcW w:w="57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上年度绩效评价结果应用于预算安排、政策调整和改进管理情况、本次自评和评价资料报送情况。</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有效</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①本次自评、部门评价资料报送及时性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②本次自评、部门评价资料完整性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③上年度评价结果应用情况</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3项各占1/3权重分，每有一项不满足，则扣除相应权重分。（需根据实际情况细化制度和修改权重比）</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18" w:hRule="atLeast"/>
        </w:trPr>
        <w:tc>
          <w:tcPr>
            <w:tcW w:w="722"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14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制度执行</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有效性</w:t>
            </w:r>
          </w:p>
        </w:tc>
        <w:tc>
          <w:tcPr>
            <w:tcW w:w="57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项目实施是否符合相关管理规定，用以反映和考核相关管理制度的有效执行情况。</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有效</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①遵守相关法律法规和相关管理规定；</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②项目调整及支出调整手续完备；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③项目合同书、验收报告、技术鉴定等资料齐全并及时归档；</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④项目实施的人员条件、场地设备、信息支撑等落实到位。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4项各占1/4权重分，每有一项不满足，则扣除相应权重分。（需根据实际情况细化制度和修改权重比）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一票否决事项：在巡视巡查、监督检查、审计等工作中发现评价期项目存在问题，本项不得分。</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trPr>
        <w:tc>
          <w:tcPr>
            <w:tcW w:w="722"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1036"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产出数量（6分）</w:t>
            </w:r>
          </w:p>
        </w:tc>
        <w:tc>
          <w:tcPr>
            <w:tcW w:w="114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实际完成率</w:t>
            </w:r>
          </w:p>
        </w:tc>
        <w:tc>
          <w:tcPr>
            <w:tcW w:w="574"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3</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行政执法人员执法证审验数</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≥1200人</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实际完成率达100%，则得满分，每低于1%，扣除5%权重分，扣完为止。实际产出数偏离计划产出数30%及以上，计算得分后再加扣5分。</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3</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85" w:hRule="atLeast"/>
        </w:trPr>
        <w:tc>
          <w:tcPr>
            <w:tcW w:w="722"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14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57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righ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3</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行政复议行政应诉结案数量（率）</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≥1000件</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实际完成率达100%，则得满分，每低于1%，扣除5%权重分，扣完为止。实际产出数偏离计划产出数30%及以上，计算得分后再加扣5分。</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3</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722"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vMerge w:val="restart"/>
            <w:tcBorders>
              <w:top w:val="nil"/>
              <w:left w:val="single" w:color="auto" w:sz="4" w:space="0"/>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产出质量（14分）</w:t>
            </w:r>
          </w:p>
        </w:tc>
        <w:tc>
          <w:tcPr>
            <w:tcW w:w="1148"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w:t>
            </w:r>
          </w:p>
        </w:tc>
        <w:tc>
          <w:tcPr>
            <w:tcW w:w="574"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2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314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立法计划完成率</w:t>
            </w:r>
          </w:p>
        </w:tc>
        <w:tc>
          <w:tcPr>
            <w:tcW w:w="105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宋体" w:hAnsi="宋体" w:cs="宋体"/>
                <w:color w:val="000000"/>
                <w:kern w:val="0"/>
                <w:sz w:val="22"/>
                <w:szCs w:val="22"/>
              </w:rPr>
              <w:t>≥</w:t>
            </w:r>
            <w:r>
              <w:rPr>
                <w:rFonts w:hint="eastAsia" w:ascii="仿宋_GB2312" w:hAnsi="Tahoma" w:eastAsia="仿宋_GB2312" w:cs="仿宋_GB2312"/>
                <w:color w:val="000000"/>
                <w:kern w:val="0"/>
                <w:sz w:val="22"/>
                <w:szCs w:val="22"/>
              </w:rPr>
              <w:t>80%</w:t>
            </w:r>
          </w:p>
        </w:tc>
        <w:tc>
          <w:tcPr>
            <w:tcW w:w="459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质量达标率达100%，则得满分，每低于1%，扣除5%权重分，扣完为止。</w:t>
            </w:r>
          </w:p>
        </w:tc>
        <w:tc>
          <w:tcPr>
            <w:tcW w:w="666"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722"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vMerge w:val="continue"/>
            <w:tcBorders>
              <w:top w:val="nil"/>
              <w:left w:val="single" w:color="auto" w:sz="4" w:space="0"/>
              <w:bottom w:val="nil"/>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148"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574"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62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14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行政诉讼单位负责人到庭应诉率</w:t>
            </w:r>
          </w:p>
        </w:tc>
        <w:tc>
          <w:tcPr>
            <w:tcW w:w="105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宋体" w:hAnsi="宋体" w:cs="宋体"/>
                <w:color w:val="000000"/>
                <w:kern w:val="0"/>
                <w:sz w:val="22"/>
                <w:szCs w:val="22"/>
              </w:rPr>
              <w:t>≥</w:t>
            </w:r>
            <w:r>
              <w:rPr>
                <w:rFonts w:hint="eastAsia" w:ascii="仿宋_GB2312" w:hAnsi="Tahoma" w:eastAsia="仿宋_GB2312" w:cs="仿宋_GB2312"/>
                <w:color w:val="000000"/>
                <w:kern w:val="0"/>
                <w:sz w:val="22"/>
                <w:szCs w:val="22"/>
              </w:rPr>
              <w:t>90%</w:t>
            </w:r>
          </w:p>
        </w:tc>
        <w:tc>
          <w:tcPr>
            <w:tcW w:w="459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质量达标率达100%，则得满分，每低于1%，扣除5%权重分，扣完为止。</w:t>
            </w:r>
          </w:p>
        </w:tc>
        <w:tc>
          <w:tcPr>
            <w:tcW w:w="666"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722"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vMerge w:val="continue"/>
            <w:tcBorders>
              <w:top w:val="nil"/>
              <w:left w:val="single" w:color="auto" w:sz="4" w:space="0"/>
              <w:bottom w:val="nil"/>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148"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574"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62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3146"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市级重大决策合法性审查率</w:t>
            </w:r>
          </w:p>
        </w:tc>
        <w:tc>
          <w:tcPr>
            <w:tcW w:w="105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宋体" w:hAnsi="宋体" w:cs="宋体"/>
                <w:color w:val="000000"/>
                <w:kern w:val="0"/>
                <w:sz w:val="22"/>
                <w:szCs w:val="22"/>
              </w:rPr>
              <w:t>≥</w:t>
            </w:r>
            <w:r>
              <w:rPr>
                <w:rFonts w:hint="eastAsia" w:ascii="仿宋_GB2312" w:hAnsi="Tahoma" w:eastAsia="仿宋_GB2312" w:cs="仿宋_GB2312"/>
                <w:color w:val="000000"/>
                <w:kern w:val="0"/>
                <w:sz w:val="22"/>
                <w:szCs w:val="22"/>
              </w:rPr>
              <w:t>95%</w:t>
            </w:r>
          </w:p>
        </w:tc>
        <w:tc>
          <w:tcPr>
            <w:tcW w:w="459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质量达标率达100%，则得满分，每低于1%，扣除5%权重分，扣完为止。</w:t>
            </w:r>
          </w:p>
        </w:tc>
        <w:tc>
          <w:tcPr>
            <w:tcW w:w="666"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trPr>
        <w:tc>
          <w:tcPr>
            <w:tcW w:w="722"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vMerge w:val="continue"/>
            <w:tcBorders>
              <w:top w:val="nil"/>
              <w:left w:val="single" w:color="auto" w:sz="4" w:space="0"/>
              <w:bottom w:val="nil"/>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148"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574"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62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314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市级单位行政执法监督覆盖率</w:t>
            </w:r>
          </w:p>
        </w:tc>
        <w:tc>
          <w:tcPr>
            <w:tcW w:w="105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宋体" w:hAnsi="宋体" w:cs="宋体"/>
                <w:color w:val="000000"/>
                <w:kern w:val="0"/>
                <w:sz w:val="22"/>
                <w:szCs w:val="22"/>
              </w:rPr>
              <w:t>≥</w:t>
            </w:r>
            <w:r>
              <w:rPr>
                <w:rFonts w:hint="eastAsia" w:ascii="仿宋_GB2312" w:hAnsi="Tahoma" w:eastAsia="仿宋_GB2312" w:cs="仿宋_GB2312"/>
                <w:color w:val="000000"/>
                <w:kern w:val="0"/>
                <w:sz w:val="22"/>
                <w:szCs w:val="22"/>
              </w:rPr>
              <w:t>90%</w:t>
            </w:r>
          </w:p>
        </w:tc>
        <w:tc>
          <w:tcPr>
            <w:tcW w:w="459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质量达标率达100%，则得满分，每低于1%，扣除5%权重分，扣完为止。</w:t>
            </w:r>
          </w:p>
        </w:tc>
        <w:tc>
          <w:tcPr>
            <w:tcW w:w="666"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70" w:hRule="atLeast"/>
        </w:trPr>
        <w:tc>
          <w:tcPr>
            <w:tcW w:w="722"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产出时效</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（5分）</w:t>
            </w:r>
          </w:p>
        </w:tc>
        <w:tc>
          <w:tcPr>
            <w:tcW w:w="114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完成及时率</w:t>
            </w:r>
          </w:p>
        </w:tc>
        <w:tc>
          <w:tcPr>
            <w:tcW w:w="574"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各项目是否均按照计划、文件批复等相关规定及时完成，用以反映和考核项目产出时效目标的实现程度。多个项目计算完成及时率=及时完成的项目数/计划项目数*100%</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项目完成及时率达100%，则得满分，每低于1%，扣除5%权重分，扣完为止。</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60" w:hRule="atLeast"/>
        </w:trPr>
        <w:tc>
          <w:tcPr>
            <w:tcW w:w="722"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（40分）</w:t>
            </w:r>
          </w:p>
        </w:tc>
        <w:tc>
          <w:tcPr>
            <w:tcW w:w="103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社会效益</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114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社会效益</w:t>
            </w:r>
          </w:p>
        </w:tc>
        <w:tc>
          <w:tcPr>
            <w:tcW w:w="574" w:type="dxa"/>
            <w:tcBorders>
              <w:top w:val="nil"/>
              <w:left w:val="nil"/>
              <w:bottom w:val="nil"/>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29"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25</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保障各项司法行政工作顺利开展，提高法制建设水平，法律服务水平，提高人民群众对司法公正的满意度，全力推进法制政府建设。</w:t>
            </w:r>
          </w:p>
        </w:tc>
        <w:tc>
          <w:tcPr>
            <w:tcW w:w="1055"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总分与产出总分挂钩。如产出总得分率为90%（含）-100%，则项目效益得分按×产出得分率计算；产出得分率80%（含）-90%，则项目效益按80%计算；产出得分率60%（含）-80%，则项目效益按60%计算；产出得分率小于60%，则项目效益不得分。</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25</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50" w:hRule="atLeast"/>
        </w:trPr>
        <w:tc>
          <w:tcPr>
            <w:tcW w:w="722"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可持续</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影响（7分）</w:t>
            </w:r>
          </w:p>
        </w:tc>
        <w:tc>
          <w:tcPr>
            <w:tcW w:w="114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项目发展机制可持续性</w:t>
            </w:r>
          </w:p>
        </w:tc>
        <w:tc>
          <w:tcPr>
            <w:tcW w:w="574"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29"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项目运转是否形成了可持续发展的机制。</w:t>
            </w:r>
          </w:p>
        </w:tc>
        <w:tc>
          <w:tcPr>
            <w:tcW w:w="105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项目运转形成了可持续发展的机制，是指明确管理机构，明确职责、人员分工、管理制度措施则得满分，少一项则扣除25%的权重分。</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5" w:hRule="atLeast"/>
        </w:trPr>
        <w:tc>
          <w:tcPr>
            <w:tcW w:w="722"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满意度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（8分）</w:t>
            </w:r>
          </w:p>
        </w:tc>
        <w:tc>
          <w:tcPr>
            <w:tcW w:w="114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服务对象</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满意度</w:t>
            </w:r>
          </w:p>
        </w:tc>
        <w:tc>
          <w:tcPr>
            <w:tcW w:w="574"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考察服务对象对项目实施效果的满意程度。</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宋体" w:hAnsi="宋体" w:cs="宋体"/>
                <w:color w:val="000000"/>
                <w:kern w:val="0"/>
                <w:sz w:val="22"/>
                <w:szCs w:val="22"/>
              </w:rPr>
              <w:t>≥</w:t>
            </w:r>
            <w:r>
              <w:rPr>
                <w:rFonts w:hint="eastAsia" w:ascii="仿宋_GB2312" w:hAnsi="Tahoma" w:eastAsia="仿宋_GB2312" w:cs="仿宋_GB2312"/>
                <w:color w:val="000000"/>
                <w:kern w:val="0"/>
                <w:sz w:val="22"/>
                <w:szCs w:val="22"/>
              </w:rPr>
              <w:t>80%</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服务对象满意度达≥80%，则得满分，每降低1%，扣除5%权重分。</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480"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合计</w:t>
            </w:r>
          </w:p>
        </w:tc>
        <w:tc>
          <w:tcPr>
            <w:tcW w:w="62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100</w:t>
            </w:r>
          </w:p>
        </w:tc>
        <w:tc>
          <w:tcPr>
            <w:tcW w:w="314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10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45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6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99.1</w:t>
            </w:r>
          </w:p>
        </w:tc>
        <w:tc>
          <w:tcPr>
            <w:tcW w:w="109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99.10%</w:t>
            </w:r>
          </w:p>
        </w:tc>
      </w:tr>
    </w:tbl>
    <w:p>
      <w:pPr>
        <w:spacing w:after="305" w:afterLines="50" w:line="600" w:lineRule="exact"/>
        <w:rPr>
          <w:rFonts w:ascii="方正小标宋简体" w:hAnsi="方正小标宋简体" w:eastAsia="方正小标宋简体" w:cs="方正小标宋简体"/>
          <w:sz w:val="24"/>
        </w:rPr>
        <w:sectPr>
          <w:pgSz w:w="16783" w:h="23757"/>
          <w:pgMar w:top="1701" w:right="1077" w:bottom="1701" w:left="1077" w:header="0" w:footer="1418" w:gutter="0"/>
          <w:cols w:space="720" w:num="1"/>
          <w:docGrid w:type="linesAndChars" w:linePitch="610" w:charSpace="-849"/>
        </w:sectPr>
      </w:pPr>
    </w:p>
    <w:tbl>
      <w:tblPr>
        <w:tblStyle w:val="15"/>
        <w:tblW w:w="14659"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83"/>
        <w:gridCol w:w="981"/>
        <w:gridCol w:w="875"/>
        <w:gridCol w:w="543"/>
        <w:gridCol w:w="596"/>
        <w:gridCol w:w="3468"/>
        <w:gridCol w:w="998"/>
        <w:gridCol w:w="4694"/>
        <w:gridCol w:w="578"/>
        <w:gridCol w:w="12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12838"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Cs w:val="32"/>
              </w:rPr>
            </w:pPr>
            <w:r>
              <w:rPr>
                <w:rFonts w:hint="eastAsia" w:ascii="仿宋_GB2312" w:hAnsi="Tahoma" w:eastAsia="仿宋_GB2312" w:cs="仿宋_GB2312"/>
                <w:b/>
                <w:color w:val="000000"/>
                <w:kern w:val="0"/>
                <w:szCs w:val="32"/>
              </w:rPr>
              <w:t>警用服装费项目支出绩效评价指标体系</w:t>
            </w:r>
          </w:p>
        </w:tc>
        <w:tc>
          <w:tcPr>
            <w:tcW w:w="578"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c>
          <w:tcPr>
            <w:tcW w:w="1243"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7146" w:type="dxa"/>
            <w:gridSpan w:val="6"/>
            <w:tcBorders>
              <w:top w:val="nil"/>
              <w:left w:val="nil"/>
              <w:bottom w:val="single" w:color="auto" w:sz="4" w:space="0"/>
              <w:right w:val="nil"/>
            </w:tcBorders>
            <w:tcMar>
              <w:top w:w="15" w:type="dxa"/>
              <w:left w:w="15" w:type="dxa"/>
              <w:right w:w="15" w:type="dxa"/>
            </w:tcMar>
            <w:vAlign w:val="center"/>
          </w:tcPr>
          <w:p>
            <w:pPr>
              <w:widowControl/>
              <w:jc w:val="left"/>
              <w:textAlignment w:val="center"/>
              <w:rPr>
                <w:rFonts w:ascii="仿宋_GB2312" w:hAnsi="Tahoma" w:eastAsia="仿宋_GB2312" w:cs="仿宋_GB2312"/>
                <w:b/>
                <w:color w:val="000000"/>
                <w:sz w:val="24"/>
              </w:rPr>
            </w:pPr>
            <w:r>
              <w:rPr>
                <w:rFonts w:hint="eastAsia" w:ascii="仿宋_GB2312" w:hAnsi="Tahoma" w:eastAsia="仿宋_GB2312" w:cs="仿宋_GB2312"/>
                <w:b/>
                <w:color w:val="000000"/>
                <w:kern w:val="0"/>
                <w:sz w:val="24"/>
              </w:rPr>
              <w:t>项目单位：青岛市司法局</w:t>
            </w:r>
          </w:p>
        </w:tc>
        <w:tc>
          <w:tcPr>
            <w:tcW w:w="998" w:type="dxa"/>
            <w:tcBorders>
              <w:top w:val="nil"/>
              <w:left w:val="nil"/>
              <w:bottom w:val="nil"/>
              <w:right w:val="nil"/>
            </w:tcBorders>
            <w:tcMar>
              <w:top w:w="15" w:type="dxa"/>
              <w:left w:w="15" w:type="dxa"/>
              <w:right w:w="15" w:type="dxa"/>
            </w:tcMar>
            <w:vAlign w:val="center"/>
          </w:tcPr>
          <w:p>
            <w:pPr>
              <w:jc w:val="center"/>
              <w:rPr>
                <w:rFonts w:ascii="仿宋_GB2312" w:hAnsi="Tahoma" w:eastAsia="仿宋_GB2312" w:cs="仿宋_GB2312"/>
                <w:b/>
                <w:color w:val="000000"/>
                <w:szCs w:val="32"/>
              </w:rPr>
            </w:pPr>
          </w:p>
        </w:tc>
        <w:tc>
          <w:tcPr>
            <w:tcW w:w="4694" w:type="dxa"/>
            <w:tcBorders>
              <w:top w:val="nil"/>
              <w:left w:val="nil"/>
              <w:bottom w:val="nil"/>
              <w:right w:val="nil"/>
            </w:tcBorders>
            <w:tcMar>
              <w:top w:w="15" w:type="dxa"/>
              <w:left w:w="15" w:type="dxa"/>
              <w:right w:w="15" w:type="dxa"/>
            </w:tcMar>
            <w:vAlign w:val="center"/>
          </w:tcPr>
          <w:p>
            <w:pPr>
              <w:jc w:val="center"/>
              <w:rPr>
                <w:rFonts w:ascii="仿宋_GB2312" w:hAnsi="Tahoma" w:eastAsia="仿宋_GB2312" w:cs="仿宋_GB2312"/>
                <w:b/>
                <w:color w:val="000000"/>
                <w:szCs w:val="32"/>
              </w:rPr>
            </w:pPr>
          </w:p>
        </w:tc>
        <w:tc>
          <w:tcPr>
            <w:tcW w:w="578"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c>
          <w:tcPr>
            <w:tcW w:w="1243"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0" w:hRule="atLeast"/>
        </w:trPr>
        <w:tc>
          <w:tcPr>
            <w:tcW w:w="683"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一级</w:t>
            </w:r>
            <w:r>
              <w:rPr>
                <w:rFonts w:hint="eastAsia" w:ascii="仿宋_GB2312" w:hAnsi="Tahoma" w:eastAsia="仿宋_GB2312" w:cs="仿宋_GB2312"/>
                <w:b/>
                <w:color w:val="000000"/>
                <w:kern w:val="0"/>
                <w:sz w:val="22"/>
                <w:szCs w:val="22"/>
              </w:rPr>
              <w:br/>
            </w:r>
            <w:r>
              <w:rPr>
                <w:rFonts w:hint="eastAsia" w:ascii="仿宋_GB2312" w:hAnsi="Tahoma" w:eastAsia="仿宋_GB2312" w:cs="仿宋_GB2312"/>
                <w:b/>
                <w:color w:val="000000"/>
                <w:kern w:val="0"/>
                <w:sz w:val="22"/>
                <w:szCs w:val="22"/>
              </w:rPr>
              <w:t>指标</w:t>
            </w:r>
          </w:p>
        </w:tc>
        <w:tc>
          <w:tcPr>
            <w:tcW w:w="98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二级指标</w:t>
            </w:r>
          </w:p>
        </w:tc>
        <w:tc>
          <w:tcPr>
            <w:tcW w:w="8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三级指标</w:t>
            </w:r>
          </w:p>
        </w:tc>
        <w:tc>
          <w:tcPr>
            <w:tcW w:w="54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四级指标</w:t>
            </w:r>
          </w:p>
        </w:tc>
        <w:tc>
          <w:tcPr>
            <w:tcW w:w="596"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权重</w:t>
            </w:r>
          </w:p>
        </w:tc>
        <w:tc>
          <w:tcPr>
            <w:tcW w:w="3468"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指标解释</w:t>
            </w:r>
          </w:p>
        </w:tc>
        <w:tc>
          <w:tcPr>
            <w:tcW w:w="998"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标杆值</w:t>
            </w:r>
          </w:p>
        </w:tc>
        <w:tc>
          <w:tcPr>
            <w:tcW w:w="4694"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评分标准</w:t>
            </w:r>
          </w:p>
        </w:tc>
        <w:tc>
          <w:tcPr>
            <w:tcW w:w="578"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得分</w:t>
            </w:r>
          </w:p>
        </w:tc>
        <w:tc>
          <w:tcPr>
            <w:tcW w:w="1243"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25" w:hRule="atLeast"/>
        </w:trPr>
        <w:tc>
          <w:tcPr>
            <w:tcW w:w="683"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决策</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（10分）</w:t>
            </w:r>
          </w:p>
        </w:tc>
        <w:tc>
          <w:tcPr>
            <w:tcW w:w="98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项目立项（2分）</w:t>
            </w:r>
          </w:p>
        </w:tc>
        <w:tc>
          <w:tcPr>
            <w:tcW w:w="8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立项依据</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充分性</w:t>
            </w:r>
          </w:p>
        </w:tc>
        <w:tc>
          <w:tcPr>
            <w:tcW w:w="5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59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项目立项是否符合法律法规、相关政策、发展规划以及部门职责，用以反映和考核项目立项依据情况。</w:t>
            </w:r>
          </w:p>
        </w:tc>
        <w:tc>
          <w:tcPr>
            <w:tcW w:w="99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充分</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①项目立项是否符合国家法律法规、国民经济发展规划和相关政策；</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②项目立项是否符合行业发展规划和政策要求；</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③项目立项是否与部门职责范围相符，属于部门履职所需；</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④项目是否属于公共财政支持范围，是否符合中央、地方事权支出责任划分原则；</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⑤项目是否与相关部门同类项目或部门内部相关项目不重复。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5项各占1/5权重分，每有一项不满足，则扣除相应权重分。</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68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立项程序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规范性</w:t>
            </w:r>
          </w:p>
        </w:tc>
        <w:tc>
          <w:tcPr>
            <w:tcW w:w="5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59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项目的申请、设立过程是否符合相关要求，用以反映和考核项目立项的规范情况。</w:t>
            </w:r>
          </w:p>
        </w:tc>
        <w:tc>
          <w:tcPr>
            <w:tcW w:w="99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规范</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①项目按照规定的程序申请设立；</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②所提交的文件、材料符合相关要求；</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③事前已经过必要的可行性研究、专家论证、风险评估、绩效评估、集体决策等。</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若①②③齐全得权重100%；如不符合①得0分；缺②扣权重1/3；缺③扣权重1/3。</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35" w:hRule="atLeast"/>
        </w:trPr>
        <w:tc>
          <w:tcPr>
            <w:tcW w:w="68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绩效目标（4分）</w:t>
            </w:r>
          </w:p>
        </w:tc>
        <w:tc>
          <w:tcPr>
            <w:tcW w:w="8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绩效目标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合理性</w:t>
            </w:r>
          </w:p>
        </w:tc>
        <w:tc>
          <w:tcPr>
            <w:tcW w:w="5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59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项目所设定的绩效目标是否依据充分，是否符合客观实际，用以反映和考核项目绩效目标与项目实施的相符情况。</w:t>
            </w:r>
          </w:p>
        </w:tc>
        <w:tc>
          <w:tcPr>
            <w:tcW w:w="99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合理</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①项目有绩效目标；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②项目绩效目标与实际工作内容具有相关性；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③项目预期产出效益和效果符合正常的业绩水平；</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④绩效目标与预算确定的项目投资额或资金量相匹配。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5" w:hRule="atLeast"/>
        </w:trPr>
        <w:tc>
          <w:tcPr>
            <w:tcW w:w="68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明确性</w:t>
            </w:r>
          </w:p>
        </w:tc>
        <w:tc>
          <w:tcPr>
            <w:tcW w:w="5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59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依据绩效目标设定的绩效指标是否清晰、细化、可衡量等，用以反映和考核项目绩效目标的明细化情况。</w:t>
            </w:r>
          </w:p>
        </w:tc>
        <w:tc>
          <w:tcPr>
            <w:tcW w:w="99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明确</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①将项目绩效目标细化分解为具体的绩效指标；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②指标值清晰、可衡量；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③指标值与项目年度任务数或计划数相对应。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3项各占1/3权重分，每有一项不满足，则扣除相应权重分。</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5" w:hRule="atLeast"/>
        </w:trPr>
        <w:tc>
          <w:tcPr>
            <w:tcW w:w="68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资金投入（4分）</w:t>
            </w:r>
          </w:p>
        </w:tc>
        <w:tc>
          <w:tcPr>
            <w:tcW w:w="8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预算编制</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科学性</w:t>
            </w:r>
          </w:p>
        </w:tc>
        <w:tc>
          <w:tcPr>
            <w:tcW w:w="5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59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项目预算编制是否经过科学论证、有明确标准，资金额度与年度目标是否相适应，用以反映和考核项目预算编制的科学性、合理性情况。</w:t>
            </w:r>
          </w:p>
        </w:tc>
        <w:tc>
          <w:tcPr>
            <w:tcW w:w="99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科学</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①预算编制经过科学论证；</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②预算内容与项目内容匹配；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③预算额度测算依据充分，按照标准编制；</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④预算确定的项目投资额或资金量与工作任务相匹配。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12" w:hRule="atLeast"/>
        </w:trPr>
        <w:tc>
          <w:tcPr>
            <w:tcW w:w="68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资金分配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合理性</w:t>
            </w:r>
          </w:p>
        </w:tc>
        <w:tc>
          <w:tcPr>
            <w:tcW w:w="5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59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考察项目资金分配是否有测算依据，预算安排内容与专项资金的设立目的及年度工作重点是否一致，用以反映和考核项目预算资金分配的科学性、合理性。</w:t>
            </w:r>
          </w:p>
        </w:tc>
        <w:tc>
          <w:tcPr>
            <w:tcW w:w="99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合理</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①项目资金分配有测算依据得1/2权重分；</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②根据预算安排内容与专项资金的设立目的及年度工作重点的匹配程度判断，分别得年度剩余权重的100%、75%、50%、25%和0%。</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70" w:hRule="atLeast"/>
        </w:trPr>
        <w:tc>
          <w:tcPr>
            <w:tcW w:w="683"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过程</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98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资金管理（8分）</w:t>
            </w:r>
          </w:p>
        </w:tc>
        <w:tc>
          <w:tcPr>
            <w:tcW w:w="8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w:t>
            </w:r>
          </w:p>
        </w:tc>
        <w:tc>
          <w:tcPr>
            <w:tcW w:w="5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59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实际到位资金与预算资金的比率，用以反映和考核上年度资金落实情况对项目实施的总体保障程度。资金到位率=（实际到位资金/预算资金）*100%。</w:t>
            </w:r>
          </w:p>
        </w:tc>
        <w:tc>
          <w:tcPr>
            <w:tcW w:w="99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资金到位率达100%得相应权重的100%，每下降1%扣5%权重，扣完相应权重为止。</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68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预算执行率</w:t>
            </w:r>
          </w:p>
        </w:tc>
        <w:tc>
          <w:tcPr>
            <w:tcW w:w="5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59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项目预算资金是否按照计划执行，用以反映或考核项目预算执行情况。预算执行率=（实际支出金额/实际到位资金）×100%。</w:t>
            </w:r>
          </w:p>
        </w:tc>
        <w:tc>
          <w:tcPr>
            <w:tcW w:w="99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①已完成的项目，预算执行率100%得满分，每降低1%扣5%权重分，扣完为止。②实施期项目，预算执行率与项目当年实施进度相匹配，预算执行率与项目实际完成率相比较，每偏离1%扣5%权重，扣完相应权重为止。</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4.2</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0" w:hRule="atLeast"/>
        </w:trPr>
        <w:tc>
          <w:tcPr>
            <w:tcW w:w="68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资金使用</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合规性</w:t>
            </w:r>
          </w:p>
        </w:tc>
        <w:tc>
          <w:tcPr>
            <w:tcW w:w="5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59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项目资金使用是否符合相关的财务管理制度规定，用以反映和考核项目资金的规范运行情况。</w:t>
            </w:r>
          </w:p>
        </w:tc>
        <w:tc>
          <w:tcPr>
            <w:tcW w:w="99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合规</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①符合国家财经法规和财务管理制度以及有关专项资金管理办法的规定；</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②资金的拨付有完整的审批程序和手续；</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③符合项目预算批复或合同规定的用途；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④不存在截留、挤占、挪用、虚列支出等情况。</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4项全部符合视为使用合规，得满分；存在①或③或④不满足时属于严重违规事项，本项指标不得分；在①③④同时符合，②不符合时，本项指标得75%权重分；</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55" w:hRule="atLeast"/>
        </w:trPr>
        <w:tc>
          <w:tcPr>
            <w:tcW w:w="68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组织实施（17分）</w:t>
            </w:r>
            <w:r>
              <w:rPr>
                <w:rFonts w:ascii="Arial" w:hAnsi="Arial" w:eastAsia="仿宋_GB2312" w:cs="Arial"/>
                <w:color w:val="000000"/>
                <w:kern w:val="0"/>
                <w:sz w:val="22"/>
                <w:szCs w:val="22"/>
              </w:rPr>
              <w:t> </w:t>
            </w:r>
          </w:p>
        </w:tc>
        <w:tc>
          <w:tcPr>
            <w:tcW w:w="8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xml:space="preserve"> 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健全性</w:t>
            </w:r>
          </w:p>
        </w:tc>
        <w:tc>
          <w:tcPr>
            <w:tcW w:w="5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59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项目实施单位的管理制度是否健全，是否已制定或具有相应的财务和业务管理制度，财务和业务管理制度是否合法、合规、完整。用以反映和考核财务和业务管理制度对项目顺利实施的保障情况。</w:t>
            </w:r>
          </w:p>
        </w:tc>
        <w:tc>
          <w:tcPr>
            <w:tcW w:w="99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健全</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①制定或具有相应的财务管理制度；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②制定或具有相应的业务管理制度；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③财务管理制度合法、合规、完整；</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④业务管理制度合法、合规、完整。</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4项各占1/4权重分，每有一项不满足，则扣除相应权重分。（需根据实际情况细化制度和修改权重比）</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55" w:hRule="atLeast"/>
        </w:trPr>
        <w:tc>
          <w:tcPr>
            <w:tcW w:w="68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绩效管理有效性</w:t>
            </w:r>
          </w:p>
        </w:tc>
        <w:tc>
          <w:tcPr>
            <w:tcW w:w="5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59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上年度绩效评价结果应用于预算安排、政策调整和改进管理情况、本次自评和评价资料报送情况。</w:t>
            </w:r>
          </w:p>
        </w:tc>
        <w:tc>
          <w:tcPr>
            <w:tcW w:w="99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有效</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①本次自评、部门评价资料报送及时性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②本次自评、部门评价资料完整性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③上年度评价结果应用情况</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3项各占1/3权重分，每有一项不满足，则扣除相应权重分。（需根据实际情况细化制度和修改权重比）</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18" w:hRule="atLeast"/>
        </w:trPr>
        <w:tc>
          <w:tcPr>
            <w:tcW w:w="68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制度执行</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有效性</w:t>
            </w:r>
          </w:p>
        </w:tc>
        <w:tc>
          <w:tcPr>
            <w:tcW w:w="5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59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项目实施是否符合相关管理规定，用以反映和考核相关管理制度的有效执行情况。</w:t>
            </w:r>
          </w:p>
        </w:tc>
        <w:tc>
          <w:tcPr>
            <w:tcW w:w="99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有效</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①遵守相关法律法规和相关管理规定；</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②项目调整及支出调整手续完备；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③项目合同书、验收报告、技术鉴定等资料齐全并及时归档；</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④项目实施的人员条件、场地设备、信息支撑等落实到位。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4项各占1/4权重分，每有一项不满足，则扣除相应权重分。（需根据实际情况细化制度和修改权重比）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一票否决事项：在巡视巡查、监督检查、审计等工作中发现评价期项目存在问题，本项不得分。</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50" w:hRule="atLeast"/>
        </w:trPr>
        <w:tc>
          <w:tcPr>
            <w:tcW w:w="683"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981"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产出数量（4分）</w:t>
            </w:r>
          </w:p>
        </w:tc>
        <w:tc>
          <w:tcPr>
            <w:tcW w:w="875" w:type="dxa"/>
            <w:tcBorders>
              <w:top w:val="nil"/>
              <w:left w:val="nil"/>
              <w:bottom w:val="nil"/>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实际完成率</w:t>
            </w:r>
          </w:p>
        </w:tc>
        <w:tc>
          <w:tcPr>
            <w:tcW w:w="543"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59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警用被服采购数量</w:t>
            </w:r>
          </w:p>
        </w:tc>
        <w:tc>
          <w:tcPr>
            <w:tcW w:w="99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  10000 件（套）</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实际完成率达100%，则得满分，每低于1%，扣除5%权重分，扣完为止。实际产出数偏离计划产出数30%及以上，计算得分后再加扣5分。</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xml:space="preserve">13685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683"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vMerge w:val="restart"/>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产出质量（16分）</w:t>
            </w:r>
          </w:p>
        </w:tc>
        <w:tc>
          <w:tcPr>
            <w:tcW w:w="875" w:type="dxa"/>
            <w:vMerge w:val="restart"/>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w:t>
            </w:r>
          </w:p>
        </w:tc>
        <w:tc>
          <w:tcPr>
            <w:tcW w:w="543" w:type="dxa"/>
            <w:vMerge w:val="restart"/>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59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346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警用被装产品政府采购率</w:t>
            </w:r>
          </w:p>
        </w:tc>
        <w:tc>
          <w:tcPr>
            <w:tcW w:w="99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95 %</w:t>
            </w:r>
          </w:p>
        </w:tc>
        <w:tc>
          <w:tcPr>
            <w:tcW w:w="469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质量达标率达100%，则得满分，每低于1%，扣除5%权重分，扣完为止。</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683"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vMerge w:val="continue"/>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75" w:type="dxa"/>
            <w:vMerge w:val="continue"/>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543" w:type="dxa"/>
            <w:vMerge w:val="continue"/>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59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346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警用被装产品合格率</w:t>
            </w:r>
          </w:p>
        </w:tc>
        <w:tc>
          <w:tcPr>
            <w:tcW w:w="998" w:type="dxa"/>
            <w:tcBorders>
              <w:top w:val="nil"/>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95 %</w:t>
            </w:r>
          </w:p>
        </w:tc>
        <w:tc>
          <w:tcPr>
            <w:tcW w:w="469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质量达标率达100%，则得满分，每低于1%，扣除5%权重分，扣完为止。</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683"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vMerge w:val="continue"/>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75" w:type="dxa"/>
            <w:vMerge w:val="continue"/>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543" w:type="dxa"/>
            <w:vMerge w:val="continue"/>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59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346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当年警服采购完成率</w:t>
            </w:r>
          </w:p>
        </w:tc>
        <w:tc>
          <w:tcPr>
            <w:tcW w:w="998" w:type="dxa"/>
            <w:tcBorders>
              <w:top w:val="single" w:color="auto" w:sz="4" w:space="0"/>
              <w:left w:val="nil"/>
              <w:bottom w:val="nil"/>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469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质量达标率达100%，则得满分，每低于1%，扣除5%权重分，扣完为止。</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683"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vMerge w:val="continue"/>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75" w:type="dxa"/>
            <w:vMerge w:val="continue"/>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543" w:type="dxa"/>
            <w:vMerge w:val="continue"/>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59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346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警用被装按标准配备率</w:t>
            </w:r>
          </w:p>
        </w:tc>
        <w:tc>
          <w:tcPr>
            <w:tcW w:w="99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4694"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质量达标率达100%，则得满分，每低于1%，扣除5%权重分，扣完为止。</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95" w:hRule="atLeast"/>
        </w:trPr>
        <w:tc>
          <w:tcPr>
            <w:tcW w:w="68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产出时效</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（5分）</w:t>
            </w:r>
          </w:p>
        </w:tc>
        <w:tc>
          <w:tcPr>
            <w:tcW w:w="8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完成及时率</w:t>
            </w:r>
          </w:p>
        </w:tc>
        <w:tc>
          <w:tcPr>
            <w:tcW w:w="543"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59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各项目是否均按照计划、文件批复等相关规定及时完成，用以反映和考核项目产出时效目标的实现程度多个项目计算完成及时率=及时完成的项目数/计划项目数*100%</w:t>
            </w:r>
          </w:p>
        </w:tc>
        <w:tc>
          <w:tcPr>
            <w:tcW w:w="99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项目完成及时率达100%，则得满分，每低于1%，扣除5%权重分，扣完为止。</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5" w:hRule="atLeast"/>
        </w:trPr>
        <w:tc>
          <w:tcPr>
            <w:tcW w:w="683"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（40分）</w:t>
            </w:r>
          </w:p>
        </w:tc>
        <w:tc>
          <w:tcPr>
            <w:tcW w:w="98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社会效益</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8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社会效益</w:t>
            </w:r>
          </w:p>
        </w:tc>
        <w:tc>
          <w:tcPr>
            <w:tcW w:w="543" w:type="dxa"/>
            <w:tcBorders>
              <w:top w:val="nil"/>
              <w:left w:val="nil"/>
              <w:bottom w:val="nil"/>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596"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25</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加强了司法队伍正规化建设，规范了司法机关人民警察着装管理，树立了人民警察良好形象。</w:t>
            </w:r>
          </w:p>
        </w:tc>
        <w:tc>
          <w:tcPr>
            <w:tcW w:w="998"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总分与产出总分挂钩。如产出总得分率为90%（含）-100%，则项目效益得分按×产出得分率计算；产出得分率80%（含）-90%，则项目效益按80%计算；产出得分率60%（含）-80%，则项目效益按60%计算；产出得分率小于60%，则项目效益不得分。</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25</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90" w:hRule="atLeast"/>
        </w:trPr>
        <w:tc>
          <w:tcPr>
            <w:tcW w:w="68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tcBorders>
              <w:top w:val="nil"/>
              <w:left w:val="nil"/>
              <w:bottom w:val="nil"/>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可持续</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影响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（7分）</w:t>
            </w:r>
          </w:p>
        </w:tc>
        <w:tc>
          <w:tcPr>
            <w:tcW w:w="8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项目发展机制可持续性</w:t>
            </w:r>
          </w:p>
        </w:tc>
        <w:tc>
          <w:tcPr>
            <w:tcW w:w="543"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59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考察项目运转是否形成了可持续发展的机制。</w:t>
            </w:r>
          </w:p>
        </w:tc>
        <w:tc>
          <w:tcPr>
            <w:tcW w:w="998"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项目运转形成了可持续发展的机制，是指明确管理机构，明确职责、人员分工、管理制度措施则得满分，少一项则扣除25%的权重分。</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25" w:hRule="atLeast"/>
        </w:trPr>
        <w:tc>
          <w:tcPr>
            <w:tcW w:w="68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81"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满意度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（8分）</w:t>
            </w:r>
          </w:p>
        </w:tc>
        <w:tc>
          <w:tcPr>
            <w:tcW w:w="8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被服使用人</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满意度</w:t>
            </w:r>
          </w:p>
        </w:tc>
        <w:tc>
          <w:tcPr>
            <w:tcW w:w="543"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59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考察被服使用人对项目实施效果的满意程度。</w:t>
            </w:r>
          </w:p>
        </w:tc>
        <w:tc>
          <w:tcPr>
            <w:tcW w:w="99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宋体" w:hAnsi="宋体" w:cs="宋体"/>
                <w:color w:val="000000"/>
                <w:kern w:val="0"/>
                <w:sz w:val="22"/>
                <w:szCs w:val="22"/>
              </w:rPr>
              <w:t>≥</w:t>
            </w:r>
            <w:r>
              <w:rPr>
                <w:rFonts w:hint="eastAsia" w:ascii="仿宋_GB2312" w:hAnsi="Tahoma" w:eastAsia="仿宋_GB2312" w:cs="仿宋_GB2312"/>
                <w:color w:val="000000"/>
                <w:kern w:val="0"/>
                <w:sz w:val="22"/>
                <w:szCs w:val="22"/>
              </w:rPr>
              <w:t>95%</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被服使用人满意度达95%，则得满分，每降低1%，扣除5%权重分。（b根据历史数据、绩效目标、考核目标等确定，通常不低于80%，若低于则需作出说明；若项目存在潜在受益服务对象，应同时对其进行满意度打分。）</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082"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合计</w:t>
            </w:r>
          </w:p>
        </w:tc>
        <w:tc>
          <w:tcPr>
            <w:tcW w:w="59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100</w:t>
            </w:r>
          </w:p>
        </w:tc>
        <w:tc>
          <w:tcPr>
            <w:tcW w:w="346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99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469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5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99.2</w:t>
            </w:r>
          </w:p>
        </w:tc>
        <w:tc>
          <w:tcPr>
            <w:tcW w:w="12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99.20%</w:t>
            </w:r>
          </w:p>
        </w:tc>
      </w:tr>
    </w:tbl>
    <w:p>
      <w:pPr>
        <w:spacing w:after="305" w:afterLines="50" w:line="600" w:lineRule="exact"/>
        <w:rPr>
          <w:rFonts w:ascii="方正小标宋简体" w:hAnsi="方正小标宋简体" w:eastAsia="方正小标宋简体" w:cs="方正小标宋简体"/>
          <w:sz w:val="24"/>
        </w:rPr>
        <w:sectPr>
          <w:pgSz w:w="16783" w:h="23757"/>
          <w:pgMar w:top="1701" w:right="1077" w:bottom="1701" w:left="1077" w:header="0" w:footer="1418" w:gutter="0"/>
          <w:cols w:space="720" w:num="1"/>
          <w:docGrid w:type="linesAndChars" w:linePitch="610" w:charSpace="-849"/>
        </w:sectPr>
      </w:pPr>
    </w:p>
    <w:tbl>
      <w:tblPr>
        <w:tblStyle w:val="15"/>
        <w:tblW w:w="14659"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1"/>
        <w:gridCol w:w="1021"/>
        <w:gridCol w:w="912"/>
        <w:gridCol w:w="565"/>
        <w:gridCol w:w="620"/>
        <w:gridCol w:w="4230"/>
        <w:gridCol w:w="1732"/>
        <w:gridCol w:w="3482"/>
        <w:gridCol w:w="420"/>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13273"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Cs w:val="32"/>
              </w:rPr>
            </w:pPr>
            <w:r>
              <w:rPr>
                <w:rFonts w:hint="eastAsia" w:ascii="仿宋_GB2312" w:hAnsi="Tahoma" w:eastAsia="仿宋_GB2312" w:cs="仿宋_GB2312"/>
                <w:b/>
                <w:color w:val="000000"/>
                <w:kern w:val="0"/>
                <w:szCs w:val="32"/>
              </w:rPr>
              <w:t>法律职业资格考试费项目支出绩效评价指标体系</w:t>
            </w:r>
          </w:p>
        </w:tc>
        <w:tc>
          <w:tcPr>
            <w:tcW w:w="420"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c>
          <w:tcPr>
            <w:tcW w:w="966"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059" w:type="dxa"/>
            <w:gridSpan w:val="6"/>
            <w:tcBorders>
              <w:top w:val="nil"/>
              <w:left w:val="nil"/>
              <w:bottom w:val="single" w:color="auto" w:sz="4" w:space="0"/>
              <w:right w:val="nil"/>
            </w:tcBorders>
            <w:tcMar>
              <w:top w:w="15" w:type="dxa"/>
              <w:left w:w="15" w:type="dxa"/>
              <w:right w:w="15" w:type="dxa"/>
            </w:tcMar>
            <w:vAlign w:val="center"/>
          </w:tcPr>
          <w:p>
            <w:pPr>
              <w:widowControl/>
              <w:jc w:val="left"/>
              <w:textAlignment w:val="center"/>
              <w:rPr>
                <w:rFonts w:ascii="仿宋_GB2312" w:hAnsi="Tahoma" w:eastAsia="仿宋_GB2312" w:cs="仿宋_GB2312"/>
                <w:b/>
                <w:color w:val="000000"/>
                <w:sz w:val="24"/>
              </w:rPr>
            </w:pPr>
            <w:r>
              <w:rPr>
                <w:rFonts w:hint="eastAsia" w:ascii="仿宋_GB2312" w:hAnsi="Tahoma" w:eastAsia="仿宋_GB2312" w:cs="仿宋_GB2312"/>
                <w:b/>
                <w:color w:val="000000"/>
                <w:kern w:val="0"/>
                <w:sz w:val="24"/>
              </w:rPr>
              <w:t>项目单位：青岛市司法局</w:t>
            </w:r>
          </w:p>
        </w:tc>
        <w:tc>
          <w:tcPr>
            <w:tcW w:w="1732" w:type="dxa"/>
            <w:tcBorders>
              <w:top w:val="nil"/>
              <w:left w:val="nil"/>
              <w:bottom w:val="nil"/>
              <w:right w:val="nil"/>
            </w:tcBorders>
            <w:tcMar>
              <w:top w:w="15" w:type="dxa"/>
              <w:left w:w="15" w:type="dxa"/>
              <w:right w:w="15" w:type="dxa"/>
            </w:tcMar>
            <w:vAlign w:val="center"/>
          </w:tcPr>
          <w:p>
            <w:pPr>
              <w:jc w:val="center"/>
              <w:rPr>
                <w:rFonts w:ascii="仿宋_GB2312" w:hAnsi="Tahoma" w:eastAsia="仿宋_GB2312" w:cs="仿宋_GB2312"/>
                <w:b/>
                <w:color w:val="000000"/>
                <w:szCs w:val="32"/>
              </w:rPr>
            </w:pPr>
          </w:p>
        </w:tc>
        <w:tc>
          <w:tcPr>
            <w:tcW w:w="3482" w:type="dxa"/>
            <w:tcBorders>
              <w:top w:val="nil"/>
              <w:left w:val="nil"/>
              <w:bottom w:val="nil"/>
              <w:right w:val="nil"/>
            </w:tcBorders>
            <w:tcMar>
              <w:top w:w="15" w:type="dxa"/>
              <w:left w:w="15" w:type="dxa"/>
              <w:right w:w="15" w:type="dxa"/>
            </w:tcMar>
            <w:vAlign w:val="center"/>
          </w:tcPr>
          <w:p>
            <w:pPr>
              <w:jc w:val="center"/>
              <w:rPr>
                <w:rFonts w:ascii="仿宋_GB2312" w:hAnsi="Tahoma" w:eastAsia="仿宋_GB2312" w:cs="仿宋_GB2312"/>
                <w:b/>
                <w:color w:val="000000"/>
                <w:szCs w:val="32"/>
              </w:rPr>
            </w:pPr>
          </w:p>
        </w:tc>
        <w:tc>
          <w:tcPr>
            <w:tcW w:w="420"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c>
          <w:tcPr>
            <w:tcW w:w="966"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0" w:hRule="atLeast"/>
        </w:trPr>
        <w:tc>
          <w:tcPr>
            <w:tcW w:w="711"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一级</w:t>
            </w:r>
            <w:r>
              <w:rPr>
                <w:rFonts w:hint="eastAsia" w:ascii="仿宋_GB2312" w:hAnsi="Tahoma" w:eastAsia="仿宋_GB2312" w:cs="仿宋_GB2312"/>
                <w:b/>
                <w:color w:val="000000"/>
                <w:kern w:val="0"/>
                <w:sz w:val="22"/>
                <w:szCs w:val="22"/>
              </w:rPr>
              <w:br/>
            </w:r>
            <w:r>
              <w:rPr>
                <w:rFonts w:hint="eastAsia" w:ascii="仿宋_GB2312" w:hAnsi="Tahoma" w:eastAsia="仿宋_GB2312" w:cs="仿宋_GB2312"/>
                <w:b/>
                <w:color w:val="000000"/>
                <w:kern w:val="0"/>
                <w:sz w:val="22"/>
                <w:szCs w:val="22"/>
              </w:rPr>
              <w:t>指标</w:t>
            </w:r>
          </w:p>
        </w:tc>
        <w:tc>
          <w:tcPr>
            <w:tcW w:w="102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二级指标</w:t>
            </w:r>
          </w:p>
        </w:tc>
        <w:tc>
          <w:tcPr>
            <w:tcW w:w="912"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三级指标</w:t>
            </w:r>
          </w:p>
        </w:tc>
        <w:tc>
          <w:tcPr>
            <w:tcW w:w="56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四级指标</w:t>
            </w:r>
          </w:p>
        </w:tc>
        <w:tc>
          <w:tcPr>
            <w:tcW w:w="62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权重</w:t>
            </w:r>
          </w:p>
        </w:tc>
        <w:tc>
          <w:tcPr>
            <w:tcW w:w="423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指标解释</w:t>
            </w:r>
          </w:p>
        </w:tc>
        <w:tc>
          <w:tcPr>
            <w:tcW w:w="1732"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标杆值</w:t>
            </w:r>
          </w:p>
        </w:tc>
        <w:tc>
          <w:tcPr>
            <w:tcW w:w="3482"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评分标准</w:t>
            </w:r>
          </w:p>
        </w:tc>
        <w:tc>
          <w:tcPr>
            <w:tcW w:w="42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得分</w:t>
            </w:r>
          </w:p>
        </w:tc>
        <w:tc>
          <w:tcPr>
            <w:tcW w:w="96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0" w:hRule="atLeast"/>
        </w:trPr>
        <w:tc>
          <w:tcPr>
            <w:tcW w:w="71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决策</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（10分）</w:t>
            </w:r>
          </w:p>
        </w:tc>
        <w:tc>
          <w:tcPr>
            <w:tcW w:w="102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项目立项（2分）</w:t>
            </w: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立项依据</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充分性</w:t>
            </w:r>
          </w:p>
        </w:tc>
        <w:tc>
          <w:tcPr>
            <w:tcW w:w="5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项目立项是否符合法律法规、相关政策、发展规划以及部门职责，用以反映和考核项目立项依据情况。</w:t>
            </w:r>
          </w:p>
        </w:tc>
        <w:tc>
          <w:tcPr>
            <w:tcW w:w="173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充分</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①项目立项是否符合国家法律法规、国民经济发展规划和相关政策；</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②项目立项是否符合行业发展规划和政策要求；</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③项目立项是否与部门职责范围相符，属于部门履职所需；</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④项目是否属于公共财政支持范围，是否符合中央、地方事权支出责任划分原则；</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⑤项目是否与相关部门同类项目或部门内部相关项目不重复。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5项各占1/5权重分，每有一项不满足，则扣除相应权重分。</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1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2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立项程序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规范性</w:t>
            </w:r>
          </w:p>
        </w:tc>
        <w:tc>
          <w:tcPr>
            <w:tcW w:w="5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项目的申请、设立过程是否符合相关要求，用以反映和考核项目立项的规范情况。</w:t>
            </w:r>
          </w:p>
        </w:tc>
        <w:tc>
          <w:tcPr>
            <w:tcW w:w="173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规范</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①项目按照规定的程序申请设立；</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②所提交的文件、材料符合相关要求；</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③事前已经过必要的可行性研究、专家论证、风险评估、绩效评估、集体决策等。</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若①②③齐全得权重100%；如不符合①得0分；缺②扣权重1/3；缺③扣权重1/3。</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35" w:hRule="atLeast"/>
        </w:trPr>
        <w:tc>
          <w:tcPr>
            <w:tcW w:w="71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2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绩效目标（4分）</w:t>
            </w: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绩效目标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合理性</w:t>
            </w:r>
          </w:p>
        </w:tc>
        <w:tc>
          <w:tcPr>
            <w:tcW w:w="5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项目所设定的绩效目标是否依据充分，是否符合客观实际，用以反映和考核项目绩效目标与项目实施的相符情况。</w:t>
            </w:r>
          </w:p>
        </w:tc>
        <w:tc>
          <w:tcPr>
            <w:tcW w:w="173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合理</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①项目有绩效目标；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②项目绩效目标与实际工作内容具有相关性；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③项目预期产出效益和效果符合正常的业绩水平；</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④绩效目标与预算确定的项目投资额或资金量相匹配。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5" w:hRule="atLeast"/>
        </w:trPr>
        <w:tc>
          <w:tcPr>
            <w:tcW w:w="71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2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明确性</w:t>
            </w:r>
          </w:p>
        </w:tc>
        <w:tc>
          <w:tcPr>
            <w:tcW w:w="5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依据绩效目标设定的绩效指标是否清晰、细化、可衡量等，用以反映和考核项目绩效目标的明细化情况。</w:t>
            </w:r>
          </w:p>
        </w:tc>
        <w:tc>
          <w:tcPr>
            <w:tcW w:w="173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明确</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①将项目绩效目标细化分解为具体的绩效指标；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②指标值清晰、可衡量；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③指标值与项目年度任务数或计划数相对应。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3项各占1/3权重分，每有一项不满足，则扣除相应权重分。</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70" w:hRule="atLeast"/>
        </w:trPr>
        <w:tc>
          <w:tcPr>
            <w:tcW w:w="71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2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资金投入（4分）</w:t>
            </w: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预算编制</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科学性</w:t>
            </w:r>
          </w:p>
        </w:tc>
        <w:tc>
          <w:tcPr>
            <w:tcW w:w="5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项目预算编制是否经过科学论证、有明确标准，资金额度与年度目标是否相适应，用以反映和考核项目预算编制的科学性、合理性情况。</w:t>
            </w:r>
          </w:p>
        </w:tc>
        <w:tc>
          <w:tcPr>
            <w:tcW w:w="173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科学</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①预算编制经过科学论证；</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②预算内容与项目内容匹配；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③预算额度测算依据充分，按照标准编制；</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④预算确定的项目投资额或资金量与工作任务相匹配。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35" w:hRule="atLeast"/>
        </w:trPr>
        <w:tc>
          <w:tcPr>
            <w:tcW w:w="71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2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资金分配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合理性</w:t>
            </w:r>
          </w:p>
        </w:tc>
        <w:tc>
          <w:tcPr>
            <w:tcW w:w="5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考察项目资金分配是否有测算依据，预算安排内容与专项资金的设立目的及年度工作重点是否一致，用以反映和考核项目预算资金分配的科学性、合理性。</w:t>
            </w:r>
          </w:p>
        </w:tc>
        <w:tc>
          <w:tcPr>
            <w:tcW w:w="173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合理</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①项目资金分配有测算依据得1/2权重分；</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②根据预算安排内容与专项资金的设立目的及年度工作重点的匹配程度判断，分别得年度剩余权重的100%、75%、50%、25%和0%。</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60" w:hRule="atLeast"/>
        </w:trPr>
        <w:tc>
          <w:tcPr>
            <w:tcW w:w="71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过程</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102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资金管理（8分）</w:t>
            </w: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w:t>
            </w:r>
          </w:p>
        </w:tc>
        <w:tc>
          <w:tcPr>
            <w:tcW w:w="5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实际到位资金与预算资金的比率，用以反映和考核上年度资金落实情况对项目实施的总体保障程度。资金到位率=（实际到位资金/预算资金）*100%。</w:t>
            </w:r>
          </w:p>
        </w:tc>
        <w:tc>
          <w:tcPr>
            <w:tcW w:w="173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资金到位率达100%得相应权重的100%，每下降1%扣5%权重，扣完相应权重为止。</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1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2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预算执行率</w:t>
            </w:r>
          </w:p>
        </w:tc>
        <w:tc>
          <w:tcPr>
            <w:tcW w:w="5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项目预算资金是否按照计划执行，用以反映或考核项目预算执行情况。预算执行率=（实际支出金额/实际到位资金）×100%。</w:t>
            </w:r>
          </w:p>
        </w:tc>
        <w:tc>
          <w:tcPr>
            <w:tcW w:w="173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①已完成的项目，预算执行率100%得满分，每降低1%扣5%权重分，扣完为止。②实施期项目，预算执行率与项目当年实施进度相匹配，预算执行率与项目实际完成率相比较，每偏离1%扣5%权重，扣完相应权重为止。</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0" w:hRule="atLeast"/>
        </w:trPr>
        <w:tc>
          <w:tcPr>
            <w:tcW w:w="71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2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资金使用</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合规性</w:t>
            </w:r>
          </w:p>
        </w:tc>
        <w:tc>
          <w:tcPr>
            <w:tcW w:w="5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项目资金使用是否符合相关的财务管理制度规定，用以反映和考核项目资金的规范运行情况。</w:t>
            </w:r>
          </w:p>
        </w:tc>
        <w:tc>
          <w:tcPr>
            <w:tcW w:w="173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合规</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①符合国家财经法规和财务管理制度以及有关专项资金管理办法的规定；</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②资金的拨付有完整的审批程序和手续；</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③符合项目预算批复或合同规定的用途；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④不存在截留、挤占、挪用、虚列支出等情况。</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4项全部符合视为使用合规，得满分；存在①或③或④不满足时属于严重违规事项，本项指标不得分；在①③④同时符合，②不符合时，本项指标得75%权重分；</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55" w:hRule="atLeast"/>
        </w:trPr>
        <w:tc>
          <w:tcPr>
            <w:tcW w:w="71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2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组织实施（17分）</w:t>
            </w:r>
            <w:r>
              <w:rPr>
                <w:rFonts w:ascii="Arial" w:hAnsi="Arial" w:eastAsia="仿宋_GB2312" w:cs="Arial"/>
                <w:color w:val="000000"/>
                <w:kern w:val="0"/>
                <w:sz w:val="22"/>
                <w:szCs w:val="22"/>
              </w:rPr>
              <w:t> </w:t>
            </w: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xml:space="preserve"> 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健全性</w:t>
            </w:r>
          </w:p>
        </w:tc>
        <w:tc>
          <w:tcPr>
            <w:tcW w:w="5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项目实施单位的管理制度是否健全，是否已制定或具有相应的财务和业务管理制度，财务和业务管理制度是否合法、合规、完整。用以反映和考核财务和业务管理制度对项目顺利实施的保障情况。</w:t>
            </w:r>
          </w:p>
        </w:tc>
        <w:tc>
          <w:tcPr>
            <w:tcW w:w="173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健全</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①制定或具有相应的财务管理制度；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②制定或具有相应的业务管理制度；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③财务管理制度合法、合规、完整；</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④业务管理制度合法、合规、完整。</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4项各占1/4权重分，每有一项不满足，则扣除相应权重分。（需根据实际情况细化制度和修改权重比）</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55" w:hRule="atLeast"/>
        </w:trPr>
        <w:tc>
          <w:tcPr>
            <w:tcW w:w="71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2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绩效管理有效性</w:t>
            </w:r>
          </w:p>
        </w:tc>
        <w:tc>
          <w:tcPr>
            <w:tcW w:w="5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上年度绩效评价结果应用于预算安排、政策调整和改进管理情况、本次自评和评价资料报送情况。</w:t>
            </w:r>
          </w:p>
        </w:tc>
        <w:tc>
          <w:tcPr>
            <w:tcW w:w="173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有效</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①本次自评、部门评价资料报送及时性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②本次自评、部门评价资料完整性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③上年度评价结果应用情况</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3项各占1/3权重分，每有一项不满足，则扣除相应权重分。（需根据实际情况细化制度和修改权重比）</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18" w:hRule="atLeast"/>
        </w:trPr>
        <w:tc>
          <w:tcPr>
            <w:tcW w:w="71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2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制度执行</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有效性</w:t>
            </w:r>
          </w:p>
        </w:tc>
        <w:tc>
          <w:tcPr>
            <w:tcW w:w="56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项目实施是否符合相关管理规定，用以反映和考核相关管理制度的有效执行情况。</w:t>
            </w:r>
          </w:p>
        </w:tc>
        <w:tc>
          <w:tcPr>
            <w:tcW w:w="173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有效</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①遵守相关法律法规和相关管理规定；</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②项目调整及支出调整手续完备；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③项目合同书、验收报告、技术鉴定等资料齐全并及时归档；</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④项目实施的人员条件、场地设备、信息支撑等落实到位。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4项各占1/4权重分，每有一项不满足，则扣除相应权重分。（需根据实际情况细化制度和修改权重比）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一票否决事项：在巡视巡查、监督检查、审计等工作中发现评价期项目存在问题，本项不得分。</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55" w:hRule="atLeast"/>
        </w:trPr>
        <w:tc>
          <w:tcPr>
            <w:tcW w:w="71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1021"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产出数量（5分）</w:t>
            </w: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实际完成率</w:t>
            </w:r>
          </w:p>
        </w:tc>
        <w:tc>
          <w:tcPr>
            <w:tcW w:w="565"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主客观题考试人数</w:t>
            </w:r>
          </w:p>
        </w:tc>
        <w:tc>
          <w:tcPr>
            <w:tcW w:w="1732"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6000 人</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项目完成及时率达100%，则得满分，每低于1%，扣除5%权重分，扣完为止。</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0" w:hRule="atLeast"/>
        </w:trPr>
        <w:tc>
          <w:tcPr>
            <w:tcW w:w="71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21"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产出质量（5分）</w:t>
            </w: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w:t>
            </w:r>
          </w:p>
        </w:tc>
        <w:tc>
          <w:tcPr>
            <w:tcW w:w="565" w:type="dxa"/>
            <w:tcBorders>
              <w:top w:val="single" w:color="auto" w:sz="4" w:space="0"/>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考生机位准备率</w:t>
            </w:r>
          </w:p>
        </w:tc>
        <w:tc>
          <w:tcPr>
            <w:tcW w:w="173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质量达标率达100%，则得满分，每低于1%，扣除5%权重分，扣完为止。</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5" w:hRule="atLeast"/>
        </w:trPr>
        <w:tc>
          <w:tcPr>
            <w:tcW w:w="711"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产出时效</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（5分）</w:t>
            </w:r>
          </w:p>
        </w:tc>
        <w:tc>
          <w:tcPr>
            <w:tcW w:w="91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完成及时率</w:t>
            </w:r>
          </w:p>
        </w:tc>
        <w:tc>
          <w:tcPr>
            <w:tcW w:w="56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2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42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十月下旬客观题考试，十一月下旬主观题考试</w:t>
            </w:r>
          </w:p>
        </w:tc>
        <w:tc>
          <w:tcPr>
            <w:tcW w:w="17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3天</w:t>
            </w:r>
          </w:p>
        </w:tc>
        <w:tc>
          <w:tcPr>
            <w:tcW w:w="3482"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项目完成及时率达100%，则得满分，每低于1%，扣除5%权重分，扣完为止。</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0" w:hRule="atLeast"/>
        </w:trPr>
        <w:tc>
          <w:tcPr>
            <w:tcW w:w="711"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产出成本</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（5分）</w:t>
            </w:r>
          </w:p>
        </w:tc>
        <w:tc>
          <w:tcPr>
            <w:tcW w:w="91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成本节约率</w:t>
            </w:r>
          </w:p>
        </w:tc>
        <w:tc>
          <w:tcPr>
            <w:tcW w:w="56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2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42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考试单人成本控制</w:t>
            </w:r>
          </w:p>
        </w:tc>
        <w:tc>
          <w:tcPr>
            <w:tcW w:w="17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xml:space="preserve"> ≤   20 元/人</w:t>
            </w:r>
          </w:p>
        </w:tc>
        <w:tc>
          <w:tcPr>
            <w:tcW w:w="3482"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成本节约率大于0%且低于15%，则得满分，每高于（15%）或低于（0%）1%，扣除5%权重分，扣完为止。</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0</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80" w:hRule="atLeast"/>
        </w:trPr>
        <w:tc>
          <w:tcPr>
            <w:tcW w:w="71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（40分）</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社会效益</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社会效益</w:t>
            </w:r>
          </w:p>
        </w:tc>
        <w:tc>
          <w:tcPr>
            <w:tcW w:w="565" w:type="dxa"/>
            <w:tcBorders>
              <w:top w:val="nil"/>
              <w:left w:val="nil"/>
              <w:bottom w:val="nil"/>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20"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25</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组织实施了年度国家统一法律职业资格考试工作，确保了考区的硬件设施达标要求，为青岛考区全面完成省厅工作任务和实“零失误、零差错”创造了必要条件，考试工作顺利圆满。</w:t>
            </w:r>
          </w:p>
        </w:tc>
        <w:tc>
          <w:tcPr>
            <w:tcW w:w="1732"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总分与产出总分挂钩。如产出总得分率为90%（含）-100%，则项目效益得分按×产出得分率计算；产出得分率80%（含）-90%，则项目效益按80%计算；产出得分率60%（含）-80%，则项目效益按60%计算；产出得分率小于60%，则项目效益不得分。</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15</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90" w:hRule="atLeast"/>
        </w:trPr>
        <w:tc>
          <w:tcPr>
            <w:tcW w:w="71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21"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可持续</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影响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（7分）</w:t>
            </w: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项目发展机制可持续性</w:t>
            </w:r>
          </w:p>
        </w:tc>
        <w:tc>
          <w:tcPr>
            <w:tcW w:w="56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2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考察项目运转是否形成了可持续发展的机制。</w:t>
            </w:r>
          </w:p>
        </w:tc>
        <w:tc>
          <w:tcPr>
            <w:tcW w:w="173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项目运转形成了可持续发展的机制，是指明确管理机构，明确职责、人员分工、管理制度措施则得满分，少一项则扣除25%的权重分。</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0" w:hRule="atLeast"/>
        </w:trPr>
        <w:tc>
          <w:tcPr>
            <w:tcW w:w="71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21"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满意度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（8分）</w:t>
            </w:r>
          </w:p>
        </w:tc>
        <w:tc>
          <w:tcPr>
            <w:tcW w:w="91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考生</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满意度</w:t>
            </w:r>
          </w:p>
        </w:tc>
        <w:tc>
          <w:tcPr>
            <w:tcW w:w="56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考生对项目实施效果的满意程度。</w:t>
            </w:r>
          </w:p>
        </w:tc>
        <w:tc>
          <w:tcPr>
            <w:tcW w:w="173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宋体" w:hAnsi="宋体" w:cs="宋体"/>
                <w:color w:val="000000"/>
                <w:kern w:val="0"/>
                <w:sz w:val="22"/>
                <w:szCs w:val="22"/>
              </w:rPr>
              <w:t>≥</w:t>
            </w:r>
            <w:r>
              <w:rPr>
                <w:rFonts w:hint="eastAsia" w:ascii="仿宋_GB2312" w:hAnsi="Tahoma" w:eastAsia="仿宋_GB2312" w:cs="仿宋_GB2312"/>
                <w:color w:val="000000"/>
                <w:kern w:val="0"/>
                <w:sz w:val="22"/>
                <w:szCs w:val="22"/>
              </w:rPr>
              <w:t>90%</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考生满意度达≥90%，则得满分，每降低1%，扣除5%权重分。。）</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209"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合计</w:t>
            </w:r>
          </w:p>
        </w:tc>
        <w:tc>
          <w:tcPr>
            <w:tcW w:w="6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100</w:t>
            </w:r>
          </w:p>
        </w:tc>
        <w:tc>
          <w:tcPr>
            <w:tcW w:w="423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173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34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42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84</w:t>
            </w:r>
          </w:p>
        </w:tc>
        <w:tc>
          <w:tcPr>
            <w:tcW w:w="9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84.00%</w:t>
            </w:r>
          </w:p>
        </w:tc>
      </w:tr>
    </w:tbl>
    <w:p>
      <w:pPr>
        <w:spacing w:after="305" w:afterLines="50" w:line="600" w:lineRule="exact"/>
        <w:rPr>
          <w:rFonts w:ascii="方正小标宋简体" w:hAnsi="方正小标宋简体" w:eastAsia="方正小标宋简体" w:cs="方正小标宋简体"/>
          <w:sz w:val="24"/>
        </w:rPr>
        <w:sectPr>
          <w:pgSz w:w="16783" w:h="23757"/>
          <w:pgMar w:top="1701" w:right="1077" w:bottom="1701" w:left="1077" w:header="0" w:footer="1418" w:gutter="0"/>
          <w:cols w:space="720" w:num="1"/>
          <w:docGrid w:type="linesAndChars" w:linePitch="610" w:charSpace="-849"/>
        </w:sectPr>
      </w:pPr>
    </w:p>
    <w:tbl>
      <w:tblPr>
        <w:tblStyle w:val="15"/>
        <w:tblW w:w="14659"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1"/>
        <w:gridCol w:w="1079"/>
        <w:gridCol w:w="963"/>
        <w:gridCol w:w="597"/>
        <w:gridCol w:w="655"/>
        <w:gridCol w:w="4469"/>
        <w:gridCol w:w="1002"/>
        <w:gridCol w:w="3679"/>
        <w:gridCol w:w="443"/>
        <w:gridCol w:w="1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13195"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Cs w:val="32"/>
              </w:rPr>
            </w:pPr>
            <w:r>
              <w:rPr>
                <w:rFonts w:hint="eastAsia" w:ascii="仿宋_GB2312" w:hAnsi="Tahoma" w:eastAsia="仿宋_GB2312" w:cs="仿宋_GB2312"/>
                <w:b/>
                <w:color w:val="000000"/>
                <w:kern w:val="0"/>
                <w:szCs w:val="32"/>
              </w:rPr>
              <w:t>普法人民监督员涉法涉诉专项经费绩效评价指标体系</w:t>
            </w:r>
          </w:p>
        </w:tc>
        <w:tc>
          <w:tcPr>
            <w:tcW w:w="443"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c>
          <w:tcPr>
            <w:tcW w:w="1021"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8514" w:type="dxa"/>
            <w:gridSpan w:val="6"/>
            <w:tcBorders>
              <w:top w:val="nil"/>
              <w:left w:val="nil"/>
              <w:bottom w:val="single" w:color="auto" w:sz="4" w:space="0"/>
              <w:right w:val="nil"/>
            </w:tcBorders>
            <w:tcMar>
              <w:top w:w="15" w:type="dxa"/>
              <w:left w:w="15" w:type="dxa"/>
              <w:right w:w="15" w:type="dxa"/>
            </w:tcMar>
            <w:vAlign w:val="center"/>
          </w:tcPr>
          <w:p>
            <w:pPr>
              <w:widowControl/>
              <w:jc w:val="left"/>
              <w:textAlignment w:val="center"/>
              <w:rPr>
                <w:rFonts w:ascii="仿宋_GB2312" w:hAnsi="Tahoma" w:eastAsia="仿宋_GB2312" w:cs="仿宋_GB2312"/>
                <w:b/>
                <w:color w:val="000000"/>
                <w:sz w:val="24"/>
              </w:rPr>
            </w:pPr>
            <w:r>
              <w:rPr>
                <w:rFonts w:hint="eastAsia" w:ascii="仿宋_GB2312" w:hAnsi="Tahoma" w:eastAsia="仿宋_GB2312" w:cs="仿宋_GB2312"/>
                <w:b/>
                <w:color w:val="000000"/>
                <w:kern w:val="0"/>
                <w:sz w:val="24"/>
              </w:rPr>
              <w:t>项目单位：青岛市司法局</w:t>
            </w:r>
          </w:p>
        </w:tc>
        <w:tc>
          <w:tcPr>
            <w:tcW w:w="1002" w:type="dxa"/>
            <w:tcBorders>
              <w:top w:val="nil"/>
              <w:left w:val="nil"/>
              <w:bottom w:val="nil"/>
              <w:right w:val="nil"/>
            </w:tcBorders>
            <w:tcMar>
              <w:top w:w="15" w:type="dxa"/>
              <w:left w:w="15" w:type="dxa"/>
              <w:right w:w="15" w:type="dxa"/>
            </w:tcMar>
            <w:vAlign w:val="center"/>
          </w:tcPr>
          <w:p>
            <w:pPr>
              <w:jc w:val="center"/>
              <w:rPr>
                <w:rFonts w:ascii="仿宋_GB2312" w:hAnsi="Tahoma" w:eastAsia="仿宋_GB2312" w:cs="仿宋_GB2312"/>
                <w:b/>
                <w:color w:val="000000"/>
                <w:szCs w:val="32"/>
              </w:rPr>
            </w:pPr>
          </w:p>
        </w:tc>
        <w:tc>
          <w:tcPr>
            <w:tcW w:w="3679" w:type="dxa"/>
            <w:tcBorders>
              <w:top w:val="nil"/>
              <w:left w:val="nil"/>
              <w:bottom w:val="nil"/>
              <w:right w:val="nil"/>
            </w:tcBorders>
            <w:tcMar>
              <w:top w:w="15" w:type="dxa"/>
              <w:left w:w="15" w:type="dxa"/>
              <w:right w:w="15" w:type="dxa"/>
            </w:tcMar>
            <w:vAlign w:val="center"/>
          </w:tcPr>
          <w:p>
            <w:pPr>
              <w:jc w:val="center"/>
              <w:rPr>
                <w:rFonts w:ascii="仿宋_GB2312" w:hAnsi="Tahoma" w:eastAsia="仿宋_GB2312" w:cs="仿宋_GB2312"/>
                <w:b/>
                <w:color w:val="000000"/>
                <w:szCs w:val="32"/>
              </w:rPr>
            </w:pPr>
          </w:p>
        </w:tc>
        <w:tc>
          <w:tcPr>
            <w:tcW w:w="443"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c>
          <w:tcPr>
            <w:tcW w:w="1021"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0" w:hRule="atLeast"/>
        </w:trPr>
        <w:tc>
          <w:tcPr>
            <w:tcW w:w="751"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一级</w:t>
            </w:r>
            <w:r>
              <w:rPr>
                <w:rFonts w:hint="eastAsia" w:ascii="仿宋_GB2312" w:hAnsi="Tahoma" w:eastAsia="仿宋_GB2312" w:cs="仿宋_GB2312"/>
                <w:b/>
                <w:color w:val="000000"/>
                <w:kern w:val="0"/>
                <w:sz w:val="22"/>
                <w:szCs w:val="22"/>
              </w:rPr>
              <w:br/>
            </w:r>
            <w:r>
              <w:rPr>
                <w:rFonts w:hint="eastAsia" w:ascii="仿宋_GB2312" w:hAnsi="Tahoma" w:eastAsia="仿宋_GB2312" w:cs="仿宋_GB2312"/>
                <w:b/>
                <w:color w:val="000000"/>
                <w:kern w:val="0"/>
                <w:sz w:val="22"/>
                <w:szCs w:val="22"/>
              </w:rPr>
              <w:t>指标</w:t>
            </w:r>
          </w:p>
        </w:tc>
        <w:tc>
          <w:tcPr>
            <w:tcW w:w="107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二级指标</w:t>
            </w:r>
          </w:p>
        </w:tc>
        <w:tc>
          <w:tcPr>
            <w:tcW w:w="96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三级指标</w:t>
            </w:r>
          </w:p>
        </w:tc>
        <w:tc>
          <w:tcPr>
            <w:tcW w:w="59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四级指标</w:t>
            </w:r>
          </w:p>
        </w:tc>
        <w:tc>
          <w:tcPr>
            <w:tcW w:w="65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权重</w:t>
            </w:r>
          </w:p>
        </w:tc>
        <w:tc>
          <w:tcPr>
            <w:tcW w:w="446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指标解释</w:t>
            </w:r>
          </w:p>
        </w:tc>
        <w:tc>
          <w:tcPr>
            <w:tcW w:w="1002"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标杆值</w:t>
            </w:r>
          </w:p>
        </w:tc>
        <w:tc>
          <w:tcPr>
            <w:tcW w:w="3679"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评分标准</w:t>
            </w:r>
          </w:p>
        </w:tc>
        <w:tc>
          <w:tcPr>
            <w:tcW w:w="443"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得分</w:t>
            </w:r>
          </w:p>
        </w:tc>
        <w:tc>
          <w:tcPr>
            <w:tcW w:w="1021"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80" w:hRule="atLeast"/>
        </w:trPr>
        <w:tc>
          <w:tcPr>
            <w:tcW w:w="75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决策</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（10分）</w:t>
            </w:r>
          </w:p>
        </w:tc>
        <w:tc>
          <w:tcPr>
            <w:tcW w:w="1079"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项目立项（2分）</w:t>
            </w:r>
          </w:p>
        </w:tc>
        <w:tc>
          <w:tcPr>
            <w:tcW w:w="96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立项依据</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充分性</w:t>
            </w:r>
          </w:p>
        </w:tc>
        <w:tc>
          <w:tcPr>
            <w:tcW w:w="59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项目立项是否符合法律法规、相关政策、发展规划以及部门职责，用以反映和考核项目立项依据情况。</w:t>
            </w:r>
          </w:p>
        </w:tc>
        <w:tc>
          <w:tcPr>
            <w:tcW w:w="100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充分</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①项目立项是否符合国家法律法规、国民经济发展规划和相关政策；</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②项目立项是否符合行业发展规划和政策要求；</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③项目立项是否与部门职责范围相符，属于部门履职所需；</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④项目是否属于公共财政支持范围，是否符合中央、地方事权支出责任划分原则；</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⑤项目是否与相关部门同类项目或部门内部相关项目不重复。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5项各占1/5权重分，每有一项不满足，则扣除相应权重分。</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79"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6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立项程序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规范性</w:t>
            </w:r>
          </w:p>
        </w:tc>
        <w:tc>
          <w:tcPr>
            <w:tcW w:w="59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项目的申请、设立过程是否符合相关要求，用以反映和考核项目立项的规范情况。</w:t>
            </w:r>
          </w:p>
        </w:tc>
        <w:tc>
          <w:tcPr>
            <w:tcW w:w="100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规范</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①项目按照规定的程序申请设立；</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②所提交的文件、材料符合相关要求；</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③事前已经过必要的可行性研究、专家论证、风险评估、绩效评估、集体决策等。</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若①②③齐全得权重100%；如不符合①得0分；缺②扣权重1/3；缺③扣权重1/3。</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35" w:hRule="atLeast"/>
        </w:trPr>
        <w:tc>
          <w:tcPr>
            <w:tcW w:w="7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79"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绩效目标（4分）</w:t>
            </w:r>
          </w:p>
        </w:tc>
        <w:tc>
          <w:tcPr>
            <w:tcW w:w="96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绩效目标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合理性</w:t>
            </w:r>
          </w:p>
        </w:tc>
        <w:tc>
          <w:tcPr>
            <w:tcW w:w="59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项目所设定的绩效目标是否依据充分，是否符合客观实际，用以反映和考核项目绩效目标与项目实施的相符情况。</w:t>
            </w:r>
          </w:p>
        </w:tc>
        <w:tc>
          <w:tcPr>
            <w:tcW w:w="100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合理</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①项目有绩效目标；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②项目绩效目标与实际工作内容具有相关性；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③项目预期产出效益和效果符合正常的业绩水平；</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④绩效目标与预算确定的项目投资额或资金量相匹配。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5" w:hRule="atLeast"/>
        </w:trPr>
        <w:tc>
          <w:tcPr>
            <w:tcW w:w="7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79"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6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明确性</w:t>
            </w:r>
          </w:p>
        </w:tc>
        <w:tc>
          <w:tcPr>
            <w:tcW w:w="59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依据绩效目标设定的绩效指标是否清晰、细化、可衡量等，用以反映和考核项目绩效目标的明细化情况。</w:t>
            </w:r>
          </w:p>
        </w:tc>
        <w:tc>
          <w:tcPr>
            <w:tcW w:w="100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明确</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①将项目绩效目标细化分解为具体的绩效指标；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②指标值清晰、可衡量；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③指标值与项目年度任务数或计划数相对应。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3项各占1/3权重分，每有一项不满足，则扣除相应权重分。</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95" w:hRule="atLeast"/>
        </w:trPr>
        <w:tc>
          <w:tcPr>
            <w:tcW w:w="7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79"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资金投入（4分）</w:t>
            </w:r>
          </w:p>
        </w:tc>
        <w:tc>
          <w:tcPr>
            <w:tcW w:w="96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预算编制</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科学性</w:t>
            </w:r>
          </w:p>
        </w:tc>
        <w:tc>
          <w:tcPr>
            <w:tcW w:w="59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项目预算编制是否经过科学论证、有明确标准，资金额度与年度目标是否相适应，用以反映和考核项目预算编制的科学性、合理性情况。</w:t>
            </w:r>
          </w:p>
        </w:tc>
        <w:tc>
          <w:tcPr>
            <w:tcW w:w="100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科学</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①预算编制经过科学论证；</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②预算内容与项目内容匹配；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③预算额度测算依据充分，按照标准编制；</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④预算确定的项目投资额或资金量与工作任务相匹配。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12" w:hRule="atLeast"/>
        </w:trPr>
        <w:tc>
          <w:tcPr>
            <w:tcW w:w="7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79"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6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资金分配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合理性</w:t>
            </w:r>
          </w:p>
        </w:tc>
        <w:tc>
          <w:tcPr>
            <w:tcW w:w="59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考察项目资金分配是否有测算依据，预算安排内容与专项资金的设立目的及年度工作重点是否一致，用以反映和考核项目预算资金分配的科学性、合理性。</w:t>
            </w:r>
          </w:p>
        </w:tc>
        <w:tc>
          <w:tcPr>
            <w:tcW w:w="100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合理</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①项目资金分配有测算依据得1/2权重分；</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②根据预算安排内容与专项资金的设立目的及年度工作重点的匹配程度判断，分别得年度剩余权重的100%、75%、50%、25%和0%。</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70" w:hRule="atLeast"/>
        </w:trPr>
        <w:tc>
          <w:tcPr>
            <w:tcW w:w="75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过程</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1079"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资金管理（8分）</w:t>
            </w:r>
          </w:p>
        </w:tc>
        <w:tc>
          <w:tcPr>
            <w:tcW w:w="96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w:t>
            </w:r>
          </w:p>
        </w:tc>
        <w:tc>
          <w:tcPr>
            <w:tcW w:w="59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实际到位资金与预算资金的比率，用以反映和考核上年度资金落实情况对项目实施的总体保障程度。资金到位率=（实际到位资金/预算资金）*100%。</w:t>
            </w:r>
          </w:p>
        </w:tc>
        <w:tc>
          <w:tcPr>
            <w:tcW w:w="100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资金到位率达100%得相应权重的100%，每下降1%扣5%权重，扣完相应权重为止。</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79"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6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预算执行率</w:t>
            </w:r>
          </w:p>
        </w:tc>
        <w:tc>
          <w:tcPr>
            <w:tcW w:w="59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项目预算资金是否按照计划执行，用以反映或考核项目预算执行情况。预算执行率=（实际支出金额/实际到位资金）×100%。</w:t>
            </w:r>
          </w:p>
        </w:tc>
        <w:tc>
          <w:tcPr>
            <w:tcW w:w="100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①已完成的项目，预算执行率100%得满分，每降低1%扣5%权重分，扣完为止。②实施期项目，预算执行率与项目当年实施进度相匹配，预算执行率与项目实际完成率相比较，每偏离1%扣5%权重，扣完相应权重为止。</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0" w:hRule="atLeast"/>
        </w:trPr>
        <w:tc>
          <w:tcPr>
            <w:tcW w:w="7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79"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6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资金使用</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合规性</w:t>
            </w:r>
          </w:p>
        </w:tc>
        <w:tc>
          <w:tcPr>
            <w:tcW w:w="59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项目资金使用是否符合相关的财务管理制度规定，用以反映和考核项目资金的规范运行情况。</w:t>
            </w:r>
          </w:p>
        </w:tc>
        <w:tc>
          <w:tcPr>
            <w:tcW w:w="100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合规</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①符合国家财经法规和财务管理制度以及有关专项资金管理办法的规定；</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②资金的拨付有完整的审批程序和手续；</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③符合项目预算批复或合同规定的用途；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④不存在截留、挤占、挪用、虚列支出等情况。</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4项全部符合视为使用合规，得满分；存在①或③或④不满足时属于严重违规事项，本项指标不得分；在①③④同时符合，②不符合时，本项指标得75%权重分；</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75" w:hRule="atLeast"/>
        </w:trPr>
        <w:tc>
          <w:tcPr>
            <w:tcW w:w="7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79"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组织实施（17分）</w:t>
            </w:r>
            <w:r>
              <w:rPr>
                <w:rFonts w:ascii="Arial" w:hAnsi="Arial" w:eastAsia="仿宋_GB2312" w:cs="Arial"/>
                <w:color w:val="000000"/>
                <w:kern w:val="0"/>
                <w:sz w:val="22"/>
                <w:szCs w:val="22"/>
              </w:rPr>
              <w:t> </w:t>
            </w:r>
          </w:p>
        </w:tc>
        <w:tc>
          <w:tcPr>
            <w:tcW w:w="96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xml:space="preserve"> 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健全性</w:t>
            </w:r>
          </w:p>
        </w:tc>
        <w:tc>
          <w:tcPr>
            <w:tcW w:w="59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项目实施单位的管理制度是否健全，是否已制定或具有相应的财务和业务管理制度，财务和业务管理制度是否合法、合规、完整。用以反映和考核财务和业务管理制度对项目顺利实施的保障情况。</w:t>
            </w:r>
          </w:p>
        </w:tc>
        <w:tc>
          <w:tcPr>
            <w:tcW w:w="100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健全</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①制定或具有相应的财务管理制度；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②制定或具有相应的业务管理制度；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③财务管理制度合法、合规、完整；</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④业务管理制度合法、合规、完整。</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4项各占1/4权重分，每有一项不满足，则扣除相应权重分。（需根据实际情况细化制度和修改权重比）</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75" w:hRule="atLeast"/>
        </w:trPr>
        <w:tc>
          <w:tcPr>
            <w:tcW w:w="7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79"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6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绩效管理有效性</w:t>
            </w:r>
          </w:p>
        </w:tc>
        <w:tc>
          <w:tcPr>
            <w:tcW w:w="59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上年度绩效评价结果应用于预算安排、政策调整和改进管理情况、本次自评和评价资料报送情况。</w:t>
            </w:r>
          </w:p>
        </w:tc>
        <w:tc>
          <w:tcPr>
            <w:tcW w:w="100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有效</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①本次自评、部门评价资料报送及时性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②本次自评、部门评价资料完整性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③上年度评价结果应用情况</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3项各占1/3权重分，每有一项不满足，则扣除相应权重分。（需根据实际情况细化制度和修改权重比）</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55" w:hRule="atLeast"/>
        </w:trPr>
        <w:tc>
          <w:tcPr>
            <w:tcW w:w="7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79"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6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制度执行</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有效性</w:t>
            </w:r>
          </w:p>
        </w:tc>
        <w:tc>
          <w:tcPr>
            <w:tcW w:w="59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项目实施是否符合相关管理规定，用以反映和考核相关管理制度的有效执行情况。</w:t>
            </w:r>
          </w:p>
        </w:tc>
        <w:tc>
          <w:tcPr>
            <w:tcW w:w="100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有效</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①遵守相关法律法规和相关管理规定；</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②项目调整及支出调整手续完备；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③项目合同书、验收报告、技术鉴定等资料齐全并及时归档；</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④项目实施的人员条件、场地设备、信息支撑等落实到位。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4项各占1/4权重分，每有一项不满足，则扣除相应权重分。（需根据实际情况细化制度和修改权重比）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一票否决事项：在巡视巡查、监督检查、审计等工作中发现评价期项目存在问题，本项不得分。</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5" w:hRule="atLeast"/>
        </w:trPr>
        <w:tc>
          <w:tcPr>
            <w:tcW w:w="75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1079"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产出数量（13分）</w:t>
            </w:r>
          </w:p>
        </w:tc>
        <w:tc>
          <w:tcPr>
            <w:tcW w:w="963"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实际完成率</w:t>
            </w:r>
          </w:p>
        </w:tc>
        <w:tc>
          <w:tcPr>
            <w:tcW w:w="597"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通过各类媒体进行普法宣传，扩大普法宣传层面</w:t>
            </w:r>
          </w:p>
        </w:tc>
        <w:tc>
          <w:tcPr>
            <w:tcW w:w="1002"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  300 件</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项目完成及时率达100%，则得满分，每低于1%，扣除5%权重分，扣完为止。</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5" w:hRule="atLeast"/>
        </w:trPr>
        <w:tc>
          <w:tcPr>
            <w:tcW w:w="7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79"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63"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597" w:type="dxa"/>
            <w:tcBorders>
              <w:top w:val="single" w:color="auto" w:sz="4" w:space="0"/>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4469"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涉法涉诉律师参与案件数</w:t>
            </w:r>
          </w:p>
        </w:tc>
        <w:tc>
          <w:tcPr>
            <w:tcW w:w="1002"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  80 件</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项目完成及时率达100%，则得满分，每低于1%，扣除5%权重分，扣完为止。</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7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79"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产出质量（6分）</w:t>
            </w:r>
          </w:p>
        </w:tc>
        <w:tc>
          <w:tcPr>
            <w:tcW w:w="963"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w:t>
            </w:r>
          </w:p>
        </w:tc>
        <w:tc>
          <w:tcPr>
            <w:tcW w:w="597" w:type="dxa"/>
            <w:tcBorders>
              <w:top w:val="single" w:color="auto" w:sz="4" w:space="0"/>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4469" w:type="dxa"/>
            <w:tcBorders>
              <w:top w:val="single" w:color="auto" w:sz="4" w:space="0"/>
              <w:left w:val="nil"/>
              <w:bottom w:val="single" w:color="000000" w:sz="4" w:space="0"/>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全市普法宣传覆盖率</w:t>
            </w:r>
          </w:p>
        </w:tc>
        <w:tc>
          <w:tcPr>
            <w:tcW w:w="1002"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80 %</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质量达标率达100%，则得满分，每低于1%，扣除5%权重分，扣完为止。</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trPr>
        <w:tc>
          <w:tcPr>
            <w:tcW w:w="751"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7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时效指标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（6分）</w:t>
            </w:r>
          </w:p>
        </w:tc>
        <w:tc>
          <w:tcPr>
            <w:tcW w:w="9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完成及时率</w:t>
            </w:r>
          </w:p>
        </w:tc>
        <w:tc>
          <w:tcPr>
            <w:tcW w:w="59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5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446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涉法涉诉案件办案费发放率</w:t>
            </w:r>
          </w:p>
        </w:tc>
        <w:tc>
          <w:tcPr>
            <w:tcW w:w="100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67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项目完成及时率达100%，则得满分，每低于1%，扣除5%权重分，扣完为止。</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5" w:hRule="atLeast"/>
        </w:trPr>
        <w:tc>
          <w:tcPr>
            <w:tcW w:w="75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（40分）</w:t>
            </w:r>
          </w:p>
        </w:tc>
        <w:tc>
          <w:tcPr>
            <w:tcW w:w="107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社会效益</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96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社会效益</w:t>
            </w:r>
          </w:p>
        </w:tc>
        <w:tc>
          <w:tcPr>
            <w:tcW w:w="597" w:type="dxa"/>
            <w:tcBorders>
              <w:top w:val="nil"/>
              <w:left w:val="nil"/>
              <w:bottom w:val="nil"/>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55"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25</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项目的开展，强化了社会主义法治文化建设和法治宣传阵地建设，满足了弱势群体和困难群众的司法需求,为困难当事人提供救助，保障了司法行政工作正常运行，在全市营造了浓厚的法治氛围，为我市的经济发展提供了和谐稳定的环境。</w:t>
            </w:r>
          </w:p>
        </w:tc>
        <w:tc>
          <w:tcPr>
            <w:tcW w:w="1002"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总分与产出总分挂钩。如产出总得分率为90%（含）-100%，则项目效益得分按×产出得分率计算；产出得分率80%（含）-90%，则项目效益按80%计算；产出得分率60%（含）-80%，则项目效益按60%计算；产出得分率小于60%，则项目效益不得分。</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25</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90" w:hRule="atLeast"/>
        </w:trPr>
        <w:tc>
          <w:tcPr>
            <w:tcW w:w="7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79"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可持续</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影响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（7分）</w:t>
            </w:r>
          </w:p>
        </w:tc>
        <w:tc>
          <w:tcPr>
            <w:tcW w:w="96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项目发展机制可持续性</w:t>
            </w:r>
          </w:p>
        </w:tc>
        <w:tc>
          <w:tcPr>
            <w:tcW w:w="597"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5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考察项目运转是否形成了可持续发展的机制。</w:t>
            </w:r>
          </w:p>
        </w:tc>
        <w:tc>
          <w:tcPr>
            <w:tcW w:w="100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项目运转形成了可持续发展的机制，是指明确管理机构，明确职责、人员分工、管理制度措施则得满分，少一项则扣除25%的权重分。</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5" w:hRule="atLeast"/>
        </w:trPr>
        <w:tc>
          <w:tcPr>
            <w:tcW w:w="75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79"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满意度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（8分）</w:t>
            </w:r>
          </w:p>
        </w:tc>
        <w:tc>
          <w:tcPr>
            <w:tcW w:w="96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考生</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满意度</w:t>
            </w:r>
          </w:p>
        </w:tc>
        <w:tc>
          <w:tcPr>
            <w:tcW w:w="597"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考察服务对象对项目实施效果的满意程度。服务对象是指因该项目实施而受到影响的部门（单位）、群体或个人。一般采取社会调查的方式。</w:t>
            </w:r>
          </w:p>
        </w:tc>
        <w:tc>
          <w:tcPr>
            <w:tcW w:w="100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宋体" w:hAnsi="宋体" w:cs="宋体"/>
                <w:color w:val="000000"/>
                <w:kern w:val="0"/>
                <w:sz w:val="22"/>
                <w:szCs w:val="22"/>
              </w:rPr>
              <w:t>≥</w:t>
            </w:r>
            <w:r>
              <w:rPr>
                <w:rFonts w:hint="eastAsia" w:ascii="仿宋_GB2312" w:hAnsi="Tahoma" w:eastAsia="仿宋_GB2312" w:cs="仿宋_GB2312"/>
                <w:color w:val="000000"/>
                <w:kern w:val="0"/>
                <w:sz w:val="22"/>
                <w:szCs w:val="22"/>
              </w:rPr>
              <w:t>80%</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服务对象满意度达b%，则得满分，每降低1%，扣除5%权重分。（b根据历史数据、绩效目标、考核目标等确定，通常不低于80%，若低于则需作出说明；若项目存在潜在受益服务对象，应同时对其进行满意度打分。）</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390"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合计</w:t>
            </w:r>
          </w:p>
        </w:tc>
        <w:tc>
          <w:tcPr>
            <w:tcW w:w="65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100</w:t>
            </w:r>
          </w:p>
        </w:tc>
        <w:tc>
          <w:tcPr>
            <w:tcW w:w="446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100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367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4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99</w:t>
            </w:r>
          </w:p>
        </w:tc>
        <w:tc>
          <w:tcPr>
            <w:tcW w:w="102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99.00%</w:t>
            </w:r>
          </w:p>
        </w:tc>
      </w:tr>
    </w:tbl>
    <w:p>
      <w:pPr>
        <w:spacing w:after="305" w:afterLines="50" w:line="600" w:lineRule="exact"/>
        <w:rPr>
          <w:rFonts w:ascii="方正小标宋简体" w:hAnsi="方正小标宋简体" w:eastAsia="方正小标宋简体" w:cs="方正小标宋简体"/>
          <w:sz w:val="24"/>
        </w:rPr>
        <w:sectPr>
          <w:pgSz w:w="16783" w:h="23757"/>
          <w:pgMar w:top="1701" w:right="1077" w:bottom="1701" w:left="1077" w:header="0" w:footer="1418" w:gutter="0"/>
          <w:cols w:space="720" w:num="1"/>
          <w:docGrid w:type="linesAndChars" w:linePitch="610" w:charSpace="-849"/>
        </w:sectPr>
      </w:pPr>
    </w:p>
    <w:tbl>
      <w:tblPr>
        <w:tblStyle w:val="15"/>
        <w:tblW w:w="14659"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3"/>
        <w:gridCol w:w="1038"/>
        <w:gridCol w:w="926"/>
        <w:gridCol w:w="575"/>
        <w:gridCol w:w="630"/>
        <w:gridCol w:w="4170"/>
        <w:gridCol w:w="704"/>
        <w:gridCol w:w="3539"/>
        <w:gridCol w:w="1372"/>
        <w:gridCol w:w="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12305"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Cs w:val="32"/>
              </w:rPr>
            </w:pPr>
            <w:r>
              <w:rPr>
                <w:rFonts w:hint="eastAsia" w:ascii="仿宋_GB2312" w:hAnsi="Tahoma" w:eastAsia="仿宋_GB2312" w:cs="仿宋_GB2312"/>
                <w:b/>
                <w:color w:val="000000"/>
                <w:kern w:val="0"/>
                <w:szCs w:val="32"/>
              </w:rPr>
              <w:t>法律培训费绩效评价指标体系</w:t>
            </w:r>
          </w:p>
        </w:tc>
        <w:tc>
          <w:tcPr>
            <w:tcW w:w="1372"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c>
          <w:tcPr>
            <w:tcW w:w="982"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8062" w:type="dxa"/>
            <w:gridSpan w:val="6"/>
            <w:tcBorders>
              <w:top w:val="nil"/>
              <w:left w:val="nil"/>
              <w:bottom w:val="single" w:color="auto" w:sz="4" w:space="0"/>
              <w:right w:val="nil"/>
            </w:tcBorders>
            <w:tcMar>
              <w:top w:w="15" w:type="dxa"/>
              <w:left w:w="15" w:type="dxa"/>
              <w:right w:w="15" w:type="dxa"/>
            </w:tcMar>
            <w:vAlign w:val="center"/>
          </w:tcPr>
          <w:p>
            <w:pPr>
              <w:widowControl/>
              <w:jc w:val="left"/>
              <w:textAlignment w:val="center"/>
              <w:rPr>
                <w:rFonts w:ascii="仿宋_GB2312" w:hAnsi="Tahoma" w:eastAsia="仿宋_GB2312" w:cs="仿宋_GB2312"/>
                <w:b/>
                <w:color w:val="000000"/>
                <w:sz w:val="24"/>
              </w:rPr>
            </w:pPr>
            <w:r>
              <w:rPr>
                <w:rFonts w:hint="eastAsia" w:ascii="仿宋_GB2312" w:hAnsi="Tahoma" w:eastAsia="仿宋_GB2312" w:cs="仿宋_GB2312"/>
                <w:b/>
                <w:color w:val="000000"/>
                <w:kern w:val="0"/>
                <w:sz w:val="24"/>
              </w:rPr>
              <w:t>项目单位：青岛市司法局</w:t>
            </w:r>
          </w:p>
        </w:tc>
        <w:tc>
          <w:tcPr>
            <w:tcW w:w="704" w:type="dxa"/>
            <w:tcBorders>
              <w:top w:val="nil"/>
              <w:left w:val="nil"/>
              <w:bottom w:val="nil"/>
              <w:right w:val="nil"/>
            </w:tcBorders>
            <w:tcMar>
              <w:top w:w="15" w:type="dxa"/>
              <w:left w:w="15" w:type="dxa"/>
              <w:right w:w="15" w:type="dxa"/>
            </w:tcMar>
            <w:vAlign w:val="center"/>
          </w:tcPr>
          <w:p>
            <w:pPr>
              <w:jc w:val="center"/>
              <w:rPr>
                <w:rFonts w:ascii="仿宋_GB2312" w:hAnsi="Tahoma" w:eastAsia="仿宋_GB2312" w:cs="仿宋_GB2312"/>
                <w:b/>
                <w:color w:val="000000"/>
                <w:szCs w:val="32"/>
              </w:rPr>
            </w:pPr>
          </w:p>
        </w:tc>
        <w:tc>
          <w:tcPr>
            <w:tcW w:w="3539" w:type="dxa"/>
            <w:tcBorders>
              <w:top w:val="nil"/>
              <w:left w:val="nil"/>
              <w:bottom w:val="nil"/>
              <w:right w:val="nil"/>
            </w:tcBorders>
            <w:tcMar>
              <w:top w:w="15" w:type="dxa"/>
              <w:left w:w="15" w:type="dxa"/>
              <w:right w:w="15" w:type="dxa"/>
            </w:tcMar>
            <w:vAlign w:val="center"/>
          </w:tcPr>
          <w:p>
            <w:pPr>
              <w:jc w:val="center"/>
              <w:rPr>
                <w:rFonts w:ascii="仿宋_GB2312" w:hAnsi="Tahoma" w:eastAsia="仿宋_GB2312" w:cs="仿宋_GB2312"/>
                <w:b/>
                <w:color w:val="000000"/>
                <w:szCs w:val="32"/>
              </w:rPr>
            </w:pPr>
          </w:p>
        </w:tc>
        <w:tc>
          <w:tcPr>
            <w:tcW w:w="1372"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c>
          <w:tcPr>
            <w:tcW w:w="982"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0" w:hRule="atLeast"/>
        </w:trPr>
        <w:tc>
          <w:tcPr>
            <w:tcW w:w="723"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一级</w:t>
            </w:r>
            <w:r>
              <w:rPr>
                <w:rFonts w:hint="eastAsia" w:ascii="仿宋_GB2312" w:hAnsi="Tahoma" w:eastAsia="仿宋_GB2312" w:cs="仿宋_GB2312"/>
                <w:b/>
                <w:color w:val="000000"/>
                <w:kern w:val="0"/>
                <w:sz w:val="22"/>
                <w:szCs w:val="22"/>
              </w:rPr>
              <w:br/>
            </w:r>
            <w:r>
              <w:rPr>
                <w:rFonts w:hint="eastAsia" w:ascii="仿宋_GB2312" w:hAnsi="Tahoma" w:eastAsia="仿宋_GB2312" w:cs="仿宋_GB2312"/>
                <w:b/>
                <w:color w:val="000000"/>
                <w:kern w:val="0"/>
                <w:sz w:val="22"/>
                <w:szCs w:val="22"/>
              </w:rPr>
              <w:t>指标</w:t>
            </w:r>
          </w:p>
        </w:tc>
        <w:tc>
          <w:tcPr>
            <w:tcW w:w="1038"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二级指标</w:t>
            </w:r>
          </w:p>
        </w:tc>
        <w:tc>
          <w:tcPr>
            <w:tcW w:w="926"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三级指标</w:t>
            </w:r>
          </w:p>
        </w:tc>
        <w:tc>
          <w:tcPr>
            <w:tcW w:w="57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四级指标</w:t>
            </w:r>
          </w:p>
        </w:tc>
        <w:tc>
          <w:tcPr>
            <w:tcW w:w="63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权重</w:t>
            </w:r>
          </w:p>
        </w:tc>
        <w:tc>
          <w:tcPr>
            <w:tcW w:w="417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指标解释</w:t>
            </w:r>
          </w:p>
        </w:tc>
        <w:tc>
          <w:tcPr>
            <w:tcW w:w="704"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标杆值</w:t>
            </w:r>
          </w:p>
        </w:tc>
        <w:tc>
          <w:tcPr>
            <w:tcW w:w="3539"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评分标准</w:t>
            </w:r>
          </w:p>
        </w:tc>
        <w:tc>
          <w:tcPr>
            <w:tcW w:w="137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得分</w:t>
            </w:r>
          </w:p>
        </w:tc>
        <w:tc>
          <w:tcPr>
            <w:tcW w:w="98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25" w:hRule="atLeast"/>
        </w:trPr>
        <w:tc>
          <w:tcPr>
            <w:tcW w:w="723"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决策</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（10分）</w:t>
            </w:r>
          </w:p>
        </w:tc>
        <w:tc>
          <w:tcPr>
            <w:tcW w:w="103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项目立项（2分）</w:t>
            </w:r>
          </w:p>
        </w:tc>
        <w:tc>
          <w:tcPr>
            <w:tcW w:w="92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立项依据</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充分性</w:t>
            </w:r>
          </w:p>
        </w:tc>
        <w:tc>
          <w:tcPr>
            <w:tcW w:w="5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项目立项是否符合法律法规、相关政策、发展规划以及部门职责，用以反映和考核项目立项依据情况。</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充分</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①项目立项是否符合国家法律法规、国民经济发展规划和相关政策；</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②项目立项是否符合行业发展规划和政策要求；</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③项目立项是否与部门职责范围相符，属于部门履职所需；</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④项目是否属于公共财政支持范围，是否符合中央、地方事权支出责任划分原则；</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⑤项目是否与相关部门同类项目或部门内部相关项目不重复。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5项各占1/5权重分，每有一项不满足，则扣除相应权重分。</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2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2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立项程序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规范性</w:t>
            </w:r>
          </w:p>
        </w:tc>
        <w:tc>
          <w:tcPr>
            <w:tcW w:w="5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项目的申请、设立过程是否符合相关要求，用以反映和考核项目立项的规范情况。</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规范</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①项目按照规定的程序申请设立；</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②所提交的文件、材料符合相关要求；</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③事前已经过必要的可行性研究、专家论证、风险评估、绩效评估、集体决策等。</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若①②③齐全得权重100%；如不符合①得0分；缺②扣权重1/3；缺③扣权重1/3。</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35" w:hRule="atLeast"/>
        </w:trPr>
        <w:tc>
          <w:tcPr>
            <w:tcW w:w="72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绩效目标（4分）</w:t>
            </w:r>
          </w:p>
        </w:tc>
        <w:tc>
          <w:tcPr>
            <w:tcW w:w="92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绩效目标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合理性</w:t>
            </w:r>
          </w:p>
        </w:tc>
        <w:tc>
          <w:tcPr>
            <w:tcW w:w="5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项目所设定的绩效目标是否依据充分，是否符合客观实际，用以反映和考核项目绩效目标与项目实施的相符情况。</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合理</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①项目有绩效目标；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②项目绩效目标与实际工作内容具有相关性；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③项目预期产出效益和效果符合正常的业绩水平；</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④绩效目标与预算确定的项目投资额或资金量相匹配。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1.7</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5" w:hRule="atLeast"/>
        </w:trPr>
        <w:tc>
          <w:tcPr>
            <w:tcW w:w="72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2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明确性</w:t>
            </w:r>
          </w:p>
        </w:tc>
        <w:tc>
          <w:tcPr>
            <w:tcW w:w="5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依据绩效目标设定的绩效指标是否清晰、细化、可衡量等，用以反映和考核项目绩效目标的明细化情况。</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明确</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①将项目绩效目标细化分解为具体的绩效指标；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②指标值清晰、可衡量；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③指标值与项目年度任务数或计划数相对应。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3项各占1/3权重分，每有一项不满足，则扣除相应权重分。</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5" w:hRule="atLeast"/>
        </w:trPr>
        <w:tc>
          <w:tcPr>
            <w:tcW w:w="72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资金投入（4分）</w:t>
            </w:r>
          </w:p>
        </w:tc>
        <w:tc>
          <w:tcPr>
            <w:tcW w:w="92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预算编制</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科学性</w:t>
            </w:r>
          </w:p>
        </w:tc>
        <w:tc>
          <w:tcPr>
            <w:tcW w:w="5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项目预算编制是否经过科学论证、有明确标准，资金额度与年度目标是否相适应，用以反映和考核项目预算编制的科学性、合理性情况。</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科学</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①预算编制经过科学论证；</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②预算内容与项目内容匹配；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③预算额度测算依据充分，按照标准编制；</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④预算确定的项目投资额或资金量与工作任务相匹配。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12" w:hRule="atLeast"/>
        </w:trPr>
        <w:tc>
          <w:tcPr>
            <w:tcW w:w="72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2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资金分配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合理性</w:t>
            </w:r>
          </w:p>
        </w:tc>
        <w:tc>
          <w:tcPr>
            <w:tcW w:w="5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考察项目资金分配是否有测算依据，预算安排内容与专项资金的设立目的及年度工作重点是否一致，用以反映和考核项目预算资金分配的科学性、合理性。</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合理</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①项目资金分配有测算依据得1/2权重分；</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②根据预算安排内容与专项资金的设立目的及年度工作重点的匹配程度判断，分别得年度剩余权重的100%、75%、50%、25%和0%。</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70" w:hRule="atLeast"/>
        </w:trPr>
        <w:tc>
          <w:tcPr>
            <w:tcW w:w="723"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过程</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103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资金管理（8分）</w:t>
            </w:r>
          </w:p>
        </w:tc>
        <w:tc>
          <w:tcPr>
            <w:tcW w:w="92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w:t>
            </w:r>
          </w:p>
        </w:tc>
        <w:tc>
          <w:tcPr>
            <w:tcW w:w="5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实际到位资金与预算资金的比率，用以反映和考核上年度资金落实情况对项目实施的总体保障程度。资金到位率=（实际到位资金/预算资金）*100%。</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资金到位率达100%得相应权重的100%，每下降1%扣5%权重，扣完相应权重为止。</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85" w:hRule="atLeast"/>
        </w:trPr>
        <w:tc>
          <w:tcPr>
            <w:tcW w:w="72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2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预算执行率</w:t>
            </w:r>
          </w:p>
        </w:tc>
        <w:tc>
          <w:tcPr>
            <w:tcW w:w="5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项目预算资金是否按照计划执行，用以反映或考核项目预算执行情况。预算执行率=（实际支出金额/实际到位资金）×100%。</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①已完成的项目，预算执行率100%得满分，每降低1%扣5%权重分，扣完为止。②实施期项目，预算执行率与项目当年实施进度相匹配，预算执行率与项目实际完成率相比较，每偏离1%扣5%权重，扣完相应权重为止。</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3</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0" w:hRule="atLeast"/>
        </w:trPr>
        <w:tc>
          <w:tcPr>
            <w:tcW w:w="72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2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资金使用</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合规性</w:t>
            </w:r>
          </w:p>
        </w:tc>
        <w:tc>
          <w:tcPr>
            <w:tcW w:w="5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项目资金使用是否符合相关的财务管理制度规定，用以反映和考核项目资金的规范运行情况。</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合规</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①符合国家财经法规和财务管理制度以及有关专项资金管理办法的规定；</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②资金的拨付有完整的审批程序和手续；</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③符合项目预算批复或合同规定的用途；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④不存在截留、挤占、挪用、虚列支出等情况。</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4项全部符合视为使用合规，得满分；存在①或③或④不满足时属于严重违规事项，本项指标不得分；在①③④同时符合，②不符合时，本项指标得75%权重分；</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75" w:hRule="atLeast"/>
        </w:trPr>
        <w:tc>
          <w:tcPr>
            <w:tcW w:w="72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组织实施（17分）</w:t>
            </w:r>
            <w:r>
              <w:rPr>
                <w:rFonts w:ascii="Arial" w:hAnsi="Arial" w:eastAsia="仿宋_GB2312" w:cs="Arial"/>
                <w:color w:val="000000"/>
                <w:kern w:val="0"/>
                <w:sz w:val="22"/>
                <w:szCs w:val="22"/>
              </w:rPr>
              <w:t> </w:t>
            </w:r>
          </w:p>
        </w:tc>
        <w:tc>
          <w:tcPr>
            <w:tcW w:w="92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xml:space="preserve"> 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健全性</w:t>
            </w:r>
          </w:p>
        </w:tc>
        <w:tc>
          <w:tcPr>
            <w:tcW w:w="5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项目实施单位的管理制度是否健全，是否已制定或具有相应的财务和业务管理制度，财务和业务管理制度是否合法、合规、完整。用以反映和考核财务和业务管理制度对项目顺利实施的保障情况。</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健全</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①制定或具有相应的财务管理制度；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②制定或具有相应的业务管理制度；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③财务管理制度合法、合规、完整；</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④业务管理制度合法、合规、完整。</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4项各占1/4权重分，每有一项不满足，则扣除相应权重分。（需根据实际情况细化制度和修改权重比）</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75" w:hRule="atLeast"/>
        </w:trPr>
        <w:tc>
          <w:tcPr>
            <w:tcW w:w="72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2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绩效管理有效性</w:t>
            </w:r>
          </w:p>
        </w:tc>
        <w:tc>
          <w:tcPr>
            <w:tcW w:w="5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上年度绩效评价结果应用于预算安排、政策调整和改进管理情况、本次自评和评价资料报送情况。</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有效</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①本次自评、部门评价资料报送及时性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②本次自评、部门评价资料完整性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③上年度评价结果应用情况</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3项各占1/3权重分，每有一项不满足，则扣除相应权重分。（需根据实际情况细化制度和修改权重比）</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18" w:hRule="atLeast"/>
        </w:trPr>
        <w:tc>
          <w:tcPr>
            <w:tcW w:w="72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2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制度执行</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有效性</w:t>
            </w:r>
          </w:p>
        </w:tc>
        <w:tc>
          <w:tcPr>
            <w:tcW w:w="5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项目实施是否符合相关管理规定，用以反映和考核相关管理制度的有效执行情况。</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有效</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①遵守相关法律法规和相关管理规定；</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②项目调整及支出调整手续完备；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③项目合同书、验收报告、技术鉴定等资料齐全并及时归档；</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④项目实施的人员条件、场地设备、信息支撑等落实到位。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4项各占1/4权重分，每有一项不满足，则扣除相应权重分。（需根据实际情况细化制度和修改权重比）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一票否决事项：在巡视巡查、监督检查、审计等工作中发现评价期项目存在问题，本项不得分。</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5" w:hRule="atLeast"/>
        </w:trPr>
        <w:tc>
          <w:tcPr>
            <w:tcW w:w="723"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1038"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产出数量（9分）</w:t>
            </w:r>
          </w:p>
        </w:tc>
        <w:tc>
          <w:tcPr>
            <w:tcW w:w="926"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实际完成率</w:t>
            </w:r>
          </w:p>
        </w:tc>
        <w:tc>
          <w:tcPr>
            <w:tcW w:w="575"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4.5</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行政执法人员培训次数</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3 批次</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项目完成及时率达100%，则得满分，每低于1%，扣除5%权重分，扣完为止。</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4.5</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5" w:hRule="atLeast"/>
        </w:trPr>
        <w:tc>
          <w:tcPr>
            <w:tcW w:w="72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575" w:type="dxa"/>
            <w:tcBorders>
              <w:top w:val="single" w:color="auto" w:sz="4" w:space="0"/>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4.5</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行政执法人员及法律从业人员参加培训数量</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200 人</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项目完成及时率达100%，则得满分，每低于1%，扣除5%权重分，扣完为止。</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4.5</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72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产出质量（8分）</w:t>
            </w:r>
          </w:p>
        </w:tc>
        <w:tc>
          <w:tcPr>
            <w:tcW w:w="926"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w:t>
            </w:r>
          </w:p>
        </w:tc>
        <w:tc>
          <w:tcPr>
            <w:tcW w:w="575" w:type="dxa"/>
            <w:tcBorders>
              <w:top w:val="single" w:color="auto" w:sz="4" w:space="0"/>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年初培训计划完成率</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100 %</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质量达标率达100%，则得满分，每低于1%，扣除5%权重分，扣完为止。</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72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26"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575"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0"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确保全市行政执法人员（新增和复审）培训考试持证上岗</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3000 人</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质量达标率达100%，则得满分，每低于1%，扣除5%权重分，扣完为止。</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0" w:hRule="atLeast"/>
        </w:trPr>
        <w:tc>
          <w:tcPr>
            <w:tcW w:w="723"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产出成本</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（4分）</w:t>
            </w:r>
          </w:p>
        </w:tc>
        <w:tc>
          <w:tcPr>
            <w:tcW w:w="92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成本节约率</w:t>
            </w:r>
          </w:p>
        </w:tc>
        <w:tc>
          <w:tcPr>
            <w:tcW w:w="57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41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单人培训成本</w:t>
            </w:r>
          </w:p>
        </w:tc>
        <w:tc>
          <w:tcPr>
            <w:tcW w:w="70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   400 元</w:t>
            </w:r>
          </w:p>
        </w:tc>
        <w:tc>
          <w:tcPr>
            <w:tcW w:w="353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成本节约率大于0%且低于15%，则得满分，每高于（15%）或低于（0%）1%，扣除5%权重分，扣完为止。</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0" w:hRule="atLeast"/>
        </w:trPr>
        <w:tc>
          <w:tcPr>
            <w:tcW w:w="723" w:type="dxa"/>
            <w:vMerge w:val="continue"/>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产出时效</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（4分）</w:t>
            </w:r>
          </w:p>
        </w:tc>
        <w:tc>
          <w:tcPr>
            <w:tcW w:w="92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完成及时率</w:t>
            </w:r>
          </w:p>
        </w:tc>
        <w:tc>
          <w:tcPr>
            <w:tcW w:w="57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417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组织执法资格证考试和复审</w:t>
            </w:r>
          </w:p>
        </w:tc>
        <w:tc>
          <w:tcPr>
            <w:tcW w:w="70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 天</w:t>
            </w:r>
          </w:p>
        </w:tc>
        <w:tc>
          <w:tcPr>
            <w:tcW w:w="3539"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项目完成及时率达100%，则得满分，每低于1%，扣除5%权重分，扣完为止。</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0" w:hRule="atLeast"/>
        </w:trPr>
        <w:tc>
          <w:tcPr>
            <w:tcW w:w="723"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（40分）</w:t>
            </w:r>
          </w:p>
        </w:tc>
        <w:tc>
          <w:tcPr>
            <w:tcW w:w="103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社会效益</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92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社会效益</w:t>
            </w:r>
          </w:p>
        </w:tc>
        <w:tc>
          <w:tcPr>
            <w:tcW w:w="575" w:type="dxa"/>
            <w:tcBorders>
              <w:top w:val="nil"/>
              <w:left w:val="nil"/>
              <w:bottom w:val="nil"/>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0"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25</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通过开展相关人员培训，提升了行政执法人员、法律从业人员、基层司法行政人员的政治理论水平和法律素养、业务素质和执法水平不断提高。</w:t>
            </w:r>
          </w:p>
        </w:tc>
        <w:tc>
          <w:tcPr>
            <w:tcW w:w="704"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总分与产出总分挂钩。如产出总得分率为90%（含）-100%，则项目效益得分按×产出得分率计算；产出得分率80%（含）-90%，则项目效益按80%计算；产出得分率60%（含）-80%，则项目效益按60%计算；产出得分率小于60%，则项目效益不得分。</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25</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90" w:hRule="atLeast"/>
        </w:trPr>
        <w:tc>
          <w:tcPr>
            <w:tcW w:w="72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可持续</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影响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（7分）</w:t>
            </w:r>
          </w:p>
        </w:tc>
        <w:tc>
          <w:tcPr>
            <w:tcW w:w="92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项目发展机制可持续性</w:t>
            </w:r>
          </w:p>
        </w:tc>
        <w:tc>
          <w:tcPr>
            <w:tcW w:w="57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考察项目运转是否形成了可持续发展的机制。</w:t>
            </w:r>
          </w:p>
        </w:tc>
        <w:tc>
          <w:tcPr>
            <w:tcW w:w="704"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项目运转形成了可持续发展的机制，是指明确管理机构，明确职责、人员分工、管理制度措施则得满分，少一项则扣除25%的权重分。</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55" w:hRule="atLeast"/>
        </w:trPr>
        <w:tc>
          <w:tcPr>
            <w:tcW w:w="72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38"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满意度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（8分）</w:t>
            </w:r>
          </w:p>
        </w:tc>
        <w:tc>
          <w:tcPr>
            <w:tcW w:w="92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培训人</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满意度</w:t>
            </w:r>
          </w:p>
        </w:tc>
        <w:tc>
          <w:tcPr>
            <w:tcW w:w="57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考察培训人员对项目实施效果的满意程度。</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xml:space="preserve"> ≥ 95%</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服务对象满意度达95%，则得满分，每降低1%，扣除5%权重分。（b根据历史数据、绩效目标、考核目标等确定，通常不低于80%，若低于则需作出说明。</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262"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合计</w:t>
            </w:r>
          </w:p>
        </w:tc>
        <w:tc>
          <w:tcPr>
            <w:tcW w:w="6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100</w:t>
            </w:r>
          </w:p>
        </w:tc>
        <w:tc>
          <w:tcPr>
            <w:tcW w:w="417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70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353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137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xml:space="preserve">97.70 </w:t>
            </w:r>
          </w:p>
        </w:tc>
        <w:tc>
          <w:tcPr>
            <w:tcW w:w="98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97.70%</w:t>
            </w:r>
          </w:p>
        </w:tc>
      </w:tr>
    </w:tbl>
    <w:p>
      <w:pPr>
        <w:spacing w:after="305" w:afterLines="50" w:line="600" w:lineRule="exact"/>
        <w:rPr>
          <w:rFonts w:ascii="方正小标宋简体" w:hAnsi="方正小标宋简体" w:eastAsia="方正小标宋简体" w:cs="方正小标宋简体"/>
          <w:sz w:val="24"/>
        </w:rPr>
        <w:sectPr>
          <w:pgSz w:w="16783" w:h="23757"/>
          <w:pgMar w:top="1701" w:right="1077" w:bottom="1701" w:left="1077" w:header="0" w:footer="1418" w:gutter="0"/>
          <w:cols w:space="720" w:num="1"/>
          <w:docGrid w:type="linesAndChars" w:linePitch="610" w:charSpace="-849"/>
        </w:sectPr>
      </w:pPr>
    </w:p>
    <w:tbl>
      <w:tblPr>
        <w:tblStyle w:val="15"/>
        <w:tblW w:w="14659"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6"/>
        <w:gridCol w:w="1041"/>
        <w:gridCol w:w="930"/>
        <w:gridCol w:w="577"/>
        <w:gridCol w:w="633"/>
        <w:gridCol w:w="4315"/>
        <w:gridCol w:w="968"/>
        <w:gridCol w:w="3553"/>
        <w:gridCol w:w="930"/>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12743"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Cs w:val="32"/>
              </w:rPr>
            </w:pPr>
            <w:r>
              <w:rPr>
                <w:rFonts w:hint="eastAsia" w:ascii="仿宋_GB2312" w:hAnsi="Tahoma" w:eastAsia="仿宋_GB2312" w:cs="仿宋_GB2312"/>
                <w:b/>
                <w:color w:val="000000"/>
                <w:kern w:val="0"/>
                <w:szCs w:val="32"/>
              </w:rPr>
              <w:t>惠企政策法律服务费绩效评价指标体系</w:t>
            </w:r>
          </w:p>
        </w:tc>
        <w:tc>
          <w:tcPr>
            <w:tcW w:w="930"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c>
          <w:tcPr>
            <w:tcW w:w="986"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8222" w:type="dxa"/>
            <w:gridSpan w:val="6"/>
            <w:tcBorders>
              <w:top w:val="nil"/>
              <w:left w:val="nil"/>
              <w:bottom w:val="single" w:color="auto" w:sz="4" w:space="0"/>
              <w:right w:val="nil"/>
            </w:tcBorders>
            <w:tcMar>
              <w:top w:w="15" w:type="dxa"/>
              <w:left w:w="15" w:type="dxa"/>
              <w:right w:w="15" w:type="dxa"/>
            </w:tcMar>
            <w:vAlign w:val="center"/>
          </w:tcPr>
          <w:p>
            <w:pPr>
              <w:widowControl/>
              <w:jc w:val="left"/>
              <w:textAlignment w:val="center"/>
              <w:rPr>
                <w:rFonts w:ascii="仿宋_GB2312" w:hAnsi="Tahoma" w:eastAsia="仿宋_GB2312" w:cs="仿宋_GB2312"/>
                <w:b/>
                <w:color w:val="000000"/>
                <w:sz w:val="24"/>
              </w:rPr>
            </w:pPr>
            <w:r>
              <w:rPr>
                <w:rFonts w:hint="eastAsia" w:ascii="仿宋_GB2312" w:hAnsi="Tahoma" w:eastAsia="仿宋_GB2312" w:cs="仿宋_GB2312"/>
                <w:b/>
                <w:color w:val="000000"/>
                <w:kern w:val="0"/>
                <w:sz w:val="24"/>
              </w:rPr>
              <w:t>项目单位：青岛市司法局</w:t>
            </w:r>
          </w:p>
        </w:tc>
        <w:tc>
          <w:tcPr>
            <w:tcW w:w="968" w:type="dxa"/>
            <w:tcBorders>
              <w:top w:val="nil"/>
              <w:left w:val="nil"/>
              <w:bottom w:val="nil"/>
              <w:right w:val="nil"/>
            </w:tcBorders>
            <w:tcMar>
              <w:top w:w="15" w:type="dxa"/>
              <w:left w:w="15" w:type="dxa"/>
              <w:right w:w="15" w:type="dxa"/>
            </w:tcMar>
            <w:vAlign w:val="center"/>
          </w:tcPr>
          <w:p>
            <w:pPr>
              <w:jc w:val="center"/>
              <w:rPr>
                <w:rFonts w:ascii="仿宋_GB2312" w:hAnsi="Tahoma" w:eastAsia="仿宋_GB2312" w:cs="仿宋_GB2312"/>
                <w:b/>
                <w:color w:val="000000"/>
                <w:szCs w:val="32"/>
              </w:rPr>
            </w:pPr>
          </w:p>
        </w:tc>
        <w:tc>
          <w:tcPr>
            <w:tcW w:w="3553" w:type="dxa"/>
            <w:tcBorders>
              <w:top w:val="nil"/>
              <w:left w:val="nil"/>
              <w:bottom w:val="nil"/>
              <w:right w:val="nil"/>
            </w:tcBorders>
            <w:tcMar>
              <w:top w:w="15" w:type="dxa"/>
              <w:left w:w="15" w:type="dxa"/>
              <w:right w:w="15" w:type="dxa"/>
            </w:tcMar>
            <w:vAlign w:val="center"/>
          </w:tcPr>
          <w:p>
            <w:pPr>
              <w:jc w:val="center"/>
              <w:rPr>
                <w:rFonts w:ascii="仿宋_GB2312" w:hAnsi="Tahoma" w:eastAsia="仿宋_GB2312" w:cs="仿宋_GB2312"/>
                <w:b/>
                <w:color w:val="000000"/>
                <w:szCs w:val="32"/>
              </w:rPr>
            </w:pPr>
          </w:p>
        </w:tc>
        <w:tc>
          <w:tcPr>
            <w:tcW w:w="930"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c>
          <w:tcPr>
            <w:tcW w:w="986"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0" w:hRule="atLeast"/>
        </w:trPr>
        <w:tc>
          <w:tcPr>
            <w:tcW w:w="726" w:type="dxa"/>
            <w:tcBorders>
              <w:top w:val="nil"/>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一级</w:t>
            </w:r>
            <w:r>
              <w:rPr>
                <w:rFonts w:hint="eastAsia" w:ascii="仿宋_GB2312" w:hAnsi="Tahoma" w:eastAsia="仿宋_GB2312" w:cs="仿宋_GB2312"/>
                <w:b/>
                <w:color w:val="000000"/>
                <w:kern w:val="0"/>
                <w:sz w:val="22"/>
                <w:szCs w:val="22"/>
              </w:rPr>
              <w:br/>
            </w:r>
            <w:r>
              <w:rPr>
                <w:rFonts w:hint="eastAsia" w:ascii="仿宋_GB2312" w:hAnsi="Tahoma" w:eastAsia="仿宋_GB2312" w:cs="仿宋_GB2312"/>
                <w:b/>
                <w:color w:val="000000"/>
                <w:kern w:val="0"/>
                <w:sz w:val="22"/>
                <w:szCs w:val="22"/>
              </w:rPr>
              <w:t>指标</w:t>
            </w:r>
          </w:p>
        </w:tc>
        <w:tc>
          <w:tcPr>
            <w:tcW w:w="1041"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二级指标</w:t>
            </w:r>
          </w:p>
        </w:tc>
        <w:tc>
          <w:tcPr>
            <w:tcW w:w="930"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三级指标</w:t>
            </w:r>
          </w:p>
        </w:tc>
        <w:tc>
          <w:tcPr>
            <w:tcW w:w="577"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四级指标</w:t>
            </w:r>
          </w:p>
        </w:tc>
        <w:tc>
          <w:tcPr>
            <w:tcW w:w="633"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权重</w:t>
            </w:r>
          </w:p>
        </w:tc>
        <w:tc>
          <w:tcPr>
            <w:tcW w:w="431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指标解释</w:t>
            </w:r>
          </w:p>
        </w:tc>
        <w:tc>
          <w:tcPr>
            <w:tcW w:w="968"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标杆值</w:t>
            </w:r>
          </w:p>
        </w:tc>
        <w:tc>
          <w:tcPr>
            <w:tcW w:w="3553"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评分标准</w:t>
            </w:r>
          </w:p>
        </w:tc>
        <w:tc>
          <w:tcPr>
            <w:tcW w:w="93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得分</w:t>
            </w:r>
          </w:p>
        </w:tc>
        <w:tc>
          <w:tcPr>
            <w:tcW w:w="986"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25" w:hRule="atLeast"/>
        </w:trPr>
        <w:tc>
          <w:tcPr>
            <w:tcW w:w="726"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决策</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（10分）</w:t>
            </w:r>
          </w:p>
        </w:tc>
        <w:tc>
          <w:tcPr>
            <w:tcW w:w="104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项目立项（2分）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立项依据</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充分性</w:t>
            </w: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项目立项是否符合法律法规、相关政策、发展规划以及部门职责，用以反映和考核项目立项依据情况。</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充分</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①项目立项是否符合国家法律法规、国民经济发展规划和相关政策；</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②项目立项是否符合行业发展规划和政策要求；</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③项目立项是否与部门职责范围相符，属于部门履职所需；</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④项目是否属于公共财政支持范围，是否符合中央、地方事权支出责任划分原则；</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⑤项目是否与相关部门同类项目或部门内部相关项目不重复。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5项各占1/5权重分，每有一项不满足，则扣除相应权重分。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立项程序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规范性</w:t>
            </w: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项目的申请、设立过程是否符合相关要求，用以反映和考核项目立项的规范情况。</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规范</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①项目按照规定的程序申请设立；</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②所提交的文件、材料符合相关要求；</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③事前已经过必要的可行性研究、专家论证、风险评估、绩效评估、集体决策等。</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若①②③齐全得权重100%；如不符合①得0分；缺②扣权重1/3；缺③扣权重1/3。</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35"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绩效目标（4分）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绩效目标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合理性</w:t>
            </w: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项目所设定的绩效目标是否依据充分，是否符合客观实际，用以反映和考核项目绩效目标与项目实施的相符情况。</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合理</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①项目有绩效目标；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②项目绩效目标与实际工作内容具有相关性；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③项目预期产出效益和效果符合正常的业绩水平；</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④绩效目标与预算确定的项目投资额或资金量相匹配。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1.6</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5"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明确性</w:t>
            </w: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依据绩效目标设定的绩效指标是否清晰、细化、可衡量等，用以反映和考核项目绩效目标的明细化情况。</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明确</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①将项目绩效目标细化分解为具体的绩效指标；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②指标值清晰、可衡量；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③指标值与项目年度任务数或计划数相对应。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3项各占1/3权重分，每有一项不满足，则扣除相应权重分。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5"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资金投入（4分）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预算编制</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科学性</w:t>
            </w: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项目预算编制是否经过科学论证、有明确标准，资金额度与年度目标是否相适应，用以反映和考核项目预算编制的科学性、合理性情况。</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科学</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①预算编制经过科学论证；</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②预算内容与项目内容匹配；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③预算额度测算依据充分，按照标准编制；</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④预算确定的项目投资额或资金量与工作任务相匹配。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12"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资金分配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合理性</w:t>
            </w: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考察项目资金分配是否有测算依据，预算安排内容与专项资金的设立目的及年度工作重点是否一致，用以反映和考核项目预算资金分配的科学性、合理性。</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合理</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①项目资金分配有测算依据得1/2权重分；</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②根据预算安排内容与专项资金的设立目的及年度工作重点的匹配程度判断，分别得年度剩余权重的100%、75%、50%、25%和0%。</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70" w:hRule="atLeast"/>
        </w:trPr>
        <w:tc>
          <w:tcPr>
            <w:tcW w:w="726"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过程</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104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资金管理（8分）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w:t>
            </w: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实际到位资金与预算资金的比率，用以反映和考核上年度资金落实情况对项目实施的总体保障程度。资金到位率=（实际到位资金/预算资金）*100%。</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资金到位率达100%得相应权重的100%，每下降1%扣5%权重，扣完相应权重为止。</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预算执行率</w:t>
            </w: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项目预算资金是否按照计划执行，用以反映或考核项目预算执行情况。预算执行率=（实际支出金额/实际到位资金）×100%。</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①已完成的项目，预算执行率100%得满分，每降低1%扣5%权重分，扣完为止。②实施期项目，预算执行率与项目当年实施进度相匹配，预算执行率与项目实际完成率相比较，每偏离1%扣5%权重，扣完相应权重为止。</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0"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资金使用</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合规性</w:t>
            </w: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项目资金使用是否符合相关的财务管理制度规定，用以反映和考核项目资金的规范运行情况。</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合规</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①符合国家财经法规和财务管理制度以及有关专项资金管理办法的规定；</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②资金的拨付有完整的审批程序和手续；</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③符合项目预算批复或合同规定的用途；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④不存在截留、挤占、挪用、虚列支出等情况。</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4项全部符合视为使用合规，得满分；存在①或③或④不满足时属于严重违规事项，本项指标不得分；在①③④同时符合，②不符合时，本项指标得75%权重分；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75"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组织实施（17分）</w:t>
            </w:r>
            <w:r>
              <w:rPr>
                <w:rFonts w:ascii="Arial" w:hAnsi="Arial" w:eastAsia="仿宋_GB2312" w:cs="Arial"/>
                <w:color w:val="000000"/>
                <w:kern w:val="0"/>
                <w:sz w:val="22"/>
                <w:szCs w:val="22"/>
              </w:rPr>
              <w:t> </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xml:space="preserve"> 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健全性</w:t>
            </w: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项目实施单位的管理制度是否健全，是否已制定或具有相应的财务和业务管理制度，财务和业务管理制度是否合法、合规、完整。用以反映和考核财务和业务管理制度对项目顺利实施的保障情况。</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健全</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①制定或具有相应的财务管理制度；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②制定或具有相应的业务管理制度；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③财务管理制度合法、合规、完整；</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④业务管理制度合法、合规、完整。</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4项各占1/4权重分，每有一项不满足，则扣除相应权重分。（需根据实际情况细化制度和修改权重比）</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75"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绩效管理有效性</w:t>
            </w: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上年度绩效评价结果应用于预算安排、政策调整和改进管理情况、本次自评和评价资料报送情况。</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有效</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①本次自评、部门评价资料报送及时性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②本次自评、部门评价资料完整性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③上年度评价结果应用情况</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3项各占1/3权重分，每有一项不满足，则扣除相应权重分。（需根据实际情况细化制度和修改权重比）</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18"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制度执行</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有效性</w:t>
            </w: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项目实施是否符合相关管理规定，用以反映和考核相关管理制度的有效执行情况。</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有效</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①遵守相关法律法规和相关管理规定；</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②项目调整及支出调整手续完备；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③项目合同书、验收报告、技术鉴定等资料齐全并及时归档；</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④项目实施的人员条件、场地设备、信息支撑等落实到位。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4项各占1/4权重分，每有一项不满足，则扣除相应权重分。（需根据实际情况细化制度和修改权重比）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一票否决事项：在巡视巡查、监督检查、审计等工作中发现评价期项目存在问题，本项不得分。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5" w:hRule="atLeast"/>
        </w:trPr>
        <w:tc>
          <w:tcPr>
            <w:tcW w:w="726"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1041"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产出数量（15分）</w:t>
            </w:r>
          </w:p>
        </w:tc>
        <w:tc>
          <w:tcPr>
            <w:tcW w:w="930"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实际完成率</w:t>
            </w: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购买律师事务所服务数量</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5 个</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实际完成率达100%，则得满分，每低于1%，扣除5%权重分，扣完为止。实际产出数偏离计划产出数30%及以上，计算得分后再加扣5分。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5"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30"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开展惠企法律服务讲座等宣传</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30 次</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实际完成率达100%，则得满分，每低于1%，扣除5%权重分，扣完为止。实际产出数偏离计划产出数30%及以上，计算得分后再加扣5分。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30"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为社会企业提供各类惠企咨询、审查、调研、政策解读等服务</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  500 次/月</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实际完成率达100%，则得满分，每低于1%，扣除5%权重分，扣完为止。实际产出数偏离计划产出数30%及以上，计算得分后再加扣5分。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产出质量（5分）</w:t>
            </w:r>
          </w:p>
        </w:tc>
        <w:tc>
          <w:tcPr>
            <w:tcW w:w="930"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w:t>
            </w:r>
          </w:p>
        </w:tc>
        <w:tc>
          <w:tcPr>
            <w:tcW w:w="577"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购买服务质量达标率</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质量达标率达100%，则得满分，每低于1%，扣除5%权重分，扣完为止。</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95"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产出时效</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（5分）</w:t>
            </w:r>
          </w:p>
        </w:tc>
        <w:tc>
          <w:tcPr>
            <w:tcW w:w="93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完成及时率</w:t>
            </w:r>
          </w:p>
        </w:tc>
        <w:tc>
          <w:tcPr>
            <w:tcW w:w="577"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各项目是否均按照计划、文件批复等相关规定及时完成，用以反映和考核项目产出时效目标的实现程度。单个项目采用实际完成时间与计划完成时间相比较，多个项目计算完成及时率=及时完成的项目数/计划项目数*100%</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单个项目实际完成时间≤计划完成时间得满分，实际完成时间＞计划完成时间则不得分；多个项目完成及时率达100%，则得满分，每低于1%，扣除5%权重分，扣完为止。</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25" w:hRule="atLeast"/>
        </w:trPr>
        <w:tc>
          <w:tcPr>
            <w:tcW w:w="726"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（40分）</w:t>
            </w:r>
          </w:p>
        </w:tc>
        <w:tc>
          <w:tcPr>
            <w:tcW w:w="10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社会效益</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社会效益</w:t>
            </w:r>
          </w:p>
        </w:tc>
        <w:tc>
          <w:tcPr>
            <w:tcW w:w="577" w:type="dxa"/>
            <w:tcBorders>
              <w:top w:val="nil"/>
              <w:left w:val="nil"/>
              <w:bottom w:val="nil"/>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3"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25</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向律师事务所购买服务，发挥了第三方社会监督作用，为企业提供政策咨询、权益保障服务，参与政策制定评估并监督政策实施，维护了企业市场主体地位和合法权益。</w:t>
            </w:r>
          </w:p>
        </w:tc>
        <w:tc>
          <w:tcPr>
            <w:tcW w:w="968"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总分与产出总分挂钩。如产出总得分率为90%（含）-100%，则项目效益得分按×产出得分率计算；产出得分率80%（含）-90%，则项目效益按80%计算；产出得分率60%（含）-80%，则项目效益按60%计算；产出得分率小于60%，则项目效益不得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25</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90"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可持续</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影响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（7分）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可持续性</w:t>
            </w:r>
          </w:p>
        </w:tc>
        <w:tc>
          <w:tcPr>
            <w:tcW w:w="577"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3"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3</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考察项目后续运行及成效发挥的可持续影响情况。</w:t>
            </w:r>
          </w:p>
        </w:tc>
        <w:tc>
          <w:tcPr>
            <w:tcW w:w="968"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项目政策影响是从经济、社会和生态效益等方面长远考虑和对未来风险的分析，项目后续运行及成效发挥能够得到可持续发展得满分，未得到可持续发展根据项目计划影响情况可得75%、50%、25%、0的权重分。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3</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50"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项目发展机制可持续性</w:t>
            </w: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考察项目运转是否形成了可持续发展的机制。</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项目运转形成了可持续发展的机制，是指明确管理机构，明确职责、人员分工、管理制度措施则得满分，少一项则扣除25%的权重分。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70" w:hRule="atLeast"/>
        </w:trPr>
        <w:tc>
          <w:tcPr>
            <w:tcW w:w="726"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4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满意度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（8分）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服务对象</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满意度</w:t>
            </w:r>
          </w:p>
        </w:tc>
        <w:tc>
          <w:tcPr>
            <w:tcW w:w="577"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服务对象对项目实施效果的满意程度。</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xml:space="preserve"> ≥ 80%</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服务对象满意度达b%，则得满分，每降低1%，扣除5%权重分。（b根据历史数据、绩效目标、考核目标等确定，通常不低于80%，若低于则需作出说明；若项目存在潜在受益服务对象，应同时对其进行满意度打分。）</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3274"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合计</w:t>
            </w:r>
          </w:p>
        </w:tc>
        <w:tc>
          <w:tcPr>
            <w:tcW w:w="63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100</w:t>
            </w:r>
          </w:p>
        </w:tc>
        <w:tc>
          <w:tcPr>
            <w:tcW w:w="4315"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9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355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93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xml:space="preserve">99.60 </w:t>
            </w:r>
          </w:p>
        </w:tc>
        <w:tc>
          <w:tcPr>
            <w:tcW w:w="98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99.60%</w:t>
            </w:r>
          </w:p>
        </w:tc>
      </w:tr>
    </w:tbl>
    <w:p>
      <w:pPr>
        <w:spacing w:after="305" w:afterLines="50" w:line="600" w:lineRule="exact"/>
        <w:rPr>
          <w:rFonts w:ascii="方正小标宋简体" w:hAnsi="方正小标宋简体" w:eastAsia="方正小标宋简体" w:cs="方正小标宋简体"/>
          <w:sz w:val="24"/>
        </w:rPr>
        <w:sectPr>
          <w:pgSz w:w="16783" w:h="23757"/>
          <w:pgMar w:top="1701" w:right="1077" w:bottom="1701" w:left="1077" w:header="0" w:footer="1418" w:gutter="0"/>
          <w:cols w:space="720" w:num="1"/>
          <w:docGrid w:type="linesAndChars" w:linePitch="610" w:charSpace="-849"/>
        </w:sectPr>
      </w:pPr>
    </w:p>
    <w:tbl>
      <w:tblPr>
        <w:tblStyle w:val="15"/>
        <w:tblW w:w="14659"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4"/>
        <w:gridCol w:w="828"/>
        <w:gridCol w:w="1051"/>
        <w:gridCol w:w="3136"/>
        <w:gridCol w:w="547"/>
        <w:gridCol w:w="3609"/>
        <w:gridCol w:w="843"/>
        <w:gridCol w:w="3299"/>
        <w:gridCol w:w="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14097"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Cs w:val="32"/>
              </w:rPr>
            </w:pPr>
            <w:r>
              <w:rPr>
                <w:rFonts w:hint="eastAsia" w:ascii="仿宋_GB2312" w:hAnsi="Tahoma" w:eastAsia="仿宋_GB2312" w:cs="仿宋_GB2312"/>
                <w:b/>
                <w:color w:val="000000"/>
                <w:kern w:val="0"/>
                <w:szCs w:val="32"/>
              </w:rPr>
              <w:t>项目支出绩效评价指标体系</w:t>
            </w:r>
          </w:p>
        </w:tc>
        <w:tc>
          <w:tcPr>
            <w:tcW w:w="562"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4097"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填报部门（单位）：青岛市法律援助中心                    资金名称：法律援助及12348业务费</w:t>
            </w:r>
          </w:p>
        </w:tc>
        <w:tc>
          <w:tcPr>
            <w:tcW w:w="562"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78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一级</w:t>
            </w:r>
            <w:r>
              <w:rPr>
                <w:rFonts w:hint="eastAsia" w:ascii="仿宋_GB2312" w:hAnsi="Tahoma" w:eastAsia="仿宋_GB2312" w:cs="仿宋_GB2312"/>
                <w:b/>
                <w:color w:val="000000"/>
                <w:kern w:val="0"/>
                <w:sz w:val="22"/>
                <w:szCs w:val="22"/>
              </w:rPr>
              <w:br/>
            </w:r>
            <w:r>
              <w:rPr>
                <w:rFonts w:hint="eastAsia" w:ascii="仿宋_GB2312" w:hAnsi="Tahoma" w:eastAsia="仿宋_GB2312" w:cs="仿宋_GB2312"/>
                <w:b/>
                <w:color w:val="000000"/>
                <w:kern w:val="0"/>
                <w:sz w:val="22"/>
                <w:szCs w:val="22"/>
              </w:rPr>
              <w:t>指标</w:t>
            </w:r>
          </w:p>
        </w:tc>
        <w:tc>
          <w:tcPr>
            <w:tcW w:w="828"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二级指标</w:t>
            </w:r>
          </w:p>
        </w:tc>
        <w:tc>
          <w:tcPr>
            <w:tcW w:w="1051"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三级指标</w:t>
            </w:r>
          </w:p>
        </w:tc>
        <w:tc>
          <w:tcPr>
            <w:tcW w:w="3136"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四级指标</w:t>
            </w:r>
          </w:p>
        </w:tc>
        <w:tc>
          <w:tcPr>
            <w:tcW w:w="547"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权重</w:t>
            </w:r>
          </w:p>
        </w:tc>
        <w:tc>
          <w:tcPr>
            <w:tcW w:w="3609"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指标解释</w:t>
            </w:r>
          </w:p>
        </w:tc>
        <w:tc>
          <w:tcPr>
            <w:tcW w:w="843"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标杆值</w:t>
            </w:r>
          </w:p>
        </w:tc>
        <w:tc>
          <w:tcPr>
            <w:tcW w:w="3299"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评分标准</w:t>
            </w:r>
          </w:p>
        </w:tc>
        <w:tc>
          <w:tcPr>
            <w:tcW w:w="56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0" w:hRule="atLeast"/>
        </w:trPr>
        <w:tc>
          <w:tcPr>
            <w:tcW w:w="784"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决策</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（10分）</w:t>
            </w:r>
          </w:p>
        </w:tc>
        <w:tc>
          <w:tcPr>
            <w:tcW w:w="82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项目立项（2分）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立项依据</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充分性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①项目立项是否符合国家法律法规、国民经济发展规划和相关政策；</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②项目立项是否符合行业发展规划和政策要求；</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③项目立项是否与部门职责范围相符，属于部门履职所需；</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④项目是否属于公共财政支持范围，是否符合中央、地方事权支出责任划分原则；</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⑤项目是否与相关部门同类项目或部门内部相关项目不重复。</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项目立项是否符合法律法规、相关政策、发展规划以及部门职责，用以反映和考核项目立项依据情况。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充分</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5项各占1/5权重分，每有一项不满足，则扣除相应权重分。</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立项程序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规范性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①项目按照规定的程序申请设立；</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②所提交的文件、材料符合相关要求；</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③事前已经过必要的可行性研究、专家论证、风险评估、绩效评估、集体决策等。</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项目的申请、设立过程是否符合相关要求，用以反映和考核项目立项的规范情况。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规范</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若①②③齐全得权重100%；如不符合①得0分；缺②扣权重1/3；缺③扣权重1/3。</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35"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绩效目标（4分）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绩效目标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合理性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①项目有绩效目标；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②项目绩效目标与实际工作内容具有相关性；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③项目预期产出效益和效果符合正常的业绩水平；</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④绩效目标与预算确定的项目投资额或资金量相匹配。</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项目所设定的绩效目标是否依据充分，是否符合客观实际，用以反映和考核项目绩效目标与项目实施的相符情况。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合理</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5"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明确性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①将项目绩效目标细化分解为具体的绩效指标；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②指标值清晰、可衡量；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③指标值与项目年度任务数或计划数相对应。</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依据绩效目标设定的绩效指标是否清晰、细化、可衡量等，用以反映和考核项目绩效目标的明细化情况。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明确</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3项各占1/3权重分，每有一项不满足，则扣除相应权重分。</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资金投入（4分）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预算编制</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科学性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①预算编制经过科学论证；</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②预算内容与项目内容匹配；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③预算额度测算依据充分，按照标准编制；</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④预算确定的项目投资额或资金量与工作任务相匹配。</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项目预算编制是否经过科学论证、有明确标准，资金额度与年度目标是否相适应，用以反映和考核项目预算编制的科学性、合理性情况。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科学</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资金分配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合理性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①项目资金分配是否有测算依据    ②预算安排内容与专项资金的设立目的及年度工作重点是否一致</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考察项目资金分配是否有测算依据，预算安排内容与专项资金的设立目的及年度工作重点是否一致，用以反映和考核项目预算资金分配的科学性、合理性。</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合理</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①项目资金分配有测算依据得1/2权重分；</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②根据预算安排内容与专项资金的设立目的及年度工作重点的匹配程度判断，分别得年度剩余权重的100%、75%、50%、25%和0%。</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70" w:hRule="atLeast"/>
        </w:trPr>
        <w:tc>
          <w:tcPr>
            <w:tcW w:w="784"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过程</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82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资金管理（8分）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资金到位率=（实际到位资金/预算资金）*100%。</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实际到位资金与预算资金的比率，用以反映和考核上年度资金落实情况对项目实施的总体保障程度。资金到位率=（实际到位资金/预算资金）*100%。</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资金到位率达100%得相应权重的100%，每下降1%扣5%权重，扣完相应权重为止。</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62"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预算执行率</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预算执行率=（实际支出金额/实际到位资金）×100%。</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项目预算资金是否按照计划执行，用以反映或考核项目预算执行情况。预算执行率=（实际支出金额/实际到位资金）×100%。</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①已完成的项目，预算执行率100%得满分，每降低1%扣5%权重分，扣完为止。②实施期项目，预算执行率与项目当年实施进度相匹配，预算执行率与项目实际完成率相比较，每偏离1%扣5%权重，扣完相应权重为止。</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2"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资金使用</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合规性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①符合国家财经法规和财务管理制度以及有关专项资金管理办法的规定；</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②资金的拨付有完整的审批程序和手续；</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③符合项目预算批复或合同规定的用途；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④不存在截留、挤占、挪用、虚列支出等情况。</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项目资金使用是否符合相关的财务管理制度规定，用以反映和考核项目资金的规范运行情况。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合规</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4项全部符合视为使用合规，得满分；存在①或③或④不满足时属于严重违规事项，本项指标不得分；在①③④同时符合，②不符合时，本项指标得75%权重分；</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组织实施（17分）</w:t>
            </w:r>
            <w:r>
              <w:rPr>
                <w:rFonts w:ascii="Arial" w:hAnsi="Arial" w:eastAsia="仿宋_GB2312" w:cs="Arial"/>
                <w:color w:val="000000"/>
                <w:kern w:val="0"/>
                <w:sz w:val="22"/>
                <w:szCs w:val="22"/>
              </w:rPr>
              <w:t> </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xml:space="preserve"> 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健全性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①制定或具有相应的财务管理制度；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②制定或具有相应的业务管理制度；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③财务管理制度合法、合规、完整；</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④业务管理制度合法、合规、完整。</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项目实施单位的管理制度是否健全，是否已制定或具有相应的财务和业务管理制度，财务和业务管理制度是否合法、合规、完整。用以反映和考核财务和业务管理制度对项目顺利实施的保障情况。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健全</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4项各占1/4权重分，每有一项不满足，则扣除相应权重分。（需根据实际情况细化制度和修改权重比）</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59"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绩效管理有效性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①本次自评、部门评价资料报送及时性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②本次自评、部门评价资料完整性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③上年度评价结果应用情况</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上年度绩效评价结果应用于预算安排、政策调整和改进管理情况、本次自评和评价资料报送情况。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有效</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3项各占1/3权重分，每有一项不满足，则扣除相应权重分。（需根据实际情况细化制度和修改权重比）</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0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制度执行</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有效性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①遵守相关法律法规和相关管理规定；</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②项目调整及支出调整手续完备；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③项目合同书、验收报告、技术鉴定等资料齐全并及时归档；</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④项目实施的人员条件、场地设备、信息支撑等落实到位。</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项目实施是否符合相关管理规定，用以反映和考核相关管理制度的有效执行情况。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有效</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4项各占1/4权重分，每有一项不满足，则扣除相应权重分。（需根据实际情况细化制度和修改权重比）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一票否决事项：在巡视巡查、监督检查、审计等工作中发现评价期项目存在问题，本项不得分。</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60" w:hRule="atLeast"/>
        </w:trPr>
        <w:tc>
          <w:tcPr>
            <w:tcW w:w="784"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82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产出数量（10分）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实际完成率</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xml:space="preserve">1.热线咨询量≥90000人次           2.指派律师人数≥50人次              3.援助案件完成数量≥90次      </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项目实施的实际产出数与计划产出数的比率，用以反映和考核项目产出数量目标的实现程度。实际完成率=（实际产出数/计划产出数）×100%。</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实际产出数：一定时期（本年度或项目期）内项目实际产出的产品或提供的服务数量。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计划产出数：项目绩效目标确定的在一定时期（本年度或项目期）内计划产出的产品或提供的服务数量。</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实际完成率达100%，则得满分，每低于1%，扣除5%权重分，扣完为止。实际产出数偏离计划产出数30%及以上，计算得分后再加扣5分。</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产出质量（5分）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1.受援人回访率≥20%           2.12348热线接通率≥70%            3.案件优良率≥10%</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609" w:type="dxa"/>
            <w:tcBorders>
              <w:top w:val="nil"/>
              <w:left w:val="nil"/>
              <w:bottom w:val="single" w:color="auto" w:sz="4" w:space="0"/>
              <w:right w:val="single" w:color="auto" w:sz="4" w:space="0"/>
            </w:tcBorders>
            <w:tcMar>
              <w:top w:w="15" w:type="dxa"/>
              <w:left w:w="15" w:type="dxa"/>
              <w:right w:w="15" w:type="dxa"/>
            </w:tcMar>
            <w:vAlign w:val="top"/>
          </w:tcPr>
          <w:p>
            <w:pPr>
              <w:widowControl/>
              <w:jc w:val="left"/>
              <w:textAlignment w:val="top"/>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项目完成的质量达标产出数与实际产出数的比率，用以反映和考核项目产出质量目标的实现程度。质量达标率=（质量达标产出数/计划产出数）×100%。</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质量达标率达100%，则得满分，每低于1%，扣除5%权重分，扣完为止。</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99"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产出时效</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完成及时率</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年内完成100%</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各项目是否均按照计划、文件批复等相关规定及时完成，用以反映和考核项目产出时效目标的实现程度。单个项目采用实际完成时间与计划完成时间相比较，多个项目计算完成及时率=及时完成的项目数/计划项目数*100%</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单个项目实际完成时间≤计划完成时间得满分，实际完成时间＞计划完成时间则不得分；多个项目完成及时率达100%，则得满分，每低于1%，扣除5%权重分，扣完为止。</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3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产出成本</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成本节约率</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成本节约0%≤5%</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完成项目计划工作目标的实际节约成本与计划成本的比率，用以反映和考核项目的成本节约程度。成本节约率=[（计划成本-实际成本）/计划成本]×100%。</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实际成本：项目实施单位如期、保质、保量完成既定工作目标实际所耗费的支出。</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计划成本：项目实施单位为完成工作目标计划安排的支出，一般以项目预算为参考。</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成本节约率大于0%且低于15%，则得满分，每高于（15%）或低于（0%）1%，扣除5%权重分，扣完为止。</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784"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（40分）</w:t>
            </w:r>
          </w:p>
        </w:tc>
        <w:tc>
          <w:tcPr>
            <w:tcW w:w="82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项目效益（25分）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社会效益</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法律援助受益人增加，确保法律援助受益人权益</w:t>
            </w:r>
          </w:p>
        </w:tc>
        <w:tc>
          <w:tcPr>
            <w:tcW w:w="547"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25</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经济效益、社会效益、生态效益指标应根据项目实际情况有选择地设置和细化四级指标和权重，应为定量指标。效益指标应根据部门三定方案工作职能、行业“十四五”规划工作目标、政府重点工作任务、政府综合考核任务、项目绩效目标等确定。</w:t>
            </w:r>
          </w:p>
        </w:tc>
        <w:tc>
          <w:tcPr>
            <w:tcW w:w="843"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增加</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总分与产出总分挂钩。如产出总得分率为90%（含）-100%，则项目效益得分按×产出得分率计算；产出得分率80%（含）-90%，则项目效益按80%计算；产出得分率60%（含）-80%，则项目效益按60%计算；产出得分率小于60%，则项目效益不得分。</w:t>
            </w:r>
          </w:p>
        </w:tc>
        <w:tc>
          <w:tcPr>
            <w:tcW w:w="562"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可持续</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影响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（7分）</w:t>
            </w:r>
          </w:p>
        </w:tc>
        <w:tc>
          <w:tcPr>
            <w:tcW w:w="1051"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项目发展机制可持续性</w:t>
            </w:r>
          </w:p>
        </w:tc>
        <w:tc>
          <w:tcPr>
            <w:tcW w:w="3136"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建立法律援助长效机制</w:t>
            </w:r>
          </w:p>
        </w:tc>
        <w:tc>
          <w:tcPr>
            <w:tcW w:w="547" w:type="dxa"/>
            <w:vMerge w:val="restar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c>
          <w:tcPr>
            <w:tcW w:w="3609"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考察项目运转是否形成了可持续发展的机制。</w:t>
            </w:r>
          </w:p>
        </w:tc>
        <w:tc>
          <w:tcPr>
            <w:tcW w:w="843" w:type="dxa"/>
            <w:vMerge w:val="restar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建立</w:t>
            </w:r>
          </w:p>
        </w:tc>
        <w:tc>
          <w:tcPr>
            <w:tcW w:w="3299"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项目运转形成了可持续发展的机制，是指明确管理机构，明确职责、人员分工、管理制度措施则得满分，少一项则扣除25%的权重分。</w:t>
            </w:r>
          </w:p>
        </w:tc>
        <w:tc>
          <w:tcPr>
            <w:tcW w:w="562" w:type="dxa"/>
            <w:vMerge w:val="restar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51"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3136"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left"/>
              <w:rPr>
                <w:rFonts w:ascii="仿宋_GB2312" w:hAnsi="Tahoma" w:eastAsia="仿宋_GB2312" w:cs="仿宋_GB2312"/>
                <w:color w:val="000000"/>
                <w:sz w:val="22"/>
                <w:szCs w:val="22"/>
              </w:rPr>
            </w:pPr>
          </w:p>
        </w:tc>
        <w:tc>
          <w:tcPr>
            <w:tcW w:w="547" w:type="dxa"/>
            <w:vMerge w:val="continue"/>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3609"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43" w:type="dxa"/>
            <w:vMerge w:val="continue"/>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3299"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left"/>
              <w:rPr>
                <w:rFonts w:ascii="仿宋_GB2312" w:hAnsi="Tahoma" w:eastAsia="仿宋_GB2312" w:cs="仿宋_GB2312"/>
                <w:color w:val="000000"/>
                <w:sz w:val="22"/>
                <w:szCs w:val="22"/>
              </w:rPr>
            </w:pPr>
          </w:p>
        </w:tc>
        <w:tc>
          <w:tcPr>
            <w:tcW w:w="562" w:type="dxa"/>
            <w:vMerge w:val="continue"/>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满意度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（8分）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服务对象</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满意度</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法律援助受益人满意度≥95%</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考察社会公众或服务对象对项目实施效果的满意程度。社会公众或服务对象是指因该项目实施而受到影响的部门（单位）、群体或个人。一般采取社会调查的方式。</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≥95%</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服务对象满意度达b%，则得满分，每降低1%，扣除5%权重分。（b根据历史数据、绩效目标、考核目标等确定，通常不低于80%，若低于则需作出说明；若项目存在潜在受益服务对象，应同时对其进行满意度打分。）</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5799"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合计</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100</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97.4</w:t>
            </w:r>
          </w:p>
        </w:tc>
      </w:tr>
    </w:tbl>
    <w:p>
      <w:pPr>
        <w:spacing w:after="305" w:afterLines="50" w:line="600" w:lineRule="exact"/>
        <w:rPr>
          <w:rFonts w:ascii="方正小标宋简体" w:hAnsi="方正小标宋简体" w:eastAsia="方正小标宋简体" w:cs="方正小标宋简体"/>
          <w:sz w:val="24"/>
        </w:rPr>
        <w:sectPr>
          <w:pgSz w:w="16783" w:h="23757"/>
          <w:pgMar w:top="1701" w:right="1077" w:bottom="1701" w:left="1077" w:header="0" w:footer="1418" w:gutter="0"/>
          <w:cols w:space="720" w:num="1"/>
          <w:docGrid w:type="linesAndChars" w:linePitch="610" w:charSpace="-849"/>
        </w:sectPr>
      </w:pPr>
    </w:p>
    <w:tbl>
      <w:tblPr>
        <w:tblStyle w:val="15"/>
        <w:tblW w:w="14659"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4"/>
        <w:gridCol w:w="828"/>
        <w:gridCol w:w="1051"/>
        <w:gridCol w:w="3136"/>
        <w:gridCol w:w="547"/>
        <w:gridCol w:w="3609"/>
        <w:gridCol w:w="843"/>
        <w:gridCol w:w="3299"/>
        <w:gridCol w:w="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14097"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Cs w:val="32"/>
              </w:rPr>
            </w:pPr>
            <w:r>
              <w:rPr>
                <w:rFonts w:hint="eastAsia" w:ascii="仿宋_GB2312" w:hAnsi="Tahoma" w:eastAsia="仿宋_GB2312" w:cs="仿宋_GB2312"/>
                <w:b/>
                <w:color w:val="000000"/>
                <w:kern w:val="0"/>
                <w:szCs w:val="32"/>
              </w:rPr>
              <w:t>项目支出绩效评价指标体系</w:t>
            </w:r>
          </w:p>
        </w:tc>
        <w:tc>
          <w:tcPr>
            <w:tcW w:w="562"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4097" w:type="dxa"/>
            <w:gridSpan w:val="8"/>
            <w:tcBorders>
              <w:top w:val="nil"/>
              <w:left w:val="nil"/>
              <w:bottom w:val="nil"/>
              <w:right w:val="nil"/>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填报部门（单位）：青岛市法律援助中心                    资金名称：公共法律服务中心建设运行费</w:t>
            </w:r>
          </w:p>
        </w:tc>
        <w:tc>
          <w:tcPr>
            <w:tcW w:w="562" w:type="dxa"/>
            <w:tcBorders>
              <w:top w:val="nil"/>
              <w:left w:val="nil"/>
              <w:bottom w:val="nil"/>
              <w:right w:val="nil"/>
            </w:tcBorders>
            <w:tcMar>
              <w:top w:w="15" w:type="dxa"/>
              <w:left w:w="15" w:type="dxa"/>
              <w:right w:w="15" w:type="dxa"/>
            </w:tcMar>
            <w:vAlign w:val="center"/>
          </w:tcPr>
          <w:p>
            <w:pP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78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一级</w:t>
            </w:r>
            <w:r>
              <w:rPr>
                <w:rFonts w:hint="eastAsia" w:ascii="仿宋_GB2312" w:hAnsi="Tahoma" w:eastAsia="仿宋_GB2312" w:cs="仿宋_GB2312"/>
                <w:b/>
                <w:color w:val="000000"/>
                <w:kern w:val="0"/>
                <w:sz w:val="22"/>
                <w:szCs w:val="22"/>
              </w:rPr>
              <w:br/>
            </w:r>
            <w:r>
              <w:rPr>
                <w:rFonts w:hint="eastAsia" w:ascii="仿宋_GB2312" w:hAnsi="Tahoma" w:eastAsia="仿宋_GB2312" w:cs="仿宋_GB2312"/>
                <w:b/>
                <w:color w:val="000000"/>
                <w:kern w:val="0"/>
                <w:sz w:val="22"/>
                <w:szCs w:val="22"/>
              </w:rPr>
              <w:t>指标</w:t>
            </w:r>
          </w:p>
        </w:tc>
        <w:tc>
          <w:tcPr>
            <w:tcW w:w="828"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二级指标</w:t>
            </w:r>
          </w:p>
        </w:tc>
        <w:tc>
          <w:tcPr>
            <w:tcW w:w="1051"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三级指标</w:t>
            </w:r>
          </w:p>
        </w:tc>
        <w:tc>
          <w:tcPr>
            <w:tcW w:w="3136"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四级指标</w:t>
            </w:r>
          </w:p>
        </w:tc>
        <w:tc>
          <w:tcPr>
            <w:tcW w:w="547"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权重</w:t>
            </w:r>
          </w:p>
        </w:tc>
        <w:tc>
          <w:tcPr>
            <w:tcW w:w="3609"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指标解释</w:t>
            </w:r>
          </w:p>
        </w:tc>
        <w:tc>
          <w:tcPr>
            <w:tcW w:w="843"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标杆值</w:t>
            </w:r>
          </w:p>
        </w:tc>
        <w:tc>
          <w:tcPr>
            <w:tcW w:w="3299" w:type="dxa"/>
            <w:tcBorders>
              <w:top w:val="single" w:color="auto" w:sz="4" w:space="0"/>
              <w:left w:val="nil"/>
              <w:bottom w:val="single" w:color="auto" w:sz="4" w:space="0"/>
              <w:right w:val="single" w:color="auto" w:sz="4" w:space="0"/>
            </w:tcBorders>
            <w:shd w:val="clear" w:color="000000" w:fill="FFFFFF"/>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评分标准</w:t>
            </w:r>
          </w:p>
        </w:tc>
        <w:tc>
          <w:tcPr>
            <w:tcW w:w="562"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0" w:hRule="atLeast"/>
        </w:trPr>
        <w:tc>
          <w:tcPr>
            <w:tcW w:w="784"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决策</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（10分）</w:t>
            </w:r>
          </w:p>
        </w:tc>
        <w:tc>
          <w:tcPr>
            <w:tcW w:w="82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项目立项（2分）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立项依据</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充分性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①项目立项是否符合国家法律法规、国民经济发展规划和相关政策；</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②项目立项是否符合行业发展规划和政策要求；</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③项目立项是否与部门职责范围相符，属于部门履职所需；</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④项目是否属于公共财政支持范围，是否符合中央、地方事权支出责任划分原则；</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⑤项目是否与相关部门同类项目或部门内部相关项目不重复。</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项目立项是否符合法律法规、相关政策、发展规划以及部门职责，用以反映和考核项目立项依据情况。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充分</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5项各占1/5权重分，每有一项不满足，则扣除相应权重分。</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立项程序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规范性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①项目按照规定的程序申请设立；</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②所提交的文件、材料符合相关要求；</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③事前已经过必要的可行性研究、专家论证、风险评估、绩效评估、集体决策等。</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项目的申请、设立过程是否符合相关要求，用以反映和考核项目立项的规范情况。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规范</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若①②③齐全得权重100%；如不符合①得0分；缺②扣权重1/3；缺③扣权重1/3。</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35"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绩效目标（4分）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绩效目标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合理性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①项目有绩效目标；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②项目绩效目标与实际工作内容具有相关性；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③项目预期产出效益和效果符合正常的业绩水平；</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④绩效目标与预算确定的项目投资额或资金量相匹配。</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项目所设定的绩效目标是否依据充分，是否符合客观实际，用以反映和考核项目绩效目标与项目实施的相符情况。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合理</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45"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明确性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①将项目绩效目标细化分解为具体的绩效指标；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②指标值清晰、可衡量；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③指标值与项目年度任务数或计划数相对应。</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依据绩效目标设定的绩效指标是否清晰、细化、可衡量等，用以反映和考核项目绩效目标的明细化情况。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明确</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3项各占1/3权重分，每有一项不满足，则扣除相应权重分。</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资金投入（4分）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预算编制</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科学性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①预算编制经过科学论证；</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②预算内容与项目内容匹配；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③预算额度测算依据充分，按照标准编制；</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④预算确定的项目投资额或资金量与工作任务相匹配。</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项目预算编制是否经过科学论证、有明确标准，资金额度与年度目标是否相适应，用以反映和考核项目预算编制的科学性、合理性情况。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科学</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资金分配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合理性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①项目资金分配是否有测算依据    ②预算安排内容与专项资金的设立目的及年度工作重点是否一致</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考察项目资金分配是否有测算依据，预算安排内容与专项资金的设立目的及年度工作重点是否一致，用以反映和考核项目预算资金分配的科学性、合理性。</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合理</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①项目资金分配有测算依据得1/2权重分；</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②根据预算安排内容与专项资金的设立目的及年度工作重点的匹配程度判断，分别得年度剩余权重的100%、75%、50%、25%和0%。</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70" w:hRule="atLeast"/>
        </w:trPr>
        <w:tc>
          <w:tcPr>
            <w:tcW w:w="784"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过程</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82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资金管理（8分）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资金到位率=（实际到位资金/预算资金）*100%。</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实际到位资金与预算资金的比率，用以反映和考核上年度资金落实情况对项目实施的总体保障程度。资金到位率=（实际到位资金/预算资金）*100%。</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资金到位率达100%得相应权重的100%，每下降1%扣5%权重，扣完相应权重为止。</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62"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预算执行率</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预算执行率=（实际支出金额/实际到位资金）×100%。</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项目预算资金是否按照计划执行，用以反映或考核项目预算执行情况。预算执行率=（实际支出金额/实际到位资金）×100%。</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①已完成的项目，预算执行率100%得满分，每降低1%扣5%权重分，扣完为止。②实施期项目，预算执行率与项目当年实施进度相匹配，预算执行率与项目实际完成率相比较，每偏离1%扣5%权重，扣完相应权重为止。</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79"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资金使用</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合规性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①符合国家财经法规和财务管理制度以及有关专项资金管理办法的规定；</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②资金的拨付有完整的审批程序和手续；</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③符合项目预算批复或合同规定的用途；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④不存在截留、挤占、挪用、虚列支出等情况。</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项目资金使用是否符合相关的财务管理制度规定，用以反映和考核项目资金的规范运行情况。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合规</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4项全部符合视为使用合规，得满分；存在①或③或④不满足时属于严重违规事项，本项指标不得分；在①③④同时符合，②不符合时，本项指标得75%权重分；</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组织实施（17分）</w:t>
            </w:r>
            <w:r>
              <w:rPr>
                <w:rFonts w:ascii="Arial" w:hAnsi="Arial" w:eastAsia="仿宋_GB2312" w:cs="Arial"/>
                <w:color w:val="000000"/>
                <w:kern w:val="0"/>
                <w:sz w:val="22"/>
                <w:szCs w:val="22"/>
              </w:rPr>
              <w:t> </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xml:space="preserve"> 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健全性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①制定或具有相应的财务管理制度；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②制定或具有相应的业务管理制度；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③财务管理制度合法、合规、完整；</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④业务管理制度合法、合规、完整。</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项目实施单位的管理制度是否健全，是否已制定或具有相应的财务和业务管理制度，财务和业务管理制度是否合法、合规、完整。用以反映和考核财务和业务管理制度对项目顺利实施的保障情况。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健全</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4项各占1/4权重分，每有一项不满足，则扣除相应权重分。（需根据实际情况细化制度和修改权重比）</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22"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绩效管理有效性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①本次自评、部门评价资料报送及时性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②本次自评、部门评价资料完整性</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③上年度评价结果应用情况</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上年度绩效评价结果应用于预算安排、政策调整和改进管理情况、本次自评和评价资料报送情况。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有效</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3项各占1/3权重分，每有一项不满足，则扣除相应权重分。（需根据实际情况细化制度和修改权重比）</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42"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制度执行</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有效性</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①遵守相关法律法规和相关管理规定；</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②项目调整及支出调整手续完备；</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③项目合同书、验收报告、技术鉴定等资料齐全并及时归档；</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④项目实施的人员条件、场地设备、信息支撑等落实到位。</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项目实施是否符合相关管理规定，用以反映和考核相关管理制度的有效执行情况。</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有效</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4项各占1/4权重分，每有一项不满足，则扣除相应权重分。（需根据实际情况细化制度和修改权重比）</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一票否决事项：在巡视巡查、监督检查、审计等工作中发现评价期项目存在问题，本项不得分。</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40" w:hRule="atLeast"/>
        </w:trPr>
        <w:tc>
          <w:tcPr>
            <w:tcW w:w="784"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(25分)</w:t>
            </w:r>
          </w:p>
        </w:tc>
        <w:tc>
          <w:tcPr>
            <w:tcW w:w="82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产出数量（10分）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实际完成率</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1.办理非诉讼调解案件≥100件        2.接待咨询量≥ 5000 人次</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项目实施的实际产出数与计划产出数的比率，用以反映和考核项目产出数量目标的实现程度。实际完成率=（实际产出数/计划产出数）×100%。</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实际产出数：一定时期（本年度或项目期）内项目实际产出的产品或提供的服务数量。</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计划产出数：项目绩效目标确定的在一定时期（本年度或项目期）内计划产出的产品或提供的服务数量。</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实际完成率达100%，则得满分，每低于1%，扣除5%权重分，扣完为止。实际产出数偏离计划产出数30%及以上，计算得分后再加扣5分。</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产出质量（5分）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1.非诉讼调解案件成功率≥ 50 %</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609" w:type="dxa"/>
            <w:tcBorders>
              <w:top w:val="nil"/>
              <w:left w:val="nil"/>
              <w:bottom w:val="single" w:color="auto" w:sz="4" w:space="0"/>
              <w:right w:val="single" w:color="auto" w:sz="4" w:space="0"/>
            </w:tcBorders>
            <w:tcMar>
              <w:top w:w="15" w:type="dxa"/>
              <w:left w:w="15" w:type="dxa"/>
              <w:right w:w="15" w:type="dxa"/>
            </w:tcMar>
            <w:vAlign w:val="top"/>
          </w:tcPr>
          <w:p>
            <w:pPr>
              <w:widowControl/>
              <w:jc w:val="left"/>
              <w:textAlignment w:val="top"/>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项目完成的质量达标产出数与实际产出数的比率，用以反映和考核项目产出质量目标的实现程度。质量达标率=（质量达标产出数/计划产出数）×100%。</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质量达标率达50%，则得满分，每低于1%，扣除5%权重分，扣完为止。</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22"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产出时效</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完成及时率</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为企业化解纠纷年内完成100%</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各项目是否均按照计划、文件批复等相关规定及时完成，用以反映和考核项目产出时效目标的实现程度。单个项目采用实际完成时间与计划完成时间相比较，多个项目计算完成及时率=及时完成的项目数/计划项目数*100%</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100%</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单个项目实际完成时间≤计划完成时间得满分，实际完成时间＞计划完成时间则不得分；多个项目完成及时率达100%，则得满分，每低于1%，扣除5%权重分，扣完为止。</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79"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产出成本</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（5分）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成本节约率</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成本节约0%≤5%</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完成项目计划工作目标的实际节约成本与计划成本的比率，用以反映和考核项目的成本节约程度。成本节约率=[（计划成本-实际成本）/计划成本]×100%。</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实际成本：项目实施单位如期、保质、保量完成既定工作目标实际所耗费的支出。</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计划成本：项目实施单位为完成工作目标计划安排的支出，一般以项目预算为参考。</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0%-15%</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成本节约率大于0%且低于15%，则得满分，每高于（15%）或低于（0%）1%，扣除5%权重分，扣完为止。</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784"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（40分）</w:t>
            </w:r>
          </w:p>
        </w:tc>
        <w:tc>
          <w:tcPr>
            <w:tcW w:w="82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项目效益（25分）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社会效益</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完成上级考核任务，处理非诉讼纠纷调解，进行法治宣传，公共法律服务中心正常运行。</w:t>
            </w:r>
          </w:p>
        </w:tc>
        <w:tc>
          <w:tcPr>
            <w:tcW w:w="547"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25</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经济效益、社会效益、生态效益指标应根据项目实际情况有选择地设置和细化四级指标和权重，应为定量指标。效益指标应根据部门三定方案工作职能、行业“十四五”规划工作目标、政府重点工作任务、政府综合考核任务、项目绩效目标等确定。</w:t>
            </w:r>
          </w:p>
        </w:tc>
        <w:tc>
          <w:tcPr>
            <w:tcW w:w="843"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明显</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效益总分与产出总分挂钩。如产出总得分率为90%（含）-100%，则项目效益得分按×产出得分率计算；产出得分率80%（含）-90%，则项目效益按80%计算；产出得分率60%（含）-80%，则项目效益按60%计算；产出得分率小于60%，则项目效益不得分。</w:t>
            </w:r>
          </w:p>
        </w:tc>
        <w:tc>
          <w:tcPr>
            <w:tcW w:w="562" w:type="dxa"/>
            <w:tcBorders>
              <w:top w:val="nil"/>
              <w:left w:val="nil"/>
              <w:bottom w:val="nil"/>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可持续</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影响</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（7分）</w:t>
            </w:r>
          </w:p>
        </w:tc>
        <w:tc>
          <w:tcPr>
            <w:tcW w:w="1051"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项目发展机制可持续性</w:t>
            </w:r>
          </w:p>
        </w:tc>
        <w:tc>
          <w:tcPr>
            <w:tcW w:w="3136"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建立中心正常运行长效机制</w:t>
            </w:r>
          </w:p>
        </w:tc>
        <w:tc>
          <w:tcPr>
            <w:tcW w:w="547" w:type="dxa"/>
            <w:vMerge w:val="restar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c>
          <w:tcPr>
            <w:tcW w:w="3609"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考察项目运转是否形成了可持续发展的机制。</w:t>
            </w:r>
          </w:p>
        </w:tc>
        <w:tc>
          <w:tcPr>
            <w:tcW w:w="843" w:type="dxa"/>
            <w:vMerge w:val="restar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建立</w:t>
            </w:r>
          </w:p>
        </w:tc>
        <w:tc>
          <w:tcPr>
            <w:tcW w:w="3299"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项目运转形成了可持续发展的机制，是指明确管理机构，明确职责、人员分工、管理制度措施则得满分，少一项则扣除25%的权重分。</w:t>
            </w:r>
          </w:p>
        </w:tc>
        <w:tc>
          <w:tcPr>
            <w:tcW w:w="562" w:type="dxa"/>
            <w:vMerge w:val="restar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1051"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3136"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left"/>
              <w:rPr>
                <w:rFonts w:ascii="仿宋_GB2312" w:hAnsi="Tahoma" w:eastAsia="仿宋_GB2312" w:cs="仿宋_GB2312"/>
                <w:color w:val="000000"/>
                <w:sz w:val="22"/>
                <w:szCs w:val="22"/>
              </w:rPr>
            </w:pPr>
          </w:p>
        </w:tc>
        <w:tc>
          <w:tcPr>
            <w:tcW w:w="547" w:type="dxa"/>
            <w:vMerge w:val="continue"/>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3609"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43" w:type="dxa"/>
            <w:vMerge w:val="continue"/>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3299"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jc w:val="left"/>
              <w:rPr>
                <w:rFonts w:ascii="仿宋_GB2312" w:hAnsi="Tahoma" w:eastAsia="仿宋_GB2312" w:cs="仿宋_GB2312"/>
                <w:color w:val="000000"/>
                <w:sz w:val="22"/>
                <w:szCs w:val="22"/>
              </w:rPr>
            </w:pPr>
          </w:p>
        </w:tc>
        <w:tc>
          <w:tcPr>
            <w:tcW w:w="562" w:type="dxa"/>
            <w:vMerge w:val="continue"/>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0" w:hRule="atLeast"/>
        </w:trPr>
        <w:tc>
          <w:tcPr>
            <w:tcW w:w="78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_GB2312" w:hAnsi="Tahoma" w:eastAsia="仿宋_GB2312" w:cs="仿宋_GB2312"/>
                <w:color w:val="000000"/>
                <w:sz w:val="22"/>
                <w:szCs w:val="22"/>
              </w:rPr>
            </w:pPr>
          </w:p>
        </w:tc>
        <w:tc>
          <w:tcPr>
            <w:tcW w:w="82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满意度</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（8分）</w:t>
            </w:r>
          </w:p>
        </w:tc>
        <w:tc>
          <w:tcPr>
            <w:tcW w:w="105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服务对象</w:t>
            </w:r>
            <w:r>
              <w:rPr>
                <w:rFonts w:hint="eastAsia" w:ascii="仿宋_GB2312" w:hAnsi="Tahoma" w:eastAsia="仿宋_GB2312" w:cs="仿宋_GB2312"/>
                <w:color w:val="000000"/>
                <w:kern w:val="0"/>
                <w:sz w:val="22"/>
                <w:szCs w:val="22"/>
              </w:rPr>
              <w:br/>
            </w:r>
            <w:r>
              <w:rPr>
                <w:rFonts w:hint="eastAsia" w:ascii="仿宋_GB2312" w:hAnsi="Tahoma" w:eastAsia="仿宋_GB2312" w:cs="仿宋_GB2312"/>
                <w:color w:val="000000"/>
                <w:kern w:val="0"/>
                <w:sz w:val="22"/>
                <w:szCs w:val="22"/>
              </w:rPr>
              <w:t>满意度</w:t>
            </w:r>
          </w:p>
        </w:tc>
        <w:tc>
          <w:tcPr>
            <w:tcW w:w="3136"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 xml:space="preserve">1.咨询人员满意度≥85%             2.调解成功案件受益人满意度≥85% </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考察社会公众或服务对象对项目实施效果的满意程度。社会公众或服务对象是指因该项目实施而受到影响的部门（单位）、群体或个人。一般采取社会调查的方式。</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≥85%</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服务对象满意度达b%，则得满分，每降低1%，扣除5%权重分。（b根据历史数据、绩效目标、考核目标等确定，通常不低于80%，若低于则需作出说明；若项目存在潜在受益服务对象，应同时对其进行满意度打分。）</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color w:val="000000"/>
                <w:sz w:val="22"/>
                <w:szCs w:val="22"/>
              </w:rPr>
            </w:pPr>
            <w:r>
              <w:rPr>
                <w:rFonts w:hint="eastAsia" w:ascii="仿宋_GB2312" w:hAnsi="Tahoma" w:eastAsia="仿宋_GB2312" w:cs="仿宋_GB2312"/>
                <w:color w:val="000000"/>
                <w:kern w:val="0"/>
                <w:sz w:val="22"/>
                <w:szCs w:val="22"/>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5799"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合计</w:t>
            </w:r>
          </w:p>
        </w:tc>
        <w:tc>
          <w:tcPr>
            <w:tcW w:w="54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100</w:t>
            </w:r>
          </w:p>
        </w:tc>
        <w:tc>
          <w:tcPr>
            <w:tcW w:w="3609"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84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3299"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　</w:t>
            </w:r>
          </w:p>
        </w:tc>
        <w:tc>
          <w:tcPr>
            <w:tcW w:w="56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_GB2312" w:hAnsi="Tahoma" w:eastAsia="仿宋_GB2312" w:cs="仿宋_GB2312"/>
                <w:b/>
                <w:color w:val="000000"/>
                <w:sz w:val="22"/>
                <w:szCs w:val="22"/>
              </w:rPr>
            </w:pPr>
            <w:r>
              <w:rPr>
                <w:rFonts w:hint="eastAsia" w:ascii="仿宋_GB2312" w:hAnsi="Tahoma" w:eastAsia="仿宋_GB2312" w:cs="仿宋_GB2312"/>
                <w:b/>
                <w:color w:val="000000"/>
                <w:kern w:val="0"/>
                <w:sz w:val="22"/>
                <w:szCs w:val="22"/>
              </w:rPr>
              <w:t>95.5</w:t>
            </w:r>
          </w:p>
        </w:tc>
      </w:tr>
    </w:tbl>
    <w:p>
      <w:pPr>
        <w:spacing w:after="305" w:afterLines="50" w:line="600" w:lineRule="exact"/>
        <w:rPr>
          <w:rFonts w:ascii="方正小标宋简体" w:hAnsi="方正小标宋简体" w:eastAsia="方正小标宋简体" w:cs="方正小标宋简体"/>
          <w:sz w:val="24"/>
        </w:rPr>
      </w:pPr>
    </w:p>
    <w:sectPr>
      <w:pgSz w:w="16783" w:h="23757"/>
      <w:pgMar w:top="1701" w:right="1077" w:bottom="1701" w:left="1077" w:header="0" w:footer="1418" w:gutter="0"/>
      <w:cols w:space="720" w:num="1"/>
      <w:docGrid w:type="linesAndChars" w:linePitch="61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12" w:usb3="00000000" w:csb0="00040001"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63576657">
    <w:nsid w:val="63282A51"/>
    <w:multiLevelType w:val="singleLevel"/>
    <w:tmpl w:val="63282A51"/>
    <w:lvl w:ilvl="0" w:tentative="1">
      <w:start w:val="1"/>
      <w:numFmt w:val="decimal"/>
      <w:suff w:val="nothing"/>
      <w:lvlText w:val="%1."/>
      <w:lvlJc w:val="left"/>
    </w:lvl>
  </w:abstractNum>
  <w:num w:numId="1">
    <w:abstractNumId w:val="16635766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bordersDoNotSurroundHeader w:val="1"/>
  <w:bordersDoNotSurroundFooter w:val="1"/>
  <w:documentProtection w:enforcement="0"/>
  <w:defaultTabStop w:val="420"/>
  <w:drawingGridHorizontalSpacing w:val="158"/>
  <w:drawingGridVerticalSpacing w:val="3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zIzNzE5ZjcyYjhmYTllOWQxOTUwZmJiNmM1MWUwN2IifQ=="/>
  </w:docVars>
  <w:rsids>
    <w:rsidRoot w:val="00172A27"/>
    <w:rsid w:val="000014E1"/>
    <w:rsid w:val="0000396E"/>
    <w:rsid w:val="000051C9"/>
    <w:rsid w:val="000054CC"/>
    <w:rsid w:val="00010EE4"/>
    <w:rsid w:val="00011A23"/>
    <w:rsid w:val="00011E23"/>
    <w:rsid w:val="00013AA6"/>
    <w:rsid w:val="0001550E"/>
    <w:rsid w:val="000254F5"/>
    <w:rsid w:val="00026A16"/>
    <w:rsid w:val="00026CA6"/>
    <w:rsid w:val="0002779D"/>
    <w:rsid w:val="000316F7"/>
    <w:rsid w:val="000327A9"/>
    <w:rsid w:val="00032920"/>
    <w:rsid w:val="00036864"/>
    <w:rsid w:val="000368A1"/>
    <w:rsid w:val="00037DDA"/>
    <w:rsid w:val="0004120A"/>
    <w:rsid w:val="00042165"/>
    <w:rsid w:val="0004356C"/>
    <w:rsid w:val="00046FC3"/>
    <w:rsid w:val="00050C15"/>
    <w:rsid w:val="00050D25"/>
    <w:rsid w:val="000524C6"/>
    <w:rsid w:val="00052EFB"/>
    <w:rsid w:val="00053AB6"/>
    <w:rsid w:val="00054331"/>
    <w:rsid w:val="00056332"/>
    <w:rsid w:val="00057D13"/>
    <w:rsid w:val="000614FD"/>
    <w:rsid w:val="00064F2A"/>
    <w:rsid w:val="00066B73"/>
    <w:rsid w:val="00070B69"/>
    <w:rsid w:val="00070C8F"/>
    <w:rsid w:val="000716A4"/>
    <w:rsid w:val="00071966"/>
    <w:rsid w:val="00073B4C"/>
    <w:rsid w:val="00081A93"/>
    <w:rsid w:val="000820E1"/>
    <w:rsid w:val="000830CE"/>
    <w:rsid w:val="0008333B"/>
    <w:rsid w:val="00083BFB"/>
    <w:rsid w:val="00084F74"/>
    <w:rsid w:val="00086A39"/>
    <w:rsid w:val="00086E32"/>
    <w:rsid w:val="000875CD"/>
    <w:rsid w:val="0008760C"/>
    <w:rsid w:val="00087CBE"/>
    <w:rsid w:val="00093717"/>
    <w:rsid w:val="00094090"/>
    <w:rsid w:val="000950AD"/>
    <w:rsid w:val="00095C8B"/>
    <w:rsid w:val="0009684C"/>
    <w:rsid w:val="00096D61"/>
    <w:rsid w:val="000A4003"/>
    <w:rsid w:val="000B16B3"/>
    <w:rsid w:val="000B216D"/>
    <w:rsid w:val="000B2A1D"/>
    <w:rsid w:val="000B2A9D"/>
    <w:rsid w:val="000B329E"/>
    <w:rsid w:val="000B4533"/>
    <w:rsid w:val="000B62E0"/>
    <w:rsid w:val="000B7BEE"/>
    <w:rsid w:val="000C0F84"/>
    <w:rsid w:val="000C3FFF"/>
    <w:rsid w:val="000C5813"/>
    <w:rsid w:val="000D1248"/>
    <w:rsid w:val="000D219C"/>
    <w:rsid w:val="000D2AEF"/>
    <w:rsid w:val="000D5A5F"/>
    <w:rsid w:val="000E3FFA"/>
    <w:rsid w:val="000E4218"/>
    <w:rsid w:val="000F0028"/>
    <w:rsid w:val="000F14FD"/>
    <w:rsid w:val="000F20AA"/>
    <w:rsid w:val="000F2950"/>
    <w:rsid w:val="000F40F1"/>
    <w:rsid w:val="000F53DF"/>
    <w:rsid w:val="000F797A"/>
    <w:rsid w:val="0010076A"/>
    <w:rsid w:val="001068B7"/>
    <w:rsid w:val="00110FFF"/>
    <w:rsid w:val="001127C5"/>
    <w:rsid w:val="001130A1"/>
    <w:rsid w:val="0011406B"/>
    <w:rsid w:val="0011436E"/>
    <w:rsid w:val="00114A8B"/>
    <w:rsid w:val="0011784D"/>
    <w:rsid w:val="001217FF"/>
    <w:rsid w:val="00123414"/>
    <w:rsid w:val="00124656"/>
    <w:rsid w:val="0012551C"/>
    <w:rsid w:val="00130C3A"/>
    <w:rsid w:val="001319FA"/>
    <w:rsid w:val="00131F72"/>
    <w:rsid w:val="00131F88"/>
    <w:rsid w:val="00135941"/>
    <w:rsid w:val="00137B81"/>
    <w:rsid w:val="0014113E"/>
    <w:rsid w:val="00143419"/>
    <w:rsid w:val="001447E6"/>
    <w:rsid w:val="00146927"/>
    <w:rsid w:val="00152556"/>
    <w:rsid w:val="00156430"/>
    <w:rsid w:val="001609DF"/>
    <w:rsid w:val="0016333C"/>
    <w:rsid w:val="00163840"/>
    <w:rsid w:val="00164D8E"/>
    <w:rsid w:val="0016752D"/>
    <w:rsid w:val="00167D8B"/>
    <w:rsid w:val="00172A27"/>
    <w:rsid w:val="00173622"/>
    <w:rsid w:val="00173F64"/>
    <w:rsid w:val="001744FD"/>
    <w:rsid w:val="001779FA"/>
    <w:rsid w:val="001806E9"/>
    <w:rsid w:val="0018190E"/>
    <w:rsid w:val="00182B84"/>
    <w:rsid w:val="00182E3E"/>
    <w:rsid w:val="001877CE"/>
    <w:rsid w:val="00191D94"/>
    <w:rsid w:val="00192220"/>
    <w:rsid w:val="001926FA"/>
    <w:rsid w:val="00192C75"/>
    <w:rsid w:val="00192DBA"/>
    <w:rsid w:val="00196B03"/>
    <w:rsid w:val="00196C2D"/>
    <w:rsid w:val="001A0D7C"/>
    <w:rsid w:val="001A3116"/>
    <w:rsid w:val="001A51F6"/>
    <w:rsid w:val="001A62C9"/>
    <w:rsid w:val="001B0F47"/>
    <w:rsid w:val="001B1D17"/>
    <w:rsid w:val="001B2B8E"/>
    <w:rsid w:val="001B39D5"/>
    <w:rsid w:val="001C06F6"/>
    <w:rsid w:val="001C1F7C"/>
    <w:rsid w:val="001C2B96"/>
    <w:rsid w:val="001C5232"/>
    <w:rsid w:val="001C6921"/>
    <w:rsid w:val="001D121F"/>
    <w:rsid w:val="001D49E1"/>
    <w:rsid w:val="001D6856"/>
    <w:rsid w:val="001D6B45"/>
    <w:rsid w:val="001D772B"/>
    <w:rsid w:val="001E1804"/>
    <w:rsid w:val="001E1CB0"/>
    <w:rsid w:val="001E5194"/>
    <w:rsid w:val="001E524F"/>
    <w:rsid w:val="001E6D89"/>
    <w:rsid w:val="001E781F"/>
    <w:rsid w:val="001F226D"/>
    <w:rsid w:val="001F3816"/>
    <w:rsid w:val="001F6A36"/>
    <w:rsid w:val="00200FFD"/>
    <w:rsid w:val="0020145C"/>
    <w:rsid w:val="0020577D"/>
    <w:rsid w:val="00210081"/>
    <w:rsid w:val="00210DA6"/>
    <w:rsid w:val="00212B79"/>
    <w:rsid w:val="00213166"/>
    <w:rsid w:val="002153BC"/>
    <w:rsid w:val="00216FF8"/>
    <w:rsid w:val="002178AA"/>
    <w:rsid w:val="00220024"/>
    <w:rsid w:val="00220711"/>
    <w:rsid w:val="00220DCC"/>
    <w:rsid w:val="00221B90"/>
    <w:rsid w:val="00222033"/>
    <w:rsid w:val="002241A2"/>
    <w:rsid w:val="002247C1"/>
    <w:rsid w:val="002258A6"/>
    <w:rsid w:val="00226237"/>
    <w:rsid w:val="002264BC"/>
    <w:rsid w:val="00227A86"/>
    <w:rsid w:val="00227D74"/>
    <w:rsid w:val="00232DA0"/>
    <w:rsid w:val="00233412"/>
    <w:rsid w:val="002338C6"/>
    <w:rsid w:val="00236615"/>
    <w:rsid w:val="00237324"/>
    <w:rsid w:val="00242F14"/>
    <w:rsid w:val="002445E3"/>
    <w:rsid w:val="002448F9"/>
    <w:rsid w:val="0024752A"/>
    <w:rsid w:val="002506F5"/>
    <w:rsid w:val="00251E4A"/>
    <w:rsid w:val="002531F5"/>
    <w:rsid w:val="00254610"/>
    <w:rsid w:val="00254B3E"/>
    <w:rsid w:val="00254C53"/>
    <w:rsid w:val="0025593F"/>
    <w:rsid w:val="00255C8A"/>
    <w:rsid w:val="0026316A"/>
    <w:rsid w:val="00265320"/>
    <w:rsid w:val="00272225"/>
    <w:rsid w:val="00272E81"/>
    <w:rsid w:val="00273B75"/>
    <w:rsid w:val="00273E2B"/>
    <w:rsid w:val="00274377"/>
    <w:rsid w:val="00276D96"/>
    <w:rsid w:val="00280994"/>
    <w:rsid w:val="00280FDB"/>
    <w:rsid w:val="00281303"/>
    <w:rsid w:val="0028239F"/>
    <w:rsid w:val="002824CD"/>
    <w:rsid w:val="00283833"/>
    <w:rsid w:val="00284D4C"/>
    <w:rsid w:val="00284E99"/>
    <w:rsid w:val="0028511A"/>
    <w:rsid w:val="002963ED"/>
    <w:rsid w:val="002A16FB"/>
    <w:rsid w:val="002A1EA4"/>
    <w:rsid w:val="002A231D"/>
    <w:rsid w:val="002A259B"/>
    <w:rsid w:val="002A62A3"/>
    <w:rsid w:val="002A7A53"/>
    <w:rsid w:val="002B2A69"/>
    <w:rsid w:val="002B2CD0"/>
    <w:rsid w:val="002B364D"/>
    <w:rsid w:val="002C2837"/>
    <w:rsid w:val="002C315B"/>
    <w:rsid w:val="002C474C"/>
    <w:rsid w:val="002C6723"/>
    <w:rsid w:val="002D15CA"/>
    <w:rsid w:val="002D2695"/>
    <w:rsid w:val="002E3720"/>
    <w:rsid w:val="002E529A"/>
    <w:rsid w:val="002E61FA"/>
    <w:rsid w:val="002E73C1"/>
    <w:rsid w:val="002F28E1"/>
    <w:rsid w:val="002F2F44"/>
    <w:rsid w:val="002F565C"/>
    <w:rsid w:val="002F5A12"/>
    <w:rsid w:val="002F63E3"/>
    <w:rsid w:val="002F678D"/>
    <w:rsid w:val="002F764D"/>
    <w:rsid w:val="00303490"/>
    <w:rsid w:val="003060BB"/>
    <w:rsid w:val="003109E8"/>
    <w:rsid w:val="00310EE2"/>
    <w:rsid w:val="00313828"/>
    <w:rsid w:val="00316544"/>
    <w:rsid w:val="00316546"/>
    <w:rsid w:val="00316F16"/>
    <w:rsid w:val="00322777"/>
    <w:rsid w:val="00324E0B"/>
    <w:rsid w:val="00326F7A"/>
    <w:rsid w:val="00327F0B"/>
    <w:rsid w:val="0033084C"/>
    <w:rsid w:val="003335C5"/>
    <w:rsid w:val="00334FDD"/>
    <w:rsid w:val="00337245"/>
    <w:rsid w:val="0033792D"/>
    <w:rsid w:val="003403C8"/>
    <w:rsid w:val="003403FC"/>
    <w:rsid w:val="0034359F"/>
    <w:rsid w:val="003462C7"/>
    <w:rsid w:val="0034631F"/>
    <w:rsid w:val="00346BA6"/>
    <w:rsid w:val="00347EF3"/>
    <w:rsid w:val="00347F03"/>
    <w:rsid w:val="00350689"/>
    <w:rsid w:val="00350862"/>
    <w:rsid w:val="00350B68"/>
    <w:rsid w:val="00352120"/>
    <w:rsid w:val="003542B6"/>
    <w:rsid w:val="00356CBE"/>
    <w:rsid w:val="00357344"/>
    <w:rsid w:val="003577CB"/>
    <w:rsid w:val="00357815"/>
    <w:rsid w:val="003578AA"/>
    <w:rsid w:val="00360F6F"/>
    <w:rsid w:val="0036295C"/>
    <w:rsid w:val="003655D7"/>
    <w:rsid w:val="00371BC7"/>
    <w:rsid w:val="00371CC6"/>
    <w:rsid w:val="00373F56"/>
    <w:rsid w:val="00374C3A"/>
    <w:rsid w:val="00377F07"/>
    <w:rsid w:val="003867E9"/>
    <w:rsid w:val="003868BA"/>
    <w:rsid w:val="00391DC0"/>
    <w:rsid w:val="00392602"/>
    <w:rsid w:val="00392E4C"/>
    <w:rsid w:val="00394C25"/>
    <w:rsid w:val="00396433"/>
    <w:rsid w:val="003A3189"/>
    <w:rsid w:val="003A547D"/>
    <w:rsid w:val="003A6FD0"/>
    <w:rsid w:val="003B1547"/>
    <w:rsid w:val="003B31CE"/>
    <w:rsid w:val="003B47B9"/>
    <w:rsid w:val="003B4898"/>
    <w:rsid w:val="003B527E"/>
    <w:rsid w:val="003B55A7"/>
    <w:rsid w:val="003B57F4"/>
    <w:rsid w:val="003B758D"/>
    <w:rsid w:val="003B7662"/>
    <w:rsid w:val="003B7EAD"/>
    <w:rsid w:val="003C1BDE"/>
    <w:rsid w:val="003C21A0"/>
    <w:rsid w:val="003C3553"/>
    <w:rsid w:val="003C37AC"/>
    <w:rsid w:val="003C3ABC"/>
    <w:rsid w:val="003C6790"/>
    <w:rsid w:val="003C7AD0"/>
    <w:rsid w:val="003D05B7"/>
    <w:rsid w:val="003D103D"/>
    <w:rsid w:val="003D4840"/>
    <w:rsid w:val="003D6BBF"/>
    <w:rsid w:val="003D7542"/>
    <w:rsid w:val="003E3A3D"/>
    <w:rsid w:val="003E4AAF"/>
    <w:rsid w:val="003E6CE5"/>
    <w:rsid w:val="003F07F4"/>
    <w:rsid w:val="003F228F"/>
    <w:rsid w:val="003F27FF"/>
    <w:rsid w:val="003F29E4"/>
    <w:rsid w:val="003F2F93"/>
    <w:rsid w:val="003F4472"/>
    <w:rsid w:val="003F4B1C"/>
    <w:rsid w:val="003F6474"/>
    <w:rsid w:val="003F6E93"/>
    <w:rsid w:val="004002DB"/>
    <w:rsid w:val="00401597"/>
    <w:rsid w:val="004037FB"/>
    <w:rsid w:val="00405479"/>
    <w:rsid w:val="004057DF"/>
    <w:rsid w:val="00405F7F"/>
    <w:rsid w:val="00407499"/>
    <w:rsid w:val="00407B7F"/>
    <w:rsid w:val="00410226"/>
    <w:rsid w:val="0041442B"/>
    <w:rsid w:val="00416766"/>
    <w:rsid w:val="00417FD0"/>
    <w:rsid w:val="00424863"/>
    <w:rsid w:val="004259B8"/>
    <w:rsid w:val="004264D7"/>
    <w:rsid w:val="00426E2C"/>
    <w:rsid w:val="004328B8"/>
    <w:rsid w:val="00434A28"/>
    <w:rsid w:val="004411DC"/>
    <w:rsid w:val="00441892"/>
    <w:rsid w:val="004432F9"/>
    <w:rsid w:val="004469C7"/>
    <w:rsid w:val="00447483"/>
    <w:rsid w:val="004520E4"/>
    <w:rsid w:val="0045295F"/>
    <w:rsid w:val="004603F4"/>
    <w:rsid w:val="00461625"/>
    <w:rsid w:val="004628D2"/>
    <w:rsid w:val="00462E90"/>
    <w:rsid w:val="00465029"/>
    <w:rsid w:val="00467CB1"/>
    <w:rsid w:val="00470DF5"/>
    <w:rsid w:val="004742C3"/>
    <w:rsid w:val="00474F47"/>
    <w:rsid w:val="004756A3"/>
    <w:rsid w:val="00475D3C"/>
    <w:rsid w:val="00475E3F"/>
    <w:rsid w:val="004833D1"/>
    <w:rsid w:val="00486839"/>
    <w:rsid w:val="00492BC7"/>
    <w:rsid w:val="004937DB"/>
    <w:rsid w:val="00493B6B"/>
    <w:rsid w:val="00494878"/>
    <w:rsid w:val="00496FF9"/>
    <w:rsid w:val="004A06E6"/>
    <w:rsid w:val="004A11AC"/>
    <w:rsid w:val="004A1F17"/>
    <w:rsid w:val="004A34B2"/>
    <w:rsid w:val="004A3C2B"/>
    <w:rsid w:val="004B1369"/>
    <w:rsid w:val="004B3580"/>
    <w:rsid w:val="004B5AF3"/>
    <w:rsid w:val="004B69D1"/>
    <w:rsid w:val="004B78A6"/>
    <w:rsid w:val="004B7EA8"/>
    <w:rsid w:val="004C09C5"/>
    <w:rsid w:val="004C1DFB"/>
    <w:rsid w:val="004C3A39"/>
    <w:rsid w:val="004C635A"/>
    <w:rsid w:val="004C714C"/>
    <w:rsid w:val="004D0ECD"/>
    <w:rsid w:val="004D6A2F"/>
    <w:rsid w:val="004D775B"/>
    <w:rsid w:val="004E2002"/>
    <w:rsid w:val="004E2573"/>
    <w:rsid w:val="004E2F34"/>
    <w:rsid w:val="004E417B"/>
    <w:rsid w:val="004E4949"/>
    <w:rsid w:val="004E6055"/>
    <w:rsid w:val="004E6E42"/>
    <w:rsid w:val="004F020F"/>
    <w:rsid w:val="004F5755"/>
    <w:rsid w:val="00501856"/>
    <w:rsid w:val="00501A4E"/>
    <w:rsid w:val="005020A5"/>
    <w:rsid w:val="005024FE"/>
    <w:rsid w:val="00503587"/>
    <w:rsid w:val="0050370E"/>
    <w:rsid w:val="005037D5"/>
    <w:rsid w:val="00503CA4"/>
    <w:rsid w:val="005043E7"/>
    <w:rsid w:val="005052E8"/>
    <w:rsid w:val="005057EA"/>
    <w:rsid w:val="00505CE2"/>
    <w:rsid w:val="00512AC4"/>
    <w:rsid w:val="005131A4"/>
    <w:rsid w:val="00513DCC"/>
    <w:rsid w:val="00514ABB"/>
    <w:rsid w:val="005159B6"/>
    <w:rsid w:val="005166E1"/>
    <w:rsid w:val="00520AA8"/>
    <w:rsid w:val="00520F1F"/>
    <w:rsid w:val="0052106D"/>
    <w:rsid w:val="005222FB"/>
    <w:rsid w:val="00522784"/>
    <w:rsid w:val="00523A46"/>
    <w:rsid w:val="00525DA1"/>
    <w:rsid w:val="00527A51"/>
    <w:rsid w:val="0053025B"/>
    <w:rsid w:val="00530FF0"/>
    <w:rsid w:val="00531719"/>
    <w:rsid w:val="0053232B"/>
    <w:rsid w:val="005346CC"/>
    <w:rsid w:val="005356D2"/>
    <w:rsid w:val="005401D2"/>
    <w:rsid w:val="00540603"/>
    <w:rsid w:val="00540AD6"/>
    <w:rsid w:val="00542F2B"/>
    <w:rsid w:val="00543C8E"/>
    <w:rsid w:val="00543DAD"/>
    <w:rsid w:val="00545D5D"/>
    <w:rsid w:val="0054719B"/>
    <w:rsid w:val="005503A4"/>
    <w:rsid w:val="00553951"/>
    <w:rsid w:val="00553A90"/>
    <w:rsid w:val="00556E9E"/>
    <w:rsid w:val="00560134"/>
    <w:rsid w:val="005639DA"/>
    <w:rsid w:val="005639FF"/>
    <w:rsid w:val="0056671C"/>
    <w:rsid w:val="00567B1C"/>
    <w:rsid w:val="005739EF"/>
    <w:rsid w:val="00574881"/>
    <w:rsid w:val="00580CBD"/>
    <w:rsid w:val="0058210F"/>
    <w:rsid w:val="0058268B"/>
    <w:rsid w:val="00584EFF"/>
    <w:rsid w:val="0058617C"/>
    <w:rsid w:val="005865DD"/>
    <w:rsid w:val="00591C85"/>
    <w:rsid w:val="00592DDD"/>
    <w:rsid w:val="00596B4F"/>
    <w:rsid w:val="005A3C5A"/>
    <w:rsid w:val="005A646E"/>
    <w:rsid w:val="005B0576"/>
    <w:rsid w:val="005B07FD"/>
    <w:rsid w:val="005B17D3"/>
    <w:rsid w:val="005C0170"/>
    <w:rsid w:val="005C213A"/>
    <w:rsid w:val="005C3417"/>
    <w:rsid w:val="005C44CB"/>
    <w:rsid w:val="005C5ECB"/>
    <w:rsid w:val="005C7AE7"/>
    <w:rsid w:val="005D19FC"/>
    <w:rsid w:val="005D1F85"/>
    <w:rsid w:val="005D34CC"/>
    <w:rsid w:val="005E0229"/>
    <w:rsid w:val="005E06F3"/>
    <w:rsid w:val="005E1E31"/>
    <w:rsid w:val="005E25DB"/>
    <w:rsid w:val="005E4A33"/>
    <w:rsid w:val="005E4E40"/>
    <w:rsid w:val="005E50CC"/>
    <w:rsid w:val="005F0C63"/>
    <w:rsid w:val="005F2454"/>
    <w:rsid w:val="005F4A92"/>
    <w:rsid w:val="005F500E"/>
    <w:rsid w:val="005F5439"/>
    <w:rsid w:val="006001DA"/>
    <w:rsid w:val="00601EBB"/>
    <w:rsid w:val="0060206B"/>
    <w:rsid w:val="00602569"/>
    <w:rsid w:val="00602B37"/>
    <w:rsid w:val="00602F17"/>
    <w:rsid w:val="00604699"/>
    <w:rsid w:val="00605279"/>
    <w:rsid w:val="006139B9"/>
    <w:rsid w:val="00614813"/>
    <w:rsid w:val="00616428"/>
    <w:rsid w:val="006166B5"/>
    <w:rsid w:val="00620D5F"/>
    <w:rsid w:val="00620F68"/>
    <w:rsid w:val="006211FA"/>
    <w:rsid w:val="0062225D"/>
    <w:rsid w:val="0062313A"/>
    <w:rsid w:val="00623AFF"/>
    <w:rsid w:val="00624998"/>
    <w:rsid w:val="00625941"/>
    <w:rsid w:val="00625F11"/>
    <w:rsid w:val="00632CFA"/>
    <w:rsid w:val="00633170"/>
    <w:rsid w:val="0063419C"/>
    <w:rsid w:val="0063614F"/>
    <w:rsid w:val="006364A7"/>
    <w:rsid w:val="0064132A"/>
    <w:rsid w:val="00641C19"/>
    <w:rsid w:val="00641C3D"/>
    <w:rsid w:val="00641FE3"/>
    <w:rsid w:val="006501F5"/>
    <w:rsid w:val="006506D9"/>
    <w:rsid w:val="006514A9"/>
    <w:rsid w:val="00651B20"/>
    <w:rsid w:val="00652DDE"/>
    <w:rsid w:val="006540D1"/>
    <w:rsid w:val="00660208"/>
    <w:rsid w:val="00661B0B"/>
    <w:rsid w:val="006628E6"/>
    <w:rsid w:val="006639E4"/>
    <w:rsid w:val="0066642A"/>
    <w:rsid w:val="0067175B"/>
    <w:rsid w:val="006717C2"/>
    <w:rsid w:val="00671DF1"/>
    <w:rsid w:val="006723A3"/>
    <w:rsid w:val="0067331A"/>
    <w:rsid w:val="00674143"/>
    <w:rsid w:val="0067469F"/>
    <w:rsid w:val="00675A6F"/>
    <w:rsid w:val="006770AD"/>
    <w:rsid w:val="0068181E"/>
    <w:rsid w:val="006835C0"/>
    <w:rsid w:val="00684D7F"/>
    <w:rsid w:val="00686150"/>
    <w:rsid w:val="006867FD"/>
    <w:rsid w:val="00687FB4"/>
    <w:rsid w:val="00695419"/>
    <w:rsid w:val="00696268"/>
    <w:rsid w:val="006973F4"/>
    <w:rsid w:val="00697514"/>
    <w:rsid w:val="006A00A5"/>
    <w:rsid w:val="006B0349"/>
    <w:rsid w:val="006B14BF"/>
    <w:rsid w:val="006B167C"/>
    <w:rsid w:val="006B5F3F"/>
    <w:rsid w:val="006B677B"/>
    <w:rsid w:val="006C0618"/>
    <w:rsid w:val="006C1B4D"/>
    <w:rsid w:val="006C1DD9"/>
    <w:rsid w:val="006C45D7"/>
    <w:rsid w:val="006C4E58"/>
    <w:rsid w:val="006D0684"/>
    <w:rsid w:val="006D0F89"/>
    <w:rsid w:val="006D2189"/>
    <w:rsid w:val="006D3B48"/>
    <w:rsid w:val="006D3F18"/>
    <w:rsid w:val="006D5B76"/>
    <w:rsid w:val="006D5E6E"/>
    <w:rsid w:val="006D639E"/>
    <w:rsid w:val="006D6847"/>
    <w:rsid w:val="006E00CE"/>
    <w:rsid w:val="006E05D2"/>
    <w:rsid w:val="006E0D7C"/>
    <w:rsid w:val="006E1036"/>
    <w:rsid w:val="006E35B2"/>
    <w:rsid w:val="006E3E9C"/>
    <w:rsid w:val="006E45CF"/>
    <w:rsid w:val="006E6165"/>
    <w:rsid w:val="006E6380"/>
    <w:rsid w:val="006E788A"/>
    <w:rsid w:val="006E7945"/>
    <w:rsid w:val="006F13CC"/>
    <w:rsid w:val="006F3277"/>
    <w:rsid w:val="006F3700"/>
    <w:rsid w:val="006F4F2B"/>
    <w:rsid w:val="006F51DA"/>
    <w:rsid w:val="006F5DA7"/>
    <w:rsid w:val="006F7EC2"/>
    <w:rsid w:val="00701FB4"/>
    <w:rsid w:val="00704939"/>
    <w:rsid w:val="00710962"/>
    <w:rsid w:val="00710DA3"/>
    <w:rsid w:val="00710F28"/>
    <w:rsid w:val="00712699"/>
    <w:rsid w:val="007138A9"/>
    <w:rsid w:val="00714A95"/>
    <w:rsid w:val="00715FD7"/>
    <w:rsid w:val="007162C9"/>
    <w:rsid w:val="007207CC"/>
    <w:rsid w:val="00720A85"/>
    <w:rsid w:val="00721E6F"/>
    <w:rsid w:val="00722761"/>
    <w:rsid w:val="00723505"/>
    <w:rsid w:val="0072669B"/>
    <w:rsid w:val="007305F4"/>
    <w:rsid w:val="007356FC"/>
    <w:rsid w:val="00736A7F"/>
    <w:rsid w:val="0073721A"/>
    <w:rsid w:val="00741839"/>
    <w:rsid w:val="00750F5B"/>
    <w:rsid w:val="007517C0"/>
    <w:rsid w:val="00752167"/>
    <w:rsid w:val="00753C7D"/>
    <w:rsid w:val="007577B5"/>
    <w:rsid w:val="007609AA"/>
    <w:rsid w:val="00760EE1"/>
    <w:rsid w:val="00760F19"/>
    <w:rsid w:val="00760FD8"/>
    <w:rsid w:val="0076225D"/>
    <w:rsid w:val="0076283B"/>
    <w:rsid w:val="00763215"/>
    <w:rsid w:val="0076592C"/>
    <w:rsid w:val="00766BE2"/>
    <w:rsid w:val="00772975"/>
    <w:rsid w:val="007740BA"/>
    <w:rsid w:val="00774B3B"/>
    <w:rsid w:val="007753F6"/>
    <w:rsid w:val="00780EB1"/>
    <w:rsid w:val="00791EBC"/>
    <w:rsid w:val="007A432E"/>
    <w:rsid w:val="007A6D67"/>
    <w:rsid w:val="007A70BE"/>
    <w:rsid w:val="007A7390"/>
    <w:rsid w:val="007B0367"/>
    <w:rsid w:val="007B7570"/>
    <w:rsid w:val="007B7EEA"/>
    <w:rsid w:val="007B7FB7"/>
    <w:rsid w:val="007C0153"/>
    <w:rsid w:val="007C0714"/>
    <w:rsid w:val="007C18B9"/>
    <w:rsid w:val="007C304F"/>
    <w:rsid w:val="007C5043"/>
    <w:rsid w:val="007C5ABA"/>
    <w:rsid w:val="007C744A"/>
    <w:rsid w:val="007D199E"/>
    <w:rsid w:val="007D19D1"/>
    <w:rsid w:val="007D2D7E"/>
    <w:rsid w:val="007D3F7B"/>
    <w:rsid w:val="007D4876"/>
    <w:rsid w:val="007D5267"/>
    <w:rsid w:val="007D538F"/>
    <w:rsid w:val="007D6EED"/>
    <w:rsid w:val="007E012F"/>
    <w:rsid w:val="007E1D57"/>
    <w:rsid w:val="007E30B1"/>
    <w:rsid w:val="007E354C"/>
    <w:rsid w:val="007E3A15"/>
    <w:rsid w:val="007E4585"/>
    <w:rsid w:val="007E5E0E"/>
    <w:rsid w:val="007F00A6"/>
    <w:rsid w:val="007F08DC"/>
    <w:rsid w:val="007F6D73"/>
    <w:rsid w:val="007F6F9F"/>
    <w:rsid w:val="00800836"/>
    <w:rsid w:val="00805724"/>
    <w:rsid w:val="00806213"/>
    <w:rsid w:val="00807DC1"/>
    <w:rsid w:val="0081284B"/>
    <w:rsid w:val="00812E7F"/>
    <w:rsid w:val="008130C3"/>
    <w:rsid w:val="00813ABB"/>
    <w:rsid w:val="008149C3"/>
    <w:rsid w:val="00820662"/>
    <w:rsid w:val="00821EA9"/>
    <w:rsid w:val="00822B3D"/>
    <w:rsid w:val="0082348E"/>
    <w:rsid w:val="00825220"/>
    <w:rsid w:val="0082538F"/>
    <w:rsid w:val="00825664"/>
    <w:rsid w:val="00826DE7"/>
    <w:rsid w:val="00827BF8"/>
    <w:rsid w:val="00831618"/>
    <w:rsid w:val="00834905"/>
    <w:rsid w:val="00836963"/>
    <w:rsid w:val="00837838"/>
    <w:rsid w:val="00837F54"/>
    <w:rsid w:val="00840A4A"/>
    <w:rsid w:val="008420EE"/>
    <w:rsid w:val="00842BE0"/>
    <w:rsid w:val="00842DE7"/>
    <w:rsid w:val="008442C5"/>
    <w:rsid w:val="0084457C"/>
    <w:rsid w:val="00845A3F"/>
    <w:rsid w:val="008500BB"/>
    <w:rsid w:val="00852882"/>
    <w:rsid w:val="00855423"/>
    <w:rsid w:val="00856EB5"/>
    <w:rsid w:val="0085749B"/>
    <w:rsid w:val="00863BE0"/>
    <w:rsid w:val="00865A29"/>
    <w:rsid w:val="008706E9"/>
    <w:rsid w:val="00872826"/>
    <w:rsid w:val="008749F7"/>
    <w:rsid w:val="00874D26"/>
    <w:rsid w:val="00874F7F"/>
    <w:rsid w:val="0087513F"/>
    <w:rsid w:val="00881022"/>
    <w:rsid w:val="00881AE7"/>
    <w:rsid w:val="008822CA"/>
    <w:rsid w:val="0088443E"/>
    <w:rsid w:val="00885142"/>
    <w:rsid w:val="008865E8"/>
    <w:rsid w:val="00894B33"/>
    <w:rsid w:val="008956F2"/>
    <w:rsid w:val="008959F1"/>
    <w:rsid w:val="00896A95"/>
    <w:rsid w:val="008A1A71"/>
    <w:rsid w:val="008A1FA0"/>
    <w:rsid w:val="008B271A"/>
    <w:rsid w:val="008B3779"/>
    <w:rsid w:val="008B3FA3"/>
    <w:rsid w:val="008B4F36"/>
    <w:rsid w:val="008B68BA"/>
    <w:rsid w:val="008C0F4F"/>
    <w:rsid w:val="008C19C8"/>
    <w:rsid w:val="008C54A6"/>
    <w:rsid w:val="008C5C5E"/>
    <w:rsid w:val="008C623A"/>
    <w:rsid w:val="008C7DB6"/>
    <w:rsid w:val="008D07DA"/>
    <w:rsid w:val="008D0A00"/>
    <w:rsid w:val="008D0F79"/>
    <w:rsid w:val="008D1072"/>
    <w:rsid w:val="008D24C0"/>
    <w:rsid w:val="008D34CE"/>
    <w:rsid w:val="008D56C9"/>
    <w:rsid w:val="008D6B14"/>
    <w:rsid w:val="008E06D1"/>
    <w:rsid w:val="008E07FB"/>
    <w:rsid w:val="008E16D4"/>
    <w:rsid w:val="008E16FB"/>
    <w:rsid w:val="008E4FC3"/>
    <w:rsid w:val="008E6B1B"/>
    <w:rsid w:val="008F07A9"/>
    <w:rsid w:val="008F383F"/>
    <w:rsid w:val="008F6199"/>
    <w:rsid w:val="00901213"/>
    <w:rsid w:val="00902574"/>
    <w:rsid w:val="00902998"/>
    <w:rsid w:val="00903BB8"/>
    <w:rsid w:val="0090443C"/>
    <w:rsid w:val="0090490F"/>
    <w:rsid w:val="009055F1"/>
    <w:rsid w:val="00906E1C"/>
    <w:rsid w:val="009079F5"/>
    <w:rsid w:val="00911C7F"/>
    <w:rsid w:val="00912FA6"/>
    <w:rsid w:val="00913269"/>
    <w:rsid w:val="00913B4A"/>
    <w:rsid w:val="0092031C"/>
    <w:rsid w:val="009224BB"/>
    <w:rsid w:val="0092461D"/>
    <w:rsid w:val="00927C43"/>
    <w:rsid w:val="0093127A"/>
    <w:rsid w:val="0093142B"/>
    <w:rsid w:val="00931FBA"/>
    <w:rsid w:val="00933427"/>
    <w:rsid w:val="00936521"/>
    <w:rsid w:val="00937FCF"/>
    <w:rsid w:val="00940F1C"/>
    <w:rsid w:val="0094242E"/>
    <w:rsid w:val="00944A9A"/>
    <w:rsid w:val="00945177"/>
    <w:rsid w:val="00945836"/>
    <w:rsid w:val="0094666A"/>
    <w:rsid w:val="00946BD6"/>
    <w:rsid w:val="00947322"/>
    <w:rsid w:val="009509AB"/>
    <w:rsid w:val="00952790"/>
    <w:rsid w:val="009537A4"/>
    <w:rsid w:val="00955E45"/>
    <w:rsid w:val="0096003B"/>
    <w:rsid w:val="00960890"/>
    <w:rsid w:val="00961087"/>
    <w:rsid w:val="00961969"/>
    <w:rsid w:val="009619FE"/>
    <w:rsid w:val="00961ACC"/>
    <w:rsid w:val="00963ED0"/>
    <w:rsid w:val="009643B2"/>
    <w:rsid w:val="009645F4"/>
    <w:rsid w:val="00964FE9"/>
    <w:rsid w:val="009669F9"/>
    <w:rsid w:val="009726D9"/>
    <w:rsid w:val="00973382"/>
    <w:rsid w:val="00973868"/>
    <w:rsid w:val="00974E07"/>
    <w:rsid w:val="00975813"/>
    <w:rsid w:val="00975FF4"/>
    <w:rsid w:val="00977BD2"/>
    <w:rsid w:val="009812D5"/>
    <w:rsid w:val="0098446A"/>
    <w:rsid w:val="00984E74"/>
    <w:rsid w:val="009866F0"/>
    <w:rsid w:val="009927EE"/>
    <w:rsid w:val="009944FC"/>
    <w:rsid w:val="00996255"/>
    <w:rsid w:val="009A0048"/>
    <w:rsid w:val="009A0498"/>
    <w:rsid w:val="009A1499"/>
    <w:rsid w:val="009A1B10"/>
    <w:rsid w:val="009A352D"/>
    <w:rsid w:val="009A3E4D"/>
    <w:rsid w:val="009A5789"/>
    <w:rsid w:val="009B12E0"/>
    <w:rsid w:val="009B2745"/>
    <w:rsid w:val="009B2858"/>
    <w:rsid w:val="009B652A"/>
    <w:rsid w:val="009B6711"/>
    <w:rsid w:val="009C49A1"/>
    <w:rsid w:val="009C5121"/>
    <w:rsid w:val="009C5D03"/>
    <w:rsid w:val="009C70DF"/>
    <w:rsid w:val="009C763C"/>
    <w:rsid w:val="009C7CC4"/>
    <w:rsid w:val="009D175D"/>
    <w:rsid w:val="009D182F"/>
    <w:rsid w:val="009D787E"/>
    <w:rsid w:val="009E1581"/>
    <w:rsid w:val="009E2C32"/>
    <w:rsid w:val="009E40DA"/>
    <w:rsid w:val="009E4C6B"/>
    <w:rsid w:val="009E4F15"/>
    <w:rsid w:val="009E6C4B"/>
    <w:rsid w:val="009E7370"/>
    <w:rsid w:val="009F3F18"/>
    <w:rsid w:val="009F434C"/>
    <w:rsid w:val="009F6033"/>
    <w:rsid w:val="009F6A89"/>
    <w:rsid w:val="00A03B62"/>
    <w:rsid w:val="00A05DD2"/>
    <w:rsid w:val="00A079CB"/>
    <w:rsid w:val="00A10913"/>
    <w:rsid w:val="00A14B54"/>
    <w:rsid w:val="00A14F57"/>
    <w:rsid w:val="00A1520A"/>
    <w:rsid w:val="00A154D1"/>
    <w:rsid w:val="00A15F46"/>
    <w:rsid w:val="00A16E6D"/>
    <w:rsid w:val="00A16EE7"/>
    <w:rsid w:val="00A2457F"/>
    <w:rsid w:val="00A24E70"/>
    <w:rsid w:val="00A27C58"/>
    <w:rsid w:val="00A27D1E"/>
    <w:rsid w:val="00A27D61"/>
    <w:rsid w:val="00A310A2"/>
    <w:rsid w:val="00A313C9"/>
    <w:rsid w:val="00A31930"/>
    <w:rsid w:val="00A32EB0"/>
    <w:rsid w:val="00A339BF"/>
    <w:rsid w:val="00A379A1"/>
    <w:rsid w:val="00A4004F"/>
    <w:rsid w:val="00A40780"/>
    <w:rsid w:val="00A42B53"/>
    <w:rsid w:val="00A42E74"/>
    <w:rsid w:val="00A51ECC"/>
    <w:rsid w:val="00A53B9C"/>
    <w:rsid w:val="00A54122"/>
    <w:rsid w:val="00A54537"/>
    <w:rsid w:val="00A5481C"/>
    <w:rsid w:val="00A55841"/>
    <w:rsid w:val="00A55A2A"/>
    <w:rsid w:val="00A56D45"/>
    <w:rsid w:val="00A56E62"/>
    <w:rsid w:val="00A5755C"/>
    <w:rsid w:val="00A57BE0"/>
    <w:rsid w:val="00A60641"/>
    <w:rsid w:val="00A6236E"/>
    <w:rsid w:val="00A65D98"/>
    <w:rsid w:val="00A66EA0"/>
    <w:rsid w:val="00A726F9"/>
    <w:rsid w:val="00A732AB"/>
    <w:rsid w:val="00A73912"/>
    <w:rsid w:val="00A74DF6"/>
    <w:rsid w:val="00A75F45"/>
    <w:rsid w:val="00A7613E"/>
    <w:rsid w:val="00A76269"/>
    <w:rsid w:val="00A76633"/>
    <w:rsid w:val="00A76D04"/>
    <w:rsid w:val="00A800F8"/>
    <w:rsid w:val="00A80B85"/>
    <w:rsid w:val="00A82CA2"/>
    <w:rsid w:val="00A8403B"/>
    <w:rsid w:val="00A84079"/>
    <w:rsid w:val="00A868CD"/>
    <w:rsid w:val="00A87319"/>
    <w:rsid w:val="00A87F1F"/>
    <w:rsid w:val="00A90600"/>
    <w:rsid w:val="00A91B31"/>
    <w:rsid w:val="00A92306"/>
    <w:rsid w:val="00AA0D47"/>
    <w:rsid w:val="00AA2605"/>
    <w:rsid w:val="00AA67E4"/>
    <w:rsid w:val="00AA78C1"/>
    <w:rsid w:val="00AB1ECE"/>
    <w:rsid w:val="00AB2395"/>
    <w:rsid w:val="00AB443A"/>
    <w:rsid w:val="00AB4BF8"/>
    <w:rsid w:val="00AB532C"/>
    <w:rsid w:val="00AC0A59"/>
    <w:rsid w:val="00AC11E6"/>
    <w:rsid w:val="00AC16EB"/>
    <w:rsid w:val="00AC75E4"/>
    <w:rsid w:val="00AD0ED0"/>
    <w:rsid w:val="00AD2C51"/>
    <w:rsid w:val="00AD4CD7"/>
    <w:rsid w:val="00AD5547"/>
    <w:rsid w:val="00AD58DE"/>
    <w:rsid w:val="00AD5E33"/>
    <w:rsid w:val="00AE0046"/>
    <w:rsid w:val="00AE1BD5"/>
    <w:rsid w:val="00AE1DD4"/>
    <w:rsid w:val="00AE2391"/>
    <w:rsid w:val="00AE3048"/>
    <w:rsid w:val="00AE43F4"/>
    <w:rsid w:val="00AE4C47"/>
    <w:rsid w:val="00AE78DF"/>
    <w:rsid w:val="00AF105D"/>
    <w:rsid w:val="00AF5970"/>
    <w:rsid w:val="00B005CF"/>
    <w:rsid w:val="00B03846"/>
    <w:rsid w:val="00B03C6C"/>
    <w:rsid w:val="00B04B06"/>
    <w:rsid w:val="00B0769B"/>
    <w:rsid w:val="00B07C99"/>
    <w:rsid w:val="00B126BF"/>
    <w:rsid w:val="00B12E54"/>
    <w:rsid w:val="00B14655"/>
    <w:rsid w:val="00B21974"/>
    <w:rsid w:val="00B22267"/>
    <w:rsid w:val="00B25846"/>
    <w:rsid w:val="00B26F84"/>
    <w:rsid w:val="00B2718A"/>
    <w:rsid w:val="00B37236"/>
    <w:rsid w:val="00B42C8F"/>
    <w:rsid w:val="00B46CA2"/>
    <w:rsid w:val="00B47BB8"/>
    <w:rsid w:val="00B527B6"/>
    <w:rsid w:val="00B54C3F"/>
    <w:rsid w:val="00B54CDA"/>
    <w:rsid w:val="00B55466"/>
    <w:rsid w:val="00B61EB7"/>
    <w:rsid w:val="00B62749"/>
    <w:rsid w:val="00B64CAC"/>
    <w:rsid w:val="00B64DFD"/>
    <w:rsid w:val="00B6635F"/>
    <w:rsid w:val="00B674B2"/>
    <w:rsid w:val="00B70C72"/>
    <w:rsid w:val="00B74BAA"/>
    <w:rsid w:val="00B74C7B"/>
    <w:rsid w:val="00B76DC6"/>
    <w:rsid w:val="00B76F2C"/>
    <w:rsid w:val="00B7769D"/>
    <w:rsid w:val="00B77F83"/>
    <w:rsid w:val="00B8015F"/>
    <w:rsid w:val="00B804AB"/>
    <w:rsid w:val="00B806D7"/>
    <w:rsid w:val="00B821AE"/>
    <w:rsid w:val="00B82474"/>
    <w:rsid w:val="00B82C98"/>
    <w:rsid w:val="00B83A49"/>
    <w:rsid w:val="00B84258"/>
    <w:rsid w:val="00B8570D"/>
    <w:rsid w:val="00B91665"/>
    <w:rsid w:val="00B93D1F"/>
    <w:rsid w:val="00B95EE9"/>
    <w:rsid w:val="00B9623B"/>
    <w:rsid w:val="00B96FE1"/>
    <w:rsid w:val="00B97092"/>
    <w:rsid w:val="00BA0B60"/>
    <w:rsid w:val="00BA1B9C"/>
    <w:rsid w:val="00BB0F3E"/>
    <w:rsid w:val="00BB3750"/>
    <w:rsid w:val="00BB4117"/>
    <w:rsid w:val="00BB4186"/>
    <w:rsid w:val="00BB44A9"/>
    <w:rsid w:val="00BB504E"/>
    <w:rsid w:val="00BB658C"/>
    <w:rsid w:val="00BB7048"/>
    <w:rsid w:val="00BB729F"/>
    <w:rsid w:val="00BB7751"/>
    <w:rsid w:val="00BB7C05"/>
    <w:rsid w:val="00BC0229"/>
    <w:rsid w:val="00BC189E"/>
    <w:rsid w:val="00BC3137"/>
    <w:rsid w:val="00BC3B30"/>
    <w:rsid w:val="00BC4F88"/>
    <w:rsid w:val="00BC65C7"/>
    <w:rsid w:val="00BC66B9"/>
    <w:rsid w:val="00BC6BA3"/>
    <w:rsid w:val="00BD04D9"/>
    <w:rsid w:val="00BD1A6C"/>
    <w:rsid w:val="00BD3D9A"/>
    <w:rsid w:val="00BD4E76"/>
    <w:rsid w:val="00BD5B4B"/>
    <w:rsid w:val="00BD6804"/>
    <w:rsid w:val="00BE0523"/>
    <w:rsid w:val="00BE0A18"/>
    <w:rsid w:val="00BE2166"/>
    <w:rsid w:val="00BE3421"/>
    <w:rsid w:val="00BE3C08"/>
    <w:rsid w:val="00BE62E9"/>
    <w:rsid w:val="00BF0E35"/>
    <w:rsid w:val="00BF21D1"/>
    <w:rsid w:val="00BF2241"/>
    <w:rsid w:val="00BF27FF"/>
    <w:rsid w:val="00BF30CF"/>
    <w:rsid w:val="00BF5498"/>
    <w:rsid w:val="00BF57B5"/>
    <w:rsid w:val="00BF6B0D"/>
    <w:rsid w:val="00BF6CED"/>
    <w:rsid w:val="00BF7D56"/>
    <w:rsid w:val="00C01BC5"/>
    <w:rsid w:val="00C034AB"/>
    <w:rsid w:val="00C038B8"/>
    <w:rsid w:val="00C0448D"/>
    <w:rsid w:val="00C07480"/>
    <w:rsid w:val="00C10415"/>
    <w:rsid w:val="00C116D2"/>
    <w:rsid w:val="00C11A21"/>
    <w:rsid w:val="00C11F0A"/>
    <w:rsid w:val="00C1434A"/>
    <w:rsid w:val="00C23088"/>
    <w:rsid w:val="00C24C09"/>
    <w:rsid w:val="00C2652A"/>
    <w:rsid w:val="00C306C6"/>
    <w:rsid w:val="00C31074"/>
    <w:rsid w:val="00C31B07"/>
    <w:rsid w:val="00C349B1"/>
    <w:rsid w:val="00C35E07"/>
    <w:rsid w:val="00C361C8"/>
    <w:rsid w:val="00C37635"/>
    <w:rsid w:val="00C404E2"/>
    <w:rsid w:val="00C4115C"/>
    <w:rsid w:val="00C41648"/>
    <w:rsid w:val="00C41B2B"/>
    <w:rsid w:val="00C41C2C"/>
    <w:rsid w:val="00C424C3"/>
    <w:rsid w:val="00C429F5"/>
    <w:rsid w:val="00C47084"/>
    <w:rsid w:val="00C470C0"/>
    <w:rsid w:val="00C472CA"/>
    <w:rsid w:val="00C50FE2"/>
    <w:rsid w:val="00C51163"/>
    <w:rsid w:val="00C51AC9"/>
    <w:rsid w:val="00C5323E"/>
    <w:rsid w:val="00C54AEA"/>
    <w:rsid w:val="00C566CB"/>
    <w:rsid w:val="00C60418"/>
    <w:rsid w:val="00C60431"/>
    <w:rsid w:val="00C60AE4"/>
    <w:rsid w:val="00C61CB5"/>
    <w:rsid w:val="00C645E2"/>
    <w:rsid w:val="00C70789"/>
    <w:rsid w:val="00C70977"/>
    <w:rsid w:val="00C73D34"/>
    <w:rsid w:val="00C75252"/>
    <w:rsid w:val="00C77843"/>
    <w:rsid w:val="00C77F64"/>
    <w:rsid w:val="00C80B24"/>
    <w:rsid w:val="00C81B69"/>
    <w:rsid w:val="00C82948"/>
    <w:rsid w:val="00C852EE"/>
    <w:rsid w:val="00C87B4B"/>
    <w:rsid w:val="00C90B31"/>
    <w:rsid w:val="00C92A97"/>
    <w:rsid w:val="00C946CF"/>
    <w:rsid w:val="00C94C40"/>
    <w:rsid w:val="00C96580"/>
    <w:rsid w:val="00C974E0"/>
    <w:rsid w:val="00CA105B"/>
    <w:rsid w:val="00CA1E06"/>
    <w:rsid w:val="00CA6D04"/>
    <w:rsid w:val="00CA7A21"/>
    <w:rsid w:val="00CA7B47"/>
    <w:rsid w:val="00CB1EF9"/>
    <w:rsid w:val="00CB27F9"/>
    <w:rsid w:val="00CB2A0D"/>
    <w:rsid w:val="00CB4247"/>
    <w:rsid w:val="00CB5413"/>
    <w:rsid w:val="00CB7178"/>
    <w:rsid w:val="00CB74B3"/>
    <w:rsid w:val="00CC2E4F"/>
    <w:rsid w:val="00CC3AFC"/>
    <w:rsid w:val="00CC47F0"/>
    <w:rsid w:val="00CC63AF"/>
    <w:rsid w:val="00CC7386"/>
    <w:rsid w:val="00CC7A35"/>
    <w:rsid w:val="00CD08B2"/>
    <w:rsid w:val="00CD0AB0"/>
    <w:rsid w:val="00CD0B6B"/>
    <w:rsid w:val="00CD1785"/>
    <w:rsid w:val="00CD17AC"/>
    <w:rsid w:val="00CD262D"/>
    <w:rsid w:val="00CD2AAE"/>
    <w:rsid w:val="00CD5212"/>
    <w:rsid w:val="00CD5611"/>
    <w:rsid w:val="00CD5E97"/>
    <w:rsid w:val="00CD7114"/>
    <w:rsid w:val="00CE1B67"/>
    <w:rsid w:val="00CE1FF6"/>
    <w:rsid w:val="00CE5E34"/>
    <w:rsid w:val="00CE6B48"/>
    <w:rsid w:val="00CF112E"/>
    <w:rsid w:val="00CF3233"/>
    <w:rsid w:val="00CF476F"/>
    <w:rsid w:val="00CF79DC"/>
    <w:rsid w:val="00D007B1"/>
    <w:rsid w:val="00D014CB"/>
    <w:rsid w:val="00D01E02"/>
    <w:rsid w:val="00D02070"/>
    <w:rsid w:val="00D047AC"/>
    <w:rsid w:val="00D04EDA"/>
    <w:rsid w:val="00D05BAB"/>
    <w:rsid w:val="00D05EB6"/>
    <w:rsid w:val="00D1023D"/>
    <w:rsid w:val="00D10CD6"/>
    <w:rsid w:val="00D1102D"/>
    <w:rsid w:val="00D123ED"/>
    <w:rsid w:val="00D127E0"/>
    <w:rsid w:val="00D140EA"/>
    <w:rsid w:val="00D150E9"/>
    <w:rsid w:val="00D16F94"/>
    <w:rsid w:val="00D179EF"/>
    <w:rsid w:val="00D21624"/>
    <w:rsid w:val="00D2371C"/>
    <w:rsid w:val="00D24F15"/>
    <w:rsid w:val="00D263C0"/>
    <w:rsid w:val="00D27077"/>
    <w:rsid w:val="00D270CD"/>
    <w:rsid w:val="00D316DF"/>
    <w:rsid w:val="00D32BF0"/>
    <w:rsid w:val="00D35CBC"/>
    <w:rsid w:val="00D37F8A"/>
    <w:rsid w:val="00D40217"/>
    <w:rsid w:val="00D40808"/>
    <w:rsid w:val="00D40B25"/>
    <w:rsid w:val="00D41ED3"/>
    <w:rsid w:val="00D41F64"/>
    <w:rsid w:val="00D4580B"/>
    <w:rsid w:val="00D46739"/>
    <w:rsid w:val="00D517B8"/>
    <w:rsid w:val="00D52023"/>
    <w:rsid w:val="00D523D2"/>
    <w:rsid w:val="00D57E0F"/>
    <w:rsid w:val="00D6056F"/>
    <w:rsid w:val="00D606D1"/>
    <w:rsid w:val="00D60B35"/>
    <w:rsid w:val="00D61105"/>
    <w:rsid w:val="00D618B7"/>
    <w:rsid w:val="00D64307"/>
    <w:rsid w:val="00D65E19"/>
    <w:rsid w:val="00D675CC"/>
    <w:rsid w:val="00D676DD"/>
    <w:rsid w:val="00D70049"/>
    <w:rsid w:val="00D81A01"/>
    <w:rsid w:val="00D91233"/>
    <w:rsid w:val="00D93C5F"/>
    <w:rsid w:val="00DA411A"/>
    <w:rsid w:val="00DA4711"/>
    <w:rsid w:val="00DA49CF"/>
    <w:rsid w:val="00DA4B78"/>
    <w:rsid w:val="00DA5337"/>
    <w:rsid w:val="00DA7508"/>
    <w:rsid w:val="00DB2635"/>
    <w:rsid w:val="00DB3D80"/>
    <w:rsid w:val="00DC2A01"/>
    <w:rsid w:val="00DC314D"/>
    <w:rsid w:val="00DC4C3C"/>
    <w:rsid w:val="00DC610E"/>
    <w:rsid w:val="00DC7188"/>
    <w:rsid w:val="00DC7EDF"/>
    <w:rsid w:val="00DD0B2F"/>
    <w:rsid w:val="00DD0D1A"/>
    <w:rsid w:val="00DD1AD9"/>
    <w:rsid w:val="00DD1F20"/>
    <w:rsid w:val="00DD59EF"/>
    <w:rsid w:val="00DD6CDC"/>
    <w:rsid w:val="00DE0125"/>
    <w:rsid w:val="00DE11BE"/>
    <w:rsid w:val="00DE2AB0"/>
    <w:rsid w:val="00DE3769"/>
    <w:rsid w:val="00DE5DC3"/>
    <w:rsid w:val="00DE6EF0"/>
    <w:rsid w:val="00DF23E3"/>
    <w:rsid w:val="00DF5ADE"/>
    <w:rsid w:val="00E02C23"/>
    <w:rsid w:val="00E0305B"/>
    <w:rsid w:val="00E03BC5"/>
    <w:rsid w:val="00E10961"/>
    <w:rsid w:val="00E10C4C"/>
    <w:rsid w:val="00E12BAC"/>
    <w:rsid w:val="00E130BD"/>
    <w:rsid w:val="00E17399"/>
    <w:rsid w:val="00E173C1"/>
    <w:rsid w:val="00E17879"/>
    <w:rsid w:val="00E213F7"/>
    <w:rsid w:val="00E22DA4"/>
    <w:rsid w:val="00E2476F"/>
    <w:rsid w:val="00E2545C"/>
    <w:rsid w:val="00E266DC"/>
    <w:rsid w:val="00E26E6F"/>
    <w:rsid w:val="00E2706E"/>
    <w:rsid w:val="00E27AA0"/>
    <w:rsid w:val="00E32481"/>
    <w:rsid w:val="00E32EC7"/>
    <w:rsid w:val="00E351C5"/>
    <w:rsid w:val="00E35B16"/>
    <w:rsid w:val="00E35B2E"/>
    <w:rsid w:val="00E3779B"/>
    <w:rsid w:val="00E43EAD"/>
    <w:rsid w:val="00E44138"/>
    <w:rsid w:val="00E44BF3"/>
    <w:rsid w:val="00E472D5"/>
    <w:rsid w:val="00E475C5"/>
    <w:rsid w:val="00E476DD"/>
    <w:rsid w:val="00E47CC2"/>
    <w:rsid w:val="00E518B2"/>
    <w:rsid w:val="00E53B74"/>
    <w:rsid w:val="00E54937"/>
    <w:rsid w:val="00E55AAB"/>
    <w:rsid w:val="00E55C5E"/>
    <w:rsid w:val="00E56CB6"/>
    <w:rsid w:val="00E57097"/>
    <w:rsid w:val="00E57AAA"/>
    <w:rsid w:val="00E600B5"/>
    <w:rsid w:val="00E6060D"/>
    <w:rsid w:val="00E62288"/>
    <w:rsid w:val="00E62646"/>
    <w:rsid w:val="00E6351A"/>
    <w:rsid w:val="00E64ED1"/>
    <w:rsid w:val="00E661EC"/>
    <w:rsid w:val="00E751B1"/>
    <w:rsid w:val="00E773BB"/>
    <w:rsid w:val="00E77914"/>
    <w:rsid w:val="00E81FD5"/>
    <w:rsid w:val="00E836CC"/>
    <w:rsid w:val="00E837CE"/>
    <w:rsid w:val="00E85456"/>
    <w:rsid w:val="00E871B3"/>
    <w:rsid w:val="00E909E3"/>
    <w:rsid w:val="00E90D3A"/>
    <w:rsid w:val="00E91215"/>
    <w:rsid w:val="00E91639"/>
    <w:rsid w:val="00E91F29"/>
    <w:rsid w:val="00E922A9"/>
    <w:rsid w:val="00E93F55"/>
    <w:rsid w:val="00E9497D"/>
    <w:rsid w:val="00E94B0D"/>
    <w:rsid w:val="00E950B0"/>
    <w:rsid w:val="00E95D67"/>
    <w:rsid w:val="00E97399"/>
    <w:rsid w:val="00EA4D39"/>
    <w:rsid w:val="00EA5180"/>
    <w:rsid w:val="00EA5FA8"/>
    <w:rsid w:val="00EB223E"/>
    <w:rsid w:val="00EB7EDE"/>
    <w:rsid w:val="00EC4D48"/>
    <w:rsid w:val="00EC57CC"/>
    <w:rsid w:val="00EC65C7"/>
    <w:rsid w:val="00EC72DE"/>
    <w:rsid w:val="00EC7945"/>
    <w:rsid w:val="00ED044B"/>
    <w:rsid w:val="00ED0E1B"/>
    <w:rsid w:val="00ED6E82"/>
    <w:rsid w:val="00ED76EA"/>
    <w:rsid w:val="00EE00AE"/>
    <w:rsid w:val="00EE0718"/>
    <w:rsid w:val="00EE0FE1"/>
    <w:rsid w:val="00EE30C6"/>
    <w:rsid w:val="00EE3F71"/>
    <w:rsid w:val="00EE58B4"/>
    <w:rsid w:val="00EE7502"/>
    <w:rsid w:val="00EE7548"/>
    <w:rsid w:val="00EF02A5"/>
    <w:rsid w:val="00EF082C"/>
    <w:rsid w:val="00EF2AD6"/>
    <w:rsid w:val="00EF334E"/>
    <w:rsid w:val="00EF342E"/>
    <w:rsid w:val="00EF4990"/>
    <w:rsid w:val="00EF6572"/>
    <w:rsid w:val="00EF7C1B"/>
    <w:rsid w:val="00F04E86"/>
    <w:rsid w:val="00F069F6"/>
    <w:rsid w:val="00F110CD"/>
    <w:rsid w:val="00F11C39"/>
    <w:rsid w:val="00F11F83"/>
    <w:rsid w:val="00F13AA3"/>
    <w:rsid w:val="00F13FC4"/>
    <w:rsid w:val="00F15A8F"/>
    <w:rsid w:val="00F1645B"/>
    <w:rsid w:val="00F16CC4"/>
    <w:rsid w:val="00F21BF0"/>
    <w:rsid w:val="00F2317E"/>
    <w:rsid w:val="00F236F8"/>
    <w:rsid w:val="00F2673A"/>
    <w:rsid w:val="00F27BF4"/>
    <w:rsid w:val="00F30A2D"/>
    <w:rsid w:val="00F36DE6"/>
    <w:rsid w:val="00F37488"/>
    <w:rsid w:val="00F40CFC"/>
    <w:rsid w:val="00F40DB1"/>
    <w:rsid w:val="00F40FCD"/>
    <w:rsid w:val="00F41283"/>
    <w:rsid w:val="00F45D53"/>
    <w:rsid w:val="00F463E0"/>
    <w:rsid w:val="00F46A72"/>
    <w:rsid w:val="00F46F1B"/>
    <w:rsid w:val="00F47904"/>
    <w:rsid w:val="00F501D9"/>
    <w:rsid w:val="00F50565"/>
    <w:rsid w:val="00F51050"/>
    <w:rsid w:val="00F516F5"/>
    <w:rsid w:val="00F52C9D"/>
    <w:rsid w:val="00F566D5"/>
    <w:rsid w:val="00F600F2"/>
    <w:rsid w:val="00F63F3A"/>
    <w:rsid w:val="00F6568A"/>
    <w:rsid w:val="00F66BEA"/>
    <w:rsid w:val="00F66E91"/>
    <w:rsid w:val="00F71E6F"/>
    <w:rsid w:val="00F76DD2"/>
    <w:rsid w:val="00F80748"/>
    <w:rsid w:val="00F81111"/>
    <w:rsid w:val="00F8340E"/>
    <w:rsid w:val="00F861DE"/>
    <w:rsid w:val="00F90F7D"/>
    <w:rsid w:val="00F91DF3"/>
    <w:rsid w:val="00F92087"/>
    <w:rsid w:val="00F94D22"/>
    <w:rsid w:val="00F94DEF"/>
    <w:rsid w:val="00F95910"/>
    <w:rsid w:val="00F972AA"/>
    <w:rsid w:val="00F973A6"/>
    <w:rsid w:val="00F9748C"/>
    <w:rsid w:val="00FA070A"/>
    <w:rsid w:val="00FA5C02"/>
    <w:rsid w:val="00FA6FF2"/>
    <w:rsid w:val="00FA77EE"/>
    <w:rsid w:val="00FA7BFA"/>
    <w:rsid w:val="00FB54AB"/>
    <w:rsid w:val="00FB5764"/>
    <w:rsid w:val="00FB6113"/>
    <w:rsid w:val="00FB6437"/>
    <w:rsid w:val="00FB7E7D"/>
    <w:rsid w:val="00FC2FBA"/>
    <w:rsid w:val="00FC5DA4"/>
    <w:rsid w:val="00FC68F9"/>
    <w:rsid w:val="00FC6EE9"/>
    <w:rsid w:val="00FD145C"/>
    <w:rsid w:val="00FD1A3D"/>
    <w:rsid w:val="00FD274D"/>
    <w:rsid w:val="00FD52FC"/>
    <w:rsid w:val="00FD620E"/>
    <w:rsid w:val="00FE3A95"/>
    <w:rsid w:val="00FF3536"/>
    <w:rsid w:val="00FF3954"/>
    <w:rsid w:val="00FF4636"/>
    <w:rsid w:val="00FF580F"/>
    <w:rsid w:val="00FF5D2B"/>
    <w:rsid w:val="00FF5E23"/>
    <w:rsid w:val="018E7819"/>
    <w:rsid w:val="01C247F0"/>
    <w:rsid w:val="01D66BDF"/>
    <w:rsid w:val="01DD41C2"/>
    <w:rsid w:val="01DE4120"/>
    <w:rsid w:val="020C68B4"/>
    <w:rsid w:val="02113E4F"/>
    <w:rsid w:val="02511314"/>
    <w:rsid w:val="026F71B4"/>
    <w:rsid w:val="02AD7C71"/>
    <w:rsid w:val="02C80F58"/>
    <w:rsid w:val="02D533B3"/>
    <w:rsid w:val="036A38A7"/>
    <w:rsid w:val="03747A3A"/>
    <w:rsid w:val="039B5720"/>
    <w:rsid w:val="03DC6164"/>
    <w:rsid w:val="03FC5E82"/>
    <w:rsid w:val="040F1BAA"/>
    <w:rsid w:val="041617C1"/>
    <w:rsid w:val="043715E2"/>
    <w:rsid w:val="043D1681"/>
    <w:rsid w:val="049975B9"/>
    <w:rsid w:val="04B73549"/>
    <w:rsid w:val="04C87066"/>
    <w:rsid w:val="050B6856"/>
    <w:rsid w:val="052B5A86"/>
    <w:rsid w:val="05713FFC"/>
    <w:rsid w:val="0597643A"/>
    <w:rsid w:val="061C285F"/>
    <w:rsid w:val="06322C8C"/>
    <w:rsid w:val="06A27BF1"/>
    <w:rsid w:val="06B5558D"/>
    <w:rsid w:val="07190B35"/>
    <w:rsid w:val="07195D48"/>
    <w:rsid w:val="0730075A"/>
    <w:rsid w:val="07716FC5"/>
    <w:rsid w:val="07BA4E3B"/>
    <w:rsid w:val="07DC537F"/>
    <w:rsid w:val="07E72487"/>
    <w:rsid w:val="081F03E2"/>
    <w:rsid w:val="083060FE"/>
    <w:rsid w:val="083E7612"/>
    <w:rsid w:val="084A0EA6"/>
    <w:rsid w:val="0882172A"/>
    <w:rsid w:val="08A81240"/>
    <w:rsid w:val="08E97AAB"/>
    <w:rsid w:val="08FE2242"/>
    <w:rsid w:val="09147308"/>
    <w:rsid w:val="09483348"/>
    <w:rsid w:val="09795E21"/>
    <w:rsid w:val="098531AD"/>
    <w:rsid w:val="09DB0338"/>
    <w:rsid w:val="09E81BCC"/>
    <w:rsid w:val="0A5C798D"/>
    <w:rsid w:val="0ADF52ED"/>
    <w:rsid w:val="0AEF0200"/>
    <w:rsid w:val="0AFF4C18"/>
    <w:rsid w:val="0B067E26"/>
    <w:rsid w:val="0B100735"/>
    <w:rsid w:val="0B1957C1"/>
    <w:rsid w:val="0B44732B"/>
    <w:rsid w:val="0B5750F6"/>
    <w:rsid w:val="0B673342"/>
    <w:rsid w:val="0BBD62CF"/>
    <w:rsid w:val="0BCF786E"/>
    <w:rsid w:val="0BEC359B"/>
    <w:rsid w:val="0C3B6B9E"/>
    <w:rsid w:val="0C403025"/>
    <w:rsid w:val="0C5145C5"/>
    <w:rsid w:val="0CA04344"/>
    <w:rsid w:val="0D0512FE"/>
    <w:rsid w:val="0D0B39F3"/>
    <w:rsid w:val="0D597375"/>
    <w:rsid w:val="0D6A5091"/>
    <w:rsid w:val="0D7D2A2D"/>
    <w:rsid w:val="0DCB35EB"/>
    <w:rsid w:val="0DCD3AB1"/>
    <w:rsid w:val="0DE94A9D"/>
    <w:rsid w:val="0E041A0C"/>
    <w:rsid w:val="0E263246"/>
    <w:rsid w:val="0E4E5304"/>
    <w:rsid w:val="0E871FE6"/>
    <w:rsid w:val="0E9E6388"/>
    <w:rsid w:val="0EA67017"/>
    <w:rsid w:val="0EBC11BB"/>
    <w:rsid w:val="0EE31171"/>
    <w:rsid w:val="0EE65882"/>
    <w:rsid w:val="0F545EB6"/>
    <w:rsid w:val="0F59233E"/>
    <w:rsid w:val="0F5F4247"/>
    <w:rsid w:val="0F8C5F99"/>
    <w:rsid w:val="0FA201B4"/>
    <w:rsid w:val="0FDA3B91"/>
    <w:rsid w:val="0FF259B5"/>
    <w:rsid w:val="1041483A"/>
    <w:rsid w:val="105B7E39"/>
    <w:rsid w:val="10884FAF"/>
    <w:rsid w:val="108904B2"/>
    <w:rsid w:val="108A26B0"/>
    <w:rsid w:val="10A27D57"/>
    <w:rsid w:val="10C2280A"/>
    <w:rsid w:val="10F26BDC"/>
    <w:rsid w:val="10FA61E7"/>
    <w:rsid w:val="114854F1"/>
    <w:rsid w:val="11516BF6"/>
    <w:rsid w:val="115F7210"/>
    <w:rsid w:val="1199286D"/>
    <w:rsid w:val="11DC205D"/>
    <w:rsid w:val="11DD425B"/>
    <w:rsid w:val="122327D1"/>
    <w:rsid w:val="123E0DFD"/>
    <w:rsid w:val="124C2311"/>
    <w:rsid w:val="128F24EA"/>
    <w:rsid w:val="12BE2183"/>
    <w:rsid w:val="12E44E0E"/>
    <w:rsid w:val="12EC7C9C"/>
    <w:rsid w:val="13010B3B"/>
    <w:rsid w:val="130F36D3"/>
    <w:rsid w:val="13584DCD"/>
    <w:rsid w:val="135A2CE6"/>
    <w:rsid w:val="135D1254"/>
    <w:rsid w:val="13787880"/>
    <w:rsid w:val="13A22EA1"/>
    <w:rsid w:val="13B10CDE"/>
    <w:rsid w:val="13C94D8F"/>
    <w:rsid w:val="13CB3A86"/>
    <w:rsid w:val="13D07F0E"/>
    <w:rsid w:val="13FA500A"/>
    <w:rsid w:val="143769B9"/>
    <w:rsid w:val="146141DF"/>
    <w:rsid w:val="14775224"/>
    <w:rsid w:val="147C65C2"/>
    <w:rsid w:val="14997957"/>
    <w:rsid w:val="14C447F8"/>
    <w:rsid w:val="14E336E2"/>
    <w:rsid w:val="15080EBE"/>
    <w:rsid w:val="150D3199"/>
    <w:rsid w:val="15356E8A"/>
    <w:rsid w:val="158D6F6A"/>
    <w:rsid w:val="164F7029"/>
    <w:rsid w:val="16766EE8"/>
    <w:rsid w:val="16AA063C"/>
    <w:rsid w:val="16ED5C2D"/>
    <w:rsid w:val="16F06BB2"/>
    <w:rsid w:val="173A24A9"/>
    <w:rsid w:val="176645F2"/>
    <w:rsid w:val="17982843"/>
    <w:rsid w:val="17995D46"/>
    <w:rsid w:val="17F13E79"/>
    <w:rsid w:val="17FD3F0D"/>
    <w:rsid w:val="18397E4E"/>
    <w:rsid w:val="189823E5"/>
    <w:rsid w:val="18F45D57"/>
    <w:rsid w:val="191A4F3D"/>
    <w:rsid w:val="191F13C5"/>
    <w:rsid w:val="19391F6F"/>
    <w:rsid w:val="19412BFE"/>
    <w:rsid w:val="19492209"/>
    <w:rsid w:val="195C65FC"/>
    <w:rsid w:val="197907DA"/>
    <w:rsid w:val="19C169D0"/>
    <w:rsid w:val="19FD2FB1"/>
    <w:rsid w:val="1A47212C"/>
    <w:rsid w:val="1A620757"/>
    <w:rsid w:val="1A7154EF"/>
    <w:rsid w:val="1A877692"/>
    <w:rsid w:val="1B1B5988"/>
    <w:rsid w:val="1B2E7EFB"/>
    <w:rsid w:val="1B4048C2"/>
    <w:rsid w:val="1B730595"/>
    <w:rsid w:val="1C0E1A98"/>
    <w:rsid w:val="1C1D682F"/>
    <w:rsid w:val="1C4B5D71"/>
    <w:rsid w:val="1C4C3AFB"/>
    <w:rsid w:val="1C517F83"/>
    <w:rsid w:val="1C756EBE"/>
    <w:rsid w:val="1CE7177B"/>
    <w:rsid w:val="1CF2631E"/>
    <w:rsid w:val="1D347916"/>
    <w:rsid w:val="1D3A7F00"/>
    <w:rsid w:val="1D7C63EB"/>
    <w:rsid w:val="1D7D76F0"/>
    <w:rsid w:val="1DE01993"/>
    <w:rsid w:val="1E2A308C"/>
    <w:rsid w:val="1E7A630E"/>
    <w:rsid w:val="1E8C78AD"/>
    <w:rsid w:val="1E9B20C6"/>
    <w:rsid w:val="1EBB651C"/>
    <w:rsid w:val="1ED55723"/>
    <w:rsid w:val="1ED81F2B"/>
    <w:rsid w:val="1EE61241"/>
    <w:rsid w:val="1F0152EE"/>
    <w:rsid w:val="1F63408D"/>
    <w:rsid w:val="1F741DA9"/>
    <w:rsid w:val="1F967D60"/>
    <w:rsid w:val="1FBB7F9F"/>
    <w:rsid w:val="1FD22143"/>
    <w:rsid w:val="1FF40126"/>
    <w:rsid w:val="1FFF3F0C"/>
    <w:rsid w:val="202E28ED"/>
    <w:rsid w:val="203543E6"/>
    <w:rsid w:val="2072424B"/>
    <w:rsid w:val="207C25DC"/>
    <w:rsid w:val="20831BA0"/>
    <w:rsid w:val="20AB4024"/>
    <w:rsid w:val="20E9190B"/>
    <w:rsid w:val="20F40FA1"/>
    <w:rsid w:val="20FA7627"/>
    <w:rsid w:val="20FB76C1"/>
    <w:rsid w:val="214964AC"/>
    <w:rsid w:val="21753704"/>
    <w:rsid w:val="217B0E7A"/>
    <w:rsid w:val="221955EF"/>
    <w:rsid w:val="22405740"/>
    <w:rsid w:val="22800488"/>
    <w:rsid w:val="22A72B65"/>
    <w:rsid w:val="22AD02F2"/>
    <w:rsid w:val="22D8243B"/>
    <w:rsid w:val="23011F7A"/>
    <w:rsid w:val="2317411E"/>
    <w:rsid w:val="233911DB"/>
    <w:rsid w:val="23582989"/>
    <w:rsid w:val="236A19AA"/>
    <w:rsid w:val="23792EBE"/>
    <w:rsid w:val="23CC074A"/>
    <w:rsid w:val="23CF3BAA"/>
    <w:rsid w:val="23FC29EF"/>
    <w:rsid w:val="240F7F39"/>
    <w:rsid w:val="24120EBE"/>
    <w:rsid w:val="2438587A"/>
    <w:rsid w:val="24CE7073"/>
    <w:rsid w:val="25323514"/>
    <w:rsid w:val="25361F1A"/>
    <w:rsid w:val="255D565D"/>
    <w:rsid w:val="258B7426"/>
    <w:rsid w:val="25B41E9D"/>
    <w:rsid w:val="25C65F86"/>
    <w:rsid w:val="2622669F"/>
    <w:rsid w:val="26310EB8"/>
    <w:rsid w:val="265A67F9"/>
    <w:rsid w:val="269862DE"/>
    <w:rsid w:val="27066912"/>
    <w:rsid w:val="275774BC"/>
    <w:rsid w:val="27765CCC"/>
    <w:rsid w:val="27BC027C"/>
    <w:rsid w:val="27BC6441"/>
    <w:rsid w:val="28017E2F"/>
    <w:rsid w:val="28347384"/>
    <w:rsid w:val="2868435B"/>
    <w:rsid w:val="28792F09"/>
    <w:rsid w:val="289A6D28"/>
    <w:rsid w:val="28AB4A44"/>
    <w:rsid w:val="28B66659"/>
    <w:rsid w:val="28BB2AE0"/>
    <w:rsid w:val="28FB134B"/>
    <w:rsid w:val="296D4B02"/>
    <w:rsid w:val="2973448D"/>
    <w:rsid w:val="2983524E"/>
    <w:rsid w:val="29B30AFA"/>
    <w:rsid w:val="29D14827"/>
    <w:rsid w:val="2A164F5A"/>
    <w:rsid w:val="2A5B478B"/>
    <w:rsid w:val="2A6A2C93"/>
    <w:rsid w:val="2A7121B2"/>
    <w:rsid w:val="2AE62171"/>
    <w:rsid w:val="2AEE177B"/>
    <w:rsid w:val="2B7A2D23"/>
    <w:rsid w:val="2B914808"/>
    <w:rsid w:val="2BC41011"/>
    <w:rsid w:val="2BC639DD"/>
    <w:rsid w:val="2BD01D6E"/>
    <w:rsid w:val="2BDA5F01"/>
    <w:rsid w:val="2C2A6F85"/>
    <w:rsid w:val="2C3E23A2"/>
    <w:rsid w:val="2C5348C6"/>
    <w:rsid w:val="2CAD3CDB"/>
    <w:rsid w:val="2CF96358"/>
    <w:rsid w:val="2D3277B7"/>
    <w:rsid w:val="2D385E3D"/>
    <w:rsid w:val="2D645A08"/>
    <w:rsid w:val="2D657C06"/>
    <w:rsid w:val="2D9D5B09"/>
    <w:rsid w:val="2E0C4F1C"/>
    <w:rsid w:val="2E743646"/>
    <w:rsid w:val="2E747DC3"/>
    <w:rsid w:val="2E955D79"/>
    <w:rsid w:val="2EA53E15"/>
    <w:rsid w:val="2EC03704"/>
    <w:rsid w:val="2ED72066"/>
    <w:rsid w:val="2EDD77F3"/>
    <w:rsid w:val="2EEA3285"/>
    <w:rsid w:val="2F2D0876"/>
    <w:rsid w:val="2F486EA2"/>
    <w:rsid w:val="2F4F0A2B"/>
    <w:rsid w:val="2F4F682D"/>
    <w:rsid w:val="2F601055"/>
    <w:rsid w:val="2FA54819"/>
    <w:rsid w:val="2FB674D6"/>
    <w:rsid w:val="2FB70B5B"/>
    <w:rsid w:val="2FB74F57"/>
    <w:rsid w:val="2FD67A0A"/>
    <w:rsid w:val="2FE3129F"/>
    <w:rsid w:val="30355826"/>
    <w:rsid w:val="30661878"/>
    <w:rsid w:val="30984245"/>
    <w:rsid w:val="30F2145C"/>
    <w:rsid w:val="310F0A0C"/>
    <w:rsid w:val="314D3E18"/>
    <w:rsid w:val="31696B1C"/>
    <w:rsid w:val="31AA06AE"/>
    <w:rsid w:val="31D574D0"/>
    <w:rsid w:val="32273A57"/>
    <w:rsid w:val="325623AA"/>
    <w:rsid w:val="325767A5"/>
    <w:rsid w:val="32832AEC"/>
    <w:rsid w:val="33082D45"/>
    <w:rsid w:val="3309404A"/>
    <w:rsid w:val="33353386"/>
    <w:rsid w:val="33512240"/>
    <w:rsid w:val="33684063"/>
    <w:rsid w:val="33964F33"/>
    <w:rsid w:val="33C024F3"/>
    <w:rsid w:val="33C259F7"/>
    <w:rsid w:val="33C74298"/>
    <w:rsid w:val="33D7599C"/>
    <w:rsid w:val="347F162D"/>
    <w:rsid w:val="34845AB5"/>
    <w:rsid w:val="348722BC"/>
    <w:rsid w:val="34CF5F34"/>
    <w:rsid w:val="34E34BD5"/>
    <w:rsid w:val="351A72AD"/>
    <w:rsid w:val="352D62CE"/>
    <w:rsid w:val="354D2F7F"/>
    <w:rsid w:val="35527407"/>
    <w:rsid w:val="357850C8"/>
    <w:rsid w:val="35964678"/>
    <w:rsid w:val="35EA0E10"/>
    <w:rsid w:val="361507CA"/>
    <w:rsid w:val="366D46DB"/>
    <w:rsid w:val="36E13395"/>
    <w:rsid w:val="36E62DD3"/>
    <w:rsid w:val="3728158B"/>
    <w:rsid w:val="37617167"/>
    <w:rsid w:val="37624BE8"/>
    <w:rsid w:val="3789032B"/>
    <w:rsid w:val="37C87E10"/>
    <w:rsid w:val="37F31F59"/>
    <w:rsid w:val="38126F8A"/>
    <w:rsid w:val="3875702F"/>
    <w:rsid w:val="38953CE0"/>
    <w:rsid w:val="38A20DF8"/>
    <w:rsid w:val="38A36879"/>
    <w:rsid w:val="38A464F9"/>
    <w:rsid w:val="38AB4F49"/>
    <w:rsid w:val="38F73316"/>
    <w:rsid w:val="38FC0CD5"/>
    <w:rsid w:val="391C3471"/>
    <w:rsid w:val="3982604D"/>
    <w:rsid w:val="398A2E2E"/>
    <w:rsid w:val="39B20C35"/>
    <w:rsid w:val="3A0B4B47"/>
    <w:rsid w:val="3A1357D6"/>
    <w:rsid w:val="3AA627C7"/>
    <w:rsid w:val="3AD54840"/>
    <w:rsid w:val="3ADA3F1A"/>
    <w:rsid w:val="3ADD0722"/>
    <w:rsid w:val="3AF57197"/>
    <w:rsid w:val="3B6E2210"/>
    <w:rsid w:val="3B957ED1"/>
    <w:rsid w:val="3BB9138A"/>
    <w:rsid w:val="3BC608D8"/>
    <w:rsid w:val="3BEF1864"/>
    <w:rsid w:val="3BFD65FB"/>
    <w:rsid w:val="3C1B043E"/>
    <w:rsid w:val="3C26613B"/>
    <w:rsid w:val="3C3C60E0"/>
    <w:rsid w:val="3C471EF3"/>
    <w:rsid w:val="3C7207B9"/>
    <w:rsid w:val="3CBD13FD"/>
    <w:rsid w:val="3CF06E89"/>
    <w:rsid w:val="3D5236AA"/>
    <w:rsid w:val="3D56682D"/>
    <w:rsid w:val="3DD73903"/>
    <w:rsid w:val="3DEC0025"/>
    <w:rsid w:val="3DF4053E"/>
    <w:rsid w:val="3E0A75D5"/>
    <w:rsid w:val="3E4A2A81"/>
    <w:rsid w:val="3E6469EA"/>
    <w:rsid w:val="3E6E552A"/>
    <w:rsid w:val="3E775A0B"/>
    <w:rsid w:val="3E844D20"/>
    <w:rsid w:val="3E9F334C"/>
    <w:rsid w:val="3EFA6EDE"/>
    <w:rsid w:val="3F767B2C"/>
    <w:rsid w:val="3F9D4347"/>
    <w:rsid w:val="3FD768CC"/>
    <w:rsid w:val="400A259E"/>
    <w:rsid w:val="40292E53"/>
    <w:rsid w:val="404B2E8B"/>
    <w:rsid w:val="404B3E24"/>
    <w:rsid w:val="406B3DDC"/>
    <w:rsid w:val="40910F5D"/>
    <w:rsid w:val="409D1B0D"/>
    <w:rsid w:val="409F0893"/>
    <w:rsid w:val="40A13D96"/>
    <w:rsid w:val="40BA4177"/>
    <w:rsid w:val="40C50AD3"/>
    <w:rsid w:val="40F94425"/>
    <w:rsid w:val="40FF632E"/>
    <w:rsid w:val="412818A5"/>
    <w:rsid w:val="41297D82"/>
    <w:rsid w:val="414C642D"/>
    <w:rsid w:val="41880811"/>
    <w:rsid w:val="41B80C5C"/>
    <w:rsid w:val="41D00C05"/>
    <w:rsid w:val="41E50BAA"/>
    <w:rsid w:val="422D1948"/>
    <w:rsid w:val="42471B37"/>
    <w:rsid w:val="42E377C8"/>
    <w:rsid w:val="42E71A52"/>
    <w:rsid w:val="42F951EF"/>
    <w:rsid w:val="430D3E90"/>
    <w:rsid w:val="432B1CC4"/>
    <w:rsid w:val="43B70AA5"/>
    <w:rsid w:val="43E715F4"/>
    <w:rsid w:val="4407792B"/>
    <w:rsid w:val="440C3DB3"/>
    <w:rsid w:val="442B2FE3"/>
    <w:rsid w:val="44555450"/>
    <w:rsid w:val="44790B63"/>
    <w:rsid w:val="44EB3421"/>
    <w:rsid w:val="45384064"/>
    <w:rsid w:val="453F2EAB"/>
    <w:rsid w:val="455728DE"/>
    <w:rsid w:val="4565044C"/>
    <w:rsid w:val="45AC7C5B"/>
    <w:rsid w:val="45B52AE9"/>
    <w:rsid w:val="45C9758C"/>
    <w:rsid w:val="46014481"/>
    <w:rsid w:val="460D47FD"/>
    <w:rsid w:val="46336C3B"/>
    <w:rsid w:val="46621D09"/>
    <w:rsid w:val="467B15AE"/>
    <w:rsid w:val="468A4D8B"/>
    <w:rsid w:val="46A71178"/>
    <w:rsid w:val="46DC3BD1"/>
    <w:rsid w:val="46F843FA"/>
    <w:rsid w:val="474D1906"/>
    <w:rsid w:val="477B4832"/>
    <w:rsid w:val="47DD11F5"/>
    <w:rsid w:val="47E2567D"/>
    <w:rsid w:val="48624CD1"/>
    <w:rsid w:val="488C6CCD"/>
    <w:rsid w:val="48F22448"/>
    <w:rsid w:val="49190F7D"/>
    <w:rsid w:val="49462D46"/>
    <w:rsid w:val="49626DF3"/>
    <w:rsid w:val="498118A6"/>
    <w:rsid w:val="49BB0786"/>
    <w:rsid w:val="49C1268F"/>
    <w:rsid w:val="49D1292A"/>
    <w:rsid w:val="49F00D5F"/>
    <w:rsid w:val="49F47A9B"/>
    <w:rsid w:val="4A0A3D88"/>
    <w:rsid w:val="4A5166FB"/>
    <w:rsid w:val="4A6E0229"/>
    <w:rsid w:val="4A8D525B"/>
    <w:rsid w:val="4AFD4615"/>
    <w:rsid w:val="4AFE2097"/>
    <w:rsid w:val="4B2422D7"/>
    <w:rsid w:val="4B6A35F4"/>
    <w:rsid w:val="4BA460A8"/>
    <w:rsid w:val="4BE0268A"/>
    <w:rsid w:val="4C00513D"/>
    <w:rsid w:val="4C074AC8"/>
    <w:rsid w:val="4C1E7796"/>
    <w:rsid w:val="4C2578FB"/>
    <w:rsid w:val="4C286301"/>
    <w:rsid w:val="4C28759A"/>
    <w:rsid w:val="4C4D523C"/>
    <w:rsid w:val="4C6F6A75"/>
    <w:rsid w:val="4CB76E6A"/>
    <w:rsid w:val="4CBF7AF9"/>
    <w:rsid w:val="4CFB40DB"/>
    <w:rsid w:val="4D185C09"/>
    <w:rsid w:val="4E146DA6"/>
    <w:rsid w:val="4E1D1C34"/>
    <w:rsid w:val="4EEE230C"/>
    <w:rsid w:val="4F1521CC"/>
    <w:rsid w:val="4F1B3040"/>
    <w:rsid w:val="4F1F635F"/>
    <w:rsid w:val="4F2711ED"/>
    <w:rsid w:val="4F33177C"/>
    <w:rsid w:val="4F343DA7"/>
    <w:rsid w:val="4F396F09"/>
    <w:rsid w:val="4F3C208C"/>
    <w:rsid w:val="4F722566"/>
    <w:rsid w:val="4FA252B3"/>
    <w:rsid w:val="4FCC3EF9"/>
    <w:rsid w:val="4FCF4E7E"/>
    <w:rsid w:val="4FEC222F"/>
    <w:rsid w:val="500242FE"/>
    <w:rsid w:val="509016B8"/>
    <w:rsid w:val="50CA0599"/>
    <w:rsid w:val="50D137A7"/>
    <w:rsid w:val="50EC654F"/>
    <w:rsid w:val="51241F2C"/>
    <w:rsid w:val="51442461"/>
    <w:rsid w:val="514B1DEB"/>
    <w:rsid w:val="51C51AB5"/>
    <w:rsid w:val="51D43C68"/>
    <w:rsid w:val="5206251F"/>
    <w:rsid w:val="522D01E0"/>
    <w:rsid w:val="52643142"/>
    <w:rsid w:val="528662F0"/>
    <w:rsid w:val="52DF2202"/>
    <w:rsid w:val="52E4668A"/>
    <w:rsid w:val="52ED4D9B"/>
    <w:rsid w:val="52F656AA"/>
    <w:rsid w:val="53047B1C"/>
    <w:rsid w:val="53645CDE"/>
    <w:rsid w:val="537517FC"/>
    <w:rsid w:val="539F6DBD"/>
    <w:rsid w:val="53AA2BCF"/>
    <w:rsid w:val="53EF11F3"/>
    <w:rsid w:val="53F01145"/>
    <w:rsid w:val="540C73F1"/>
    <w:rsid w:val="54140080"/>
    <w:rsid w:val="542C5727"/>
    <w:rsid w:val="5445084F"/>
    <w:rsid w:val="54C75926"/>
    <w:rsid w:val="54F23A3C"/>
    <w:rsid w:val="55000C8A"/>
    <w:rsid w:val="55035063"/>
    <w:rsid w:val="55350158"/>
    <w:rsid w:val="559357DD"/>
    <w:rsid w:val="55945F73"/>
    <w:rsid w:val="559D6882"/>
    <w:rsid w:val="55B13325"/>
    <w:rsid w:val="55D05DD8"/>
    <w:rsid w:val="55F11B90"/>
    <w:rsid w:val="56072347"/>
    <w:rsid w:val="56236C6E"/>
    <w:rsid w:val="5669226E"/>
    <w:rsid w:val="56856D59"/>
    <w:rsid w:val="56E20EC8"/>
    <w:rsid w:val="56E35D53"/>
    <w:rsid w:val="570603D3"/>
    <w:rsid w:val="571264AF"/>
    <w:rsid w:val="57260908"/>
    <w:rsid w:val="573967DC"/>
    <w:rsid w:val="573B502A"/>
    <w:rsid w:val="5758495A"/>
    <w:rsid w:val="576616F1"/>
    <w:rsid w:val="577D4B9A"/>
    <w:rsid w:val="57805B1E"/>
    <w:rsid w:val="57B2047E"/>
    <w:rsid w:val="57B204EC"/>
    <w:rsid w:val="57B35F6D"/>
    <w:rsid w:val="57BE7B82"/>
    <w:rsid w:val="57EC2C4F"/>
    <w:rsid w:val="58183713"/>
    <w:rsid w:val="585F0CFA"/>
    <w:rsid w:val="5862288E"/>
    <w:rsid w:val="58900DF0"/>
    <w:rsid w:val="58B84252"/>
    <w:rsid w:val="58BE6CA1"/>
    <w:rsid w:val="592738D0"/>
    <w:rsid w:val="592B2432"/>
    <w:rsid w:val="59B72774"/>
    <w:rsid w:val="59EB2715"/>
    <w:rsid w:val="5A4178A0"/>
    <w:rsid w:val="5A9F7C3A"/>
    <w:rsid w:val="5AB578C2"/>
    <w:rsid w:val="5AB94067"/>
    <w:rsid w:val="5AC01473"/>
    <w:rsid w:val="5AE006A3"/>
    <w:rsid w:val="5B2675A6"/>
    <w:rsid w:val="5B5D4EA9"/>
    <w:rsid w:val="5B6F4A8F"/>
    <w:rsid w:val="5B7E2B2B"/>
    <w:rsid w:val="5BAA6E73"/>
    <w:rsid w:val="5BB93C0A"/>
    <w:rsid w:val="5C0F2107"/>
    <w:rsid w:val="5C29540E"/>
    <w:rsid w:val="5CBE7C34"/>
    <w:rsid w:val="5D135882"/>
    <w:rsid w:val="5D502A26"/>
    <w:rsid w:val="5DEB2C25"/>
    <w:rsid w:val="5E3E4C2D"/>
    <w:rsid w:val="5E4C19C5"/>
    <w:rsid w:val="5E531797"/>
    <w:rsid w:val="5E543814"/>
    <w:rsid w:val="5E5F664B"/>
    <w:rsid w:val="5E766F86"/>
    <w:rsid w:val="5E9268B6"/>
    <w:rsid w:val="5ED8702A"/>
    <w:rsid w:val="5EE2793A"/>
    <w:rsid w:val="5F4C5CE4"/>
    <w:rsid w:val="5FBA7BE3"/>
    <w:rsid w:val="606C7440"/>
    <w:rsid w:val="60980E01"/>
    <w:rsid w:val="61094D40"/>
    <w:rsid w:val="61581E34"/>
    <w:rsid w:val="6160574F"/>
    <w:rsid w:val="61620FB6"/>
    <w:rsid w:val="61A4713D"/>
    <w:rsid w:val="625008DB"/>
    <w:rsid w:val="625E1DEF"/>
    <w:rsid w:val="62767495"/>
    <w:rsid w:val="62A0195F"/>
    <w:rsid w:val="62B06376"/>
    <w:rsid w:val="62B674A5"/>
    <w:rsid w:val="62C37595"/>
    <w:rsid w:val="630A358C"/>
    <w:rsid w:val="632B5CBF"/>
    <w:rsid w:val="6344466B"/>
    <w:rsid w:val="63675357"/>
    <w:rsid w:val="636A48AB"/>
    <w:rsid w:val="638650D4"/>
    <w:rsid w:val="63E11F6B"/>
    <w:rsid w:val="63E541F4"/>
    <w:rsid w:val="63EA067C"/>
    <w:rsid w:val="64B251B8"/>
    <w:rsid w:val="64D305FA"/>
    <w:rsid w:val="64E80A78"/>
    <w:rsid w:val="64E965CB"/>
    <w:rsid w:val="65090AD4"/>
    <w:rsid w:val="651673BB"/>
    <w:rsid w:val="6561620F"/>
    <w:rsid w:val="659E3545"/>
    <w:rsid w:val="65A719D2"/>
    <w:rsid w:val="65D75478"/>
    <w:rsid w:val="65E052B4"/>
    <w:rsid w:val="665A501E"/>
    <w:rsid w:val="665F3603"/>
    <w:rsid w:val="66803B38"/>
    <w:rsid w:val="66996C60"/>
    <w:rsid w:val="66AE3383"/>
    <w:rsid w:val="66D74547"/>
    <w:rsid w:val="66E4385D"/>
    <w:rsid w:val="67084D16"/>
    <w:rsid w:val="670C6F9F"/>
    <w:rsid w:val="672E6E92"/>
    <w:rsid w:val="67392F67"/>
    <w:rsid w:val="677D5FDA"/>
    <w:rsid w:val="678D07F2"/>
    <w:rsid w:val="67A6286B"/>
    <w:rsid w:val="67B1772D"/>
    <w:rsid w:val="67B97DDD"/>
    <w:rsid w:val="680F1CC5"/>
    <w:rsid w:val="685A0E40"/>
    <w:rsid w:val="688B4E92"/>
    <w:rsid w:val="689F131E"/>
    <w:rsid w:val="68B42BF3"/>
    <w:rsid w:val="68BC0EE4"/>
    <w:rsid w:val="68BD6966"/>
    <w:rsid w:val="68C71474"/>
    <w:rsid w:val="68F25B3B"/>
    <w:rsid w:val="696370F4"/>
    <w:rsid w:val="69A2465A"/>
    <w:rsid w:val="69C76E18"/>
    <w:rsid w:val="6A170DB8"/>
    <w:rsid w:val="6A655A1D"/>
    <w:rsid w:val="6A7E0B45"/>
    <w:rsid w:val="6ABB2BA8"/>
    <w:rsid w:val="6ADD0B5E"/>
    <w:rsid w:val="6ADE1E63"/>
    <w:rsid w:val="6B2028CD"/>
    <w:rsid w:val="6B225DD0"/>
    <w:rsid w:val="6B244066"/>
    <w:rsid w:val="6B3A19E3"/>
    <w:rsid w:val="6B4D7F19"/>
    <w:rsid w:val="6B9D5719"/>
    <w:rsid w:val="6C1808E6"/>
    <w:rsid w:val="6C2211F6"/>
    <w:rsid w:val="6C5B6DD1"/>
    <w:rsid w:val="6CCA2908"/>
    <w:rsid w:val="6CDF3E12"/>
    <w:rsid w:val="6D26779F"/>
    <w:rsid w:val="6D270AA3"/>
    <w:rsid w:val="6D30452E"/>
    <w:rsid w:val="6D6F527B"/>
    <w:rsid w:val="6DA325EB"/>
    <w:rsid w:val="6DA66DF3"/>
    <w:rsid w:val="6E407887"/>
    <w:rsid w:val="6E632A2A"/>
    <w:rsid w:val="6E750089"/>
    <w:rsid w:val="6EA64798"/>
    <w:rsid w:val="6EAE7626"/>
    <w:rsid w:val="6EB846B2"/>
    <w:rsid w:val="6EBE403D"/>
    <w:rsid w:val="6ECA7E4F"/>
    <w:rsid w:val="6ED01D59"/>
    <w:rsid w:val="6F532332"/>
    <w:rsid w:val="6F6944D6"/>
    <w:rsid w:val="6F6B325C"/>
    <w:rsid w:val="6F6C545A"/>
    <w:rsid w:val="6F846384"/>
    <w:rsid w:val="6F9817A2"/>
    <w:rsid w:val="6F9D65B5"/>
    <w:rsid w:val="6FD16484"/>
    <w:rsid w:val="6FDB6D93"/>
    <w:rsid w:val="6FEE28FA"/>
    <w:rsid w:val="6FFC14C6"/>
    <w:rsid w:val="70092D5A"/>
    <w:rsid w:val="702D5518"/>
    <w:rsid w:val="705047D3"/>
    <w:rsid w:val="70606FEC"/>
    <w:rsid w:val="708304A5"/>
    <w:rsid w:val="70B64178"/>
    <w:rsid w:val="70C3128F"/>
    <w:rsid w:val="70EA114F"/>
    <w:rsid w:val="71465FE5"/>
    <w:rsid w:val="71473A67"/>
    <w:rsid w:val="7175165A"/>
    <w:rsid w:val="71A12E7C"/>
    <w:rsid w:val="71AD6C8E"/>
    <w:rsid w:val="71D83356"/>
    <w:rsid w:val="71F41601"/>
    <w:rsid w:val="72064D9E"/>
    <w:rsid w:val="72513F19"/>
    <w:rsid w:val="726376B6"/>
    <w:rsid w:val="72D36A71"/>
    <w:rsid w:val="72F0059F"/>
    <w:rsid w:val="73050544"/>
    <w:rsid w:val="73054CC1"/>
    <w:rsid w:val="73195E4C"/>
    <w:rsid w:val="73372F12"/>
    <w:rsid w:val="73532842"/>
    <w:rsid w:val="736F2172"/>
    <w:rsid w:val="73981CB2"/>
    <w:rsid w:val="739C3F3B"/>
    <w:rsid w:val="73D67598"/>
    <w:rsid w:val="746A200A"/>
    <w:rsid w:val="748309B5"/>
    <w:rsid w:val="74917CCB"/>
    <w:rsid w:val="74CA112A"/>
    <w:rsid w:val="74DC2A68"/>
    <w:rsid w:val="74DF4B7F"/>
    <w:rsid w:val="750C2E98"/>
    <w:rsid w:val="7530793A"/>
    <w:rsid w:val="75645AA5"/>
    <w:rsid w:val="756A5430"/>
    <w:rsid w:val="756E1C38"/>
    <w:rsid w:val="75856CF0"/>
    <w:rsid w:val="75963CF6"/>
    <w:rsid w:val="75FD6934"/>
    <w:rsid w:val="76093A95"/>
    <w:rsid w:val="760A7538"/>
    <w:rsid w:val="761A1D50"/>
    <w:rsid w:val="763B7D07"/>
    <w:rsid w:val="764C3824"/>
    <w:rsid w:val="76623D76"/>
    <w:rsid w:val="768E7B11"/>
    <w:rsid w:val="76A52D81"/>
    <w:rsid w:val="76AC12BF"/>
    <w:rsid w:val="76E14E65"/>
    <w:rsid w:val="77107C07"/>
    <w:rsid w:val="7715546B"/>
    <w:rsid w:val="773A7C2A"/>
    <w:rsid w:val="774175B4"/>
    <w:rsid w:val="775F23E8"/>
    <w:rsid w:val="77857199"/>
    <w:rsid w:val="778F7334"/>
    <w:rsid w:val="78106988"/>
    <w:rsid w:val="782557C0"/>
    <w:rsid w:val="784748E4"/>
    <w:rsid w:val="784D2D5B"/>
    <w:rsid w:val="78632B8F"/>
    <w:rsid w:val="787231A9"/>
    <w:rsid w:val="788419CF"/>
    <w:rsid w:val="78913A5E"/>
    <w:rsid w:val="79132D33"/>
    <w:rsid w:val="79815565"/>
    <w:rsid w:val="79DF1182"/>
    <w:rsid w:val="79EB37FE"/>
    <w:rsid w:val="7A430EA6"/>
    <w:rsid w:val="7A7E1F85"/>
    <w:rsid w:val="7A905722"/>
    <w:rsid w:val="7A9B070A"/>
    <w:rsid w:val="7AC34C78"/>
    <w:rsid w:val="7AC8587C"/>
    <w:rsid w:val="7AE110A7"/>
    <w:rsid w:val="7AFB0655"/>
    <w:rsid w:val="7B031548"/>
    <w:rsid w:val="7B1B7885"/>
    <w:rsid w:val="7B2E4327"/>
    <w:rsid w:val="7B615DFB"/>
    <w:rsid w:val="7BD40338"/>
    <w:rsid w:val="7C0A4F8F"/>
    <w:rsid w:val="7C501E80"/>
    <w:rsid w:val="7C58728C"/>
    <w:rsid w:val="7C5B3A94"/>
    <w:rsid w:val="7C6678A7"/>
    <w:rsid w:val="7C8D1CE5"/>
    <w:rsid w:val="7CA65E91"/>
    <w:rsid w:val="7CF92699"/>
    <w:rsid w:val="7D23263F"/>
    <w:rsid w:val="7D355645"/>
    <w:rsid w:val="7D443A12"/>
    <w:rsid w:val="7D885400"/>
    <w:rsid w:val="7DAF2BA0"/>
    <w:rsid w:val="7DE5359B"/>
    <w:rsid w:val="7DF436EC"/>
    <w:rsid w:val="7E1178E2"/>
    <w:rsid w:val="7E134FA2"/>
    <w:rsid w:val="7E256583"/>
    <w:rsid w:val="7E5228CA"/>
    <w:rsid w:val="7E6418EB"/>
    <w:rsid w:val="7E664DEE"/>
    <w:rsid w:val="7E93243A"/>
    <w:rsid w:val="7EB3166A"/>
    <w:rsid w:val="7EB625EF"/>
    <w:rsid w:val="7ED45422"/>
    <w:rsid w:val="7F1C1099"/>
    <w:rsid w:val="7F32323D"/>
    <w:rsid w:val="7F982BE1"/>
    <w:rsid w:val="7F9E4AEB"/>
    <w:rsid w:val="7FBB5720"/>
    <w:rsid w:val="7FFD029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1">
    <w:name w:val="Default Paragraph Font"/>
    <w:unhideWhenUsed/>
    <w:qFormat/>
    <w:uiPriority w:val="1"/>
  </w:style>
  <w:style w:type="table" w:default="1" w:styleId="15">
    <w:name w:val="Normal Table"/>
    <w:unhideWhenUsed/>
    <w:qFormat/>
    <w:uiPriority w:val="99"/>
    <w:tblPr>
      <w:tblStyle w:val="15"/>
      <w:tblLayout w:type="fixed"/>
      <w:tblCellMar>
        <w:top w:w="0" w:type="dxa"/>
        <w:left w:w="108" w:type="dxa"/>
        <w:bottom w:w="0" w:type="dxa"/>
        <w:right w:w="108" w:type="dxa"/>
      </w:tblCellMar>
    </w:tblPr>
    <w:tcPr>
      <w:textDirection w:val="lrTb"/>
    </w:tcPr>
  </w:style>
  <w:style w:type="paragraph" w:styleId="2">
    <w:name w:val="annotation subject"/>
    <w:basedOn w:val="3"/>
    <w:next w:val="3"/>
    <w:link w:val="27"/>
    <w:unhideWhenUsed/>
    <w:qFormat/>
    <w:uiPriority w:val="99"/>
    <w:rPr>
      <w:b/>
      <w:bCs/>
    </w:rPr>
  </w:style>
  <w:style w:type="paragraph" w:styleId="3">
    <w:name w:val="annotation text"/>
    <w:basedOn w:val="1"/>
    <w:link w:val="22"/>
    <w:unhideWhenUsed/>
    <w:qFormat/>
    <w:uiPriority w:val="99"/>
    <w:pPr>
      <w:jc w:val="left"/>
    </w:pPr>
  </w:style>
  <w:style w:type="paragraph" w:styleId="4">
    <w:name w:val="Document Map"/>
    <w:basedOn w:val="1"/>
    <w:link w:val="21"/>
    <w:qFormat/>
    <w:uiPriority w:val="0"/>
    <w:rPr>
      <w:rFonts w:ascii="宋体"/>
      <w:sz w:val="18"/>
      <w:szCs w:val="18"/>
    </w:rPr>
  </w:style>
  <w:style w:type="paragraph" w:styleId="5">
    <w:name w:val="Body Text Indent 2"/>
    <w:basedOn w:val="1"/>
    <w:link w:val="23"/>
    <w:qFormat/>
    <w:uiPriority w:val="0"/>
    <w:pPr>
      <w:ind w:firstLine="640" w:firstLineChars="200"/>
    </w:pPr>
    <w:rPr>
      <w:rFonts w:ascii="楷体_GB2312" w:hAnsi="Courier New" w:eastAsia="楷体_GB2312"/>
      <w:szCs w:val="20"/>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5"/>
    <w:qFormat/>
    <w:uiPriority w:val="11"/>
    <w:pPr>
      <w:spacing w:before="240" w:after="60" w:line="312" w:lineRule="auto"/>
      <w:jc w:val="center"/>
      <w:outlineLvl w:val="1"/>
    </w:pPr>
    <w:rPr>
      <w:rFonts w:ascii="Cambria" w:hAnsi="Cambria"/>
      <w:b/>
      <w:bCs/>
      <w:kern w:val="28"/>
      <w:szCs w:val="32"/>
    </w:rPr>
  </w:style>
  <w:style w:type="paragraph" w:styleId="10">
    <w:name w:val="Title"/>
    <w:basedOn w:val="1"/>
    <w:next w:val="1"/>
    <w:link w:val="26"/>
    <w:qFormat/>
    <w:uiPriority w:val="0"/>
    <w:pPr>
      <w:spacing w:before="240" w:after="60"/>
      <w:jc w:val="center"/>
      <w:outlineLvl w:val="0"/>
    </w:pPr>
    <w:rPr>
      <w:rFonts w:ascii="Cambria" w:hAnsi="Cambria"/>
      <w:b/>
      <w:bCs/>
      <w:szCs w:val="32"/>
    </w:rPr>
  </w:style>
  <w:style w:type="character" w:styleId="12">
    <w:name w:val="Strong"/>
    <w:basedOn w:val="11"/>
    <w:qFormat/>
    <w:uiPriority w:val="22"/>
    <w:rPr>
      <w:b/>
      <w:bCs/>
    </w:rPr>
  </w:style>
  <w:style w:type="character" w:styleId="13">
    <w:name w:val="page number"/>
    <w:qFormat/>
    <w:uiPriority w:val="0"/>
  </w:style>
  <w:style w:type="character" w:styleId="14">
    <w:name w:val="annotation reference"/>
    <w:unhideWhenUsed/>
    <w:qFormat/>
    <w:uiPriority w:val="99"/>
    <w:rPr>
      <w:sz w:val="21"/>
      <w:szCs w:val="21"/>
    </w:rPr>
  </w:style>
  <w:style w:type="paragraph" w:customStyle="1" w:styleId="16">
    <w:name w:val="Char"/>
    <w:basedOn w:val="1"/>
    <w:qFormat/>
    <w:uiPriority w:val="0"/>
    <w:pPr>
      <w:widowControl/>
      <w:jc w:val="left"/>
    </w:pPr>
  </w:style>
  <w:style w:type="paragraph" w:customStyle="1" w:styleId="17">
    <w:name w:val="p17"/>
    <w:basedOn w:val="1"/>
    <w:qFormat/>
    <w:uiPriority w:val="0"/>
    <w:pPr>
      <w:widowControl/>
    </w:pPr>
    <w:rPr>
      <w:rFonts w:ascii="宋体" w:hAnsi="宋体" w:cs="宋体"/>
      <w:kern w:val="0"/>
      <w:szCs w:val="21"/>
    </w:rPr>
  </w:style>
  <w:style w:type="paragraph" w:customStyle="1" w:styleId="18">
    <w:name w:val="Char1"/>
    <w:basedOn w:val="1"/>
    <w:uiPriority w:val="0"/>
    <w:pPr>
      <w:widowControl/>
      <w:jc w:val="left"/>
    </w:pPr>
  </w:style>
  <w:style w:type="paragraph" w:customStyle="1" w:styleId="19">
    <w:name w:val="Char Char Char Char"/>
    <w:basedOn w:val="1"/>
    <w:qFormat/>
    <w:uiPriority w:val="0"/>
  </w:style>
  <w:style w:type="paragraph" w:customStyle="1" w:styleId="20">
    <w:name w:val="p0"/>
    <w:basedOn w:val="1"/>
    <w:link w:val="29"/>
    <w:qFormat/>
    <w:uiPriority w:val="0"/>
    <w:pPr>
      <w:widowControl/>
    </w:pPr>
    <w:rPr>
      <w:kern w:val="0"/>
      <w:sz w:val="20"/>
      <w:szCs w:val="21"/>
    </w:rPr>
  </w:style>
  <w:style w:type="character" w:customStyle="1" w:styleId="21">
    <w:name w:val="文档结构图 字符"/>
    <w:link w:val="4"/>
    <w:qFormat/>
    <w:uiPriority w:val="0"/>
    <w:rPr>
      <w:rFonts w:ascii="宋体"/>
      <w:kern w:val="2"/>
      <w:sz w:val="18"/>
      <w:szCs w:val="18"/>
    </w:rPr>
  </w:style>
  <w:style w:type="character" w:customStyle="1" w:styleId="22">
    <w:name w:val="批注文字 字符"/>
    <w:link w:val="3"/>
    <w:semiHidden/>
    <w:qFormat/>
    <w:uiPriority w:val="99"/>
    <w:rPr>
      <w:kern w:val="2"/>
      <w:sz w:val="32"/>
      <w:szCs w:val="24"/>
    </w:rPr>
  </w:style>
  <w:style w:type="character" w:customStyle="1" w:styleId="23">
    <w:name w:val="正文文本缩进 2 字符"/>
    <w:link w:val="5"/>
    <w:qFormat/>
    <w:uiPriority w:val="0"/>
    <w:rPr>
      <w:rFonts w:ascii="楷体_GB2312" w:hAnsi="Courier New" w:eastAsia="楷体_GB2312"/>
      <w:kern w:val="2"/>
      <w:sz w:val="32"/>
    </w:rPr>
  </w:style>
  <w:style w:type="character" w:customStyle="1" w:styleId="24">
    <w:name w:val="页码1"/>
    <w:qFormat/>
    <w:uiPriority w:val="0"/>
  </w:style>
  <w:style w:type="character" w:customStyle="1" w:styleId="25">
    <w:name w:val="副标题 字符"/>
    <w:link w:val="9"/>
    <w:qFormat/>
    <w:uiPriority w:val="11"/>
    <w:rPr>
      <w:rFonts w:ascii="Cambria" w:hAnsi="Cambria" w:cs="Times New Roman"/>
      <w:b/>
      <w:bCs/>
      <w:kern w:val="28"/>
      <w:sz w:val="32"/>
      <w:szCs w:val="32"/>
    </w:rPr>
  </w:style>
  <w:style w:type="character" w:customStyle="1" w:styleId="26">
    <w:name w:val="标题 字符"/>
    <w:link w:val="10"/>
    <w:qFormat/>
    <w:uiPriority w:val="0"/>
    <w:rPr>
      <w:rFonts w:ascii="Cambria" w:hAnsi="Cambria" w:cs="Times New Roman"/>
      <w:b/>
      <w:bCs/>
      <w:kern w:val="2"/>
      <w:sz w:val="32"/>
      <w:szCs w:val="32"/>
    </w:rPr>
  </w:style>
  <w:style w:type="character" w:customStyle="1" w:styleId="27">
    <w:name w:val="批注主题 字符"/>
    <w:link w:val="2"/>
    <w:semiHidden/>
    <w:qFormat/>
    <w:uiPriority w:val="99"/>
    <w:rPr>
      <w:b/>
      <w:bCs/>
      <w:kern w:val="2"/>
      <w:sz w:val="32"/>
      <w:szCs w:val="24"/>
    </w:rPr>
  </w:style>
  <w:style w:type="character" w:customStyle="1" w:styleId="28">
    <w:name w:val="样式 仿宋 三号 Char"/>
    <w:qFormat/>
    <w:uiPriority w:val="0"/>
    <w:rPr>
      <w:rFonts w:ascii="仿宋" w:hAnsi="仿宋" w:eastAsia="仿宋" w:cs="宋体"/>
      <w:kern w:val="2"/>
      <w:sz w:val="32"/>
      <w:lang w:val="en-US" w:eastAsia="zh-CN" w:bidi="ar-SA"/>
    </w:rPr>
  </w:style>
  <w:style w:type="character" w:customStyle="1" w:styleId="29">
    <w:name w:val="p0{858D7CFB-ED40-4347-BF05-701D383B685F}"/>
    <w:link w:val="20"/>
    <w:qFormat/>
    <w:uiPriority w:val="0"/>
    <w:rPr>
      <w:kern w:val="0"/>
      <w:szCs w:val="21"/>
    </w:rPr>
  </w:style>
  <w:style w:type="character" w:customStyle="1" w:styleId="30">
    <w:name w:val="font51"/>
    <w:basedOn w:val="11"/>
    <w:qFormat/>
    <w:uiPriority w:val="0"/>
    <w:rPr>
      <w:rFonts w:hint="eastAsia" w:ascii="仿宋_GB2312" w:eastAsia="仿宋_GB2312" w:cs="仿宋_GB2312"/>
      <w:color w:val="000000"/>
      <w:sz w:val="22"/>
      <w:szCs w:val="22"/>
      <w:u w:val="none"/>
    </w:rPr>
  </w:style>
  <w:style w:type="character" w:customStyle="1" w:styleId="31">
    <w:name w:val="font61"/>
    <w:basedOn w:val="11"/>
    <w:qFormat/>
    <w:uiPriority w:val="0"/>
    <w:rPr>
      <w:rFonts w:ascii="Arial" w:hAnsi="Arial" w:cs="Arial"/>
      <w:color w:val="000000"/>
      <w:sz w:val="22"/>
      <w:szCs w:val="22"/>
      <w:u w:val="none"/>
    </w:rPr>
  </w:style>
  <w:style w:type="character" w:customStyle="1" w:styleId="32">
    <w:name w:val="font81"/>
    <w:basedOn w:val="11"/>
    <w:qFormat/>
    <w:uiPriority w:val="0"/>
    <w:rPr>
      <w:rFonts w:hint="eastAsia" w:ascii="宋体" w:hAnsi="宋体" w:eastAsia="宋体" w:cs="宋体"/>
      <w:color w:val="000000"/>
      <w:sz w:val="22"/>
      <w:szCs w:val="22"/>
      <w:u w:val="none"/>
    </w:rPr>
  </w:style>
  <w:style w:type="character" w:customStyle="1" w:styleId="33">
    <w:name w:val="font01"/>
    <w:basedOn w:val="11"/>
    <w:qFormat/>
    <w:uiPriority w:val="0"/>
    <w:rPr>
      <w:rFonts w:ascii="Arial" w:hAnsi="Arial" w:cs="Arial"/>
      <w:color w:val="auto"/>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40651</Words>
  <Characters>46588</Characters>
  <Lines>386</Lines>
  <Paragraphs>108</Paragraphs>
  <ScaleCrop>false</ScaleCrop>
  <LinksUpToDate>false</LinksUpToDate>
  <CharactersWithSpaces>0</CharactersWithSpaces>
  <Application>WPS Office 专业版_9.1.0.5432_F1E327BC-269C-435d-A152-05C5408002CA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2022-09-04T14:03:00Z</dcterms:created>
  <cp:lastPrinted>2022-09-23T06:17:00Z</cp:lastPrinted>
  <dcterms:modified xsi:type="dcterms:W3CDTF">2022-09-29T08:00:37Z</dcterms:modified>
  <dc:title>2021年度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y fmtid="{D5CDD505-2E9C-101B-9397-08002B2CF9AE}" pid="3" name="_MarkAsFinal">
    <vt:bool>true</vt:bool>
  </property>
  <property fmtid="{D5CDD505-2E9C-101B-9397-08002B2CF9AE}" pid="4" name="ICV">
    <vt:lpwstr>A716AEB376934F5CBB34B9FBD03152CB</vt:lpwstr>
  </property>
</Properties>
</file>