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简大标宋"/>
          <w:sz w:val="84"/>
          <w:szCs w:val="84"/>
        </w:rPr>
      </w:pPr>
    </w:p>
    <w:p>
      <w:pPr>
        <w:jc w:val="center"/>
        <w:rPr>
          <w:rFonts w:ascii="文星简大标宋"/>
          <w:sz w:val="84"/>
          <w:szCs w:val="84"/>
        </w:rPr>
      </w:pPr>
    </w:p>
    <w:p>
      <w:pPr>
        <w:jc w:val="center"/>
        <w:rPr>
          <w:rFonts w:ascii="黑体" w:hAnsi="黑体" w:eastAsia="黑体"/>
          <w:sz w:val="84"/>
          <w:szCs w:val="84"/>
        </w:rPr>
      </w:pPr>
      <w:r>
        <w:rPr>
          <w:rFonts w:hint="eastAsia" w:ascii="黑体" w:hAnsi="黑体" w:eastAsia="黑体"/>
          <w:sz w:val="84"/>
          <w:szCs w:val="84"/>
        </w:rPr>
        <w:t>2021年青岛市</w:t>
      </w:r>
    </w:p>
    <w:p>
      <w:pPr>
        <w:jc w:val="center"/>
        <w:rPr>
          <w:rFonts w:ascii="黑体" w:hAnsi="黑体" w:eastAsia="黑体"/>
          <w:sz w:val="84"/>
          <w:szCs w:val="84"/>
        </w:rPr>
      </w:pPr>
      <w:r>
        <w:rPr>
          <w:rFonts w:hint="eastAsia" w:ascii="黑体" w:hAnsi="黑体" w:eastAsia="黑体"/>
          <w:sz w:val="84"/>
          <w:szCs w:val="84"/>
        </w:rPr>
        <w:t>司法局部门</w:t>
      </w:r>
    </w:p>
    <w:p>
      <w:pPr>
        <w:jc w:val="center"/>
        <w:rPr>
          <w:rFonts w:ascii="黑体" w:hAnsi="黑体" w:eastAsia="黑体"/>
          <w:sz w:val="84"/>
          <w:szCs w:val="84"/>
        </w:rPr>
      </w:pPr>
      <w:r>
        <w:rPr>
          <w:rFonts w:hint="eastAsia" w:ascii="黑体" w:hAnsi="黑体" w:eastAsia="黑体"/>
          <w:sz w:val="84"/>
          <w:szCs w:val="84"/>
        </w:rPr>
        <w:t>部门预算</w:t>
      </w:r>
    </w:p>
    <w:p>
      <w:pPr>
        <w:rPr>
          <w:sz w:val="52"/>
          <w:szCs w:val="52"/>
        </w:rPr>
      </w:pPr>
    </w:p>
    <w:p/>
    <w:p/>
    <w:p/>
    <w:p/>
    <w:p/>
    <w:p/>
    <w:p/>
    <w:p>
      <w:pPr>
        <w:jc w:val="center"/>
        <w:rPr>
          <w:sz w:val="32"/>
          <w:szCs w:val="32"/>
        </w:rPr>
      </w:pPr>
      <w:r>
        <w:rPr>
          <w:sz w:val="32"/>
          <w:szCs w:val="32"/>
        </w:rPr>
        <w:t>2021年</w:t>
      </w:r>
      <w:r>
        <w:rPr>
          <w:rFonts w:hint="eastAsia"/>
          <w:sz w:val="32"/>
          <w:szCs w:val="32"/>
        </w:rPr>
        <w:t>2</w:t>
      </w:r>
      <w:r>
        <w:rPr>
          <w:sz w:val="32"/>
          <w:szCs w:val="32"/>
        </w:rPr>
        <w:t>月8日</w:t>
      </w:r>
    </w:p>
    <w:p/>
    <w:p/>
    <w:p/>
    <w:p/>
    <w:p/>
    <w:p/>
    <w:p/>
    <w:p>
      <w:pPr>
        <w:spacing w:line="580" w:lineRule="exact"/>
        <w:jc w:val="center"/>
        <w:rPr>
          <w:rFonts w:ascii="黑体" w:eastAsia="黑体"/>
          <w:sz w:val="44"/>
          <w:szCs w:val="44"/>
        </w:rPr>
      </w:pPr>
      <w:r>
        <w:br w:type="page"/>
      </w:r>
      <w:r>
        <w:rPr>
          <w:rFonts w:hint="eastAsia" w:ascii="黑体" w:eastAsia="黑体"/>
          <w:sz w:val="44"/>
          <w:szCs w:val="44"/>
        </w:rPr>
        <w:t>目  录</w:t>
      </w:r>
    </w:p>
    <w:p>
      <w:pPr>
        <w:spacing w:line="580" w:lineRule="exact"/>
        <w:jc w:val="center"/>
        <w:rPr>
          <w:rFonts w:ascii="黑体" w:eastAsia="黑体"/>
          <w:sz w:val="44"/>
          <w:szCs w:val="44"/>
        </w:rPr>
      </w:pPr>
    </w:p>
    <w:p>
      <w:pPr>
        <w:spacing w:line="560" w:lineRule="exact"/>
        <w:jc w:val="center"/>
        <w:rPr>
          <w:rFonts w:ascii="黑体" w:eastAsia="黑体"/>
          <w:sz w:val="44"/>
          <w:szCs w:val="44"/>
        </w:rPr>
      </w:pPr>
    </w:p>
    <w:p>
      <w:pPr>
        <w:spacing w:line="560" w:lineRule="exact"/>
        <w:rPr>
          <w:rFonts w:ascii="黑体" w:eastAsia="黑体"/>
          <w:sz w:val="36"/>
          <w:szCs w:val="36"/>
        </w:rPr>
      </w:pPr>
      <w:r>
        <w:rPr>
          <w:rFonts w:hint="eastAsia" w:ascii="黑体" w:eastAsia="黑体"/>
          <w:sz w:val="36"/>
          <w:szCs w:val="36"/>
        </w:rPr>
        <w:t>第一部分 司法局部门概况</w:t>
      </w:r>
    </w:p>
    <w:p>
      <w:pPr>
        <w:spacing w:line="560" w:lineRule="exact"/>
        <w:rPr>
          <w:rFonts w:ascii="黑体" w:eastAsia="黑体"/>
          <w:sz w:val="36"/>
          <w:szCs w:val="36"/>
        </w:rPr>
      </w:pPr>
      <w:r>
        <w:rPr>
          <w:rFonts w:hint="eastAsia" w:ascii="黑体" w:eastAsia="黑体"/>
          <w:sz w:val="36"/>
          <w:szCs w:val="36"/>
        </w:rPr>
        <w:t>第二部分司法局部门2021年部门预算表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一、2021年部门收支总表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二、2021年部门收入总表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三、2021年部门支出总表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四、2021年财政拨款收支总表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五、2021年一般公共预算支出表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六、2021年一般公共预算基本支出表（部门经济分类）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七、2021年一般公共预算基本支出表（政府经济分类）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八、2021年政府性基金预算支出表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九、2021年部门“三公”经费预算表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十、2021年政府采购预算表</w:t>
      </w:r>
    </w:p>
    <w:p>
      <w:pPr>
        <w:spacing w:line="560" w:lineRule="exact"/>
        <w:ind w:left="1602" w:hanging="1602" w:hangingChars="445"/>
        <w:rPr>
          <w:rFonts w:ascii="黑体" w:eastAsia="黑体"/>
          <w:sz w:val="36"/>
          <w:szCs w:val="36"/>
        </w:rPr>
      </w:pPr>
      <w:r>
        <w:rPr>
          <w:rFonts w:hint="eastAsia" w:ascii="黑体" w:eastAsia="黑体"/>
          <w:sz w:val="36"/>
          <w:szCs w:val="36"/>
        </w:rPr>
        <w:t>第三部分 司法局部门202</w:t>
      </w:r>
      <w:r>
        <w:rPr>
          <w:rFonts w:ascii="黑体" w:eastAsia="黑体"/>
          <w:sz w:val="36"/>
          <w:szCs w:val="36"/>
        </w:rPr>
        <w:t>1</w:t>
      </w:r>
      <w:r>
        <w:rPr>
          <w:rFonts w:hint="eastAsia" w:ascii="黑体" w:eastAsia="黑体"/>
          <w:sz w:val="36"/>
          <w:szCs w:val="36"/>
        </w:rPr>
        <w:t>年部门预算情况和重要事项说明</w:t>
      </w:r>
    </w:p>
    <w:p>
      <w:pPr>
        <w:spacing w:line="560" w:lineRule="exact"/>
        <w:ind w:left="1602" w:hanging="1602" w:hangingChars="445"/>
        <w:rPr>
          <w:rFonts w:ascii="黑体" w:eastAsia="黑体"/>
          <w:sz w:val="36"/>
          <w:szCs w:val="36"/>
        </w:rPr>
      </w:pPr>
      <w:r>
        <w:rPr>
          <w:rFonts w:hint="eastAsia" w:ascii="黑体" w:eastAsia="黑体"/>
          <w:sz w:val="36"/>
          <w:szCs w:val="36"/>
        </w:rPr>
        <w:t>第四部分 名词解释</w:t>
      </w:r>
    </w:p>
    <w:p>
      <w:pPr>
        <w:spacing w:line="580" w:lineRule="exact"/>
        <w:ind w:left="1602" w:hanging="1602" w:hangingChars="445"/>
        <w:rPr>
          <w:rFonts w:ascii="黑体" w:eastAsia="黑体"/>
          <w:sz w:val="36"/>
          <w:szCs w:val="36"/>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rPr>
          <w:rFonts w:ascii="黑体" w:eastAsia="黑体"/>
          <w:b/>
          <w:sz w:val="48"/>
          <w:szCs w:val="48"/>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r>
        <w:rPr>
          <w:rFonts w:hint="eastAsia" w:ascii="黑体" w:eastAsia="黑体"/>
          <w:sz w:val="52"/>
          <w:szCs w:val="52"/>
        </w:rPr>
        <w:t>第一部分</w:t>
      </w: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rPr>
          <w:rFonts w:ascii="黑体" w:eastAsia="黑体"/>
          <w:sz w:val="52"/>
          <w:szCs w:val="52"/>
        </w:rPr>
      </w:pPr>
    </w:p>
    <w:p>
      <w:pPr>
        <w:spacing w:line="560" w:lineRule="exact"/>
        <w:jc w:val="center"/>
        <w:rPr>
          <w:rFonts w:ascii="黑体" w:eastAsia="黑体"/>
          <w:sz w:val="52"/>
          <w:szCs w:val="52"/>
        </w:rPr>
      </w:pPr>
      <w:r>
        <w:rPr>
          <w:rFonts w:hint="eastAsia" w:eastAsia="黑体"/>
          <w:sz w:val="52"/>
          <w:szCs w:val="52"/>
        </w:rPr>
        <w:t>青岛市司法局</w:t>
      </w:r>
      <w:r>
        <w:rPr>
          <w:rFonts w:eastAsia="黑体"/>
          <w:sz w:val="52"/>
          <w:szCs w:val="52"/>
        </w:rPr>
        <w:t>部门概况</w:t>
      </w:r>
    </w:p>
    <w:p>
      <w:pPr>
        <w:spacing w:line="560" w:lineRule="exact"/>
        <w:rPr>
          <w:rFonts w:ascii="黑体" w:eastAsia="黑体"/>
          <w:sz w:val="52"/>
          <w:szCs w:val="5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p>
    <w:p>
      <w:pPr>
        <w:spacing w:line="560" w:lineRule="exact"/>
        <w:ind w:left="640"/>
        <w:rPr>
          <w:rFonts w:ascii="黑体" w:hAnsi="黑体" w:eastAsia="黑体"/>
          <w:sz w:val="32"/>
          <w:szCs w:val="32"/>
        </w:rPr>
      </w:pPr>
      <w:r>
        <w:rPr>
          <w:rFonts w:hint="eastAsia" w:ascii="黑体" w:hAnsi="黑体" w:eastAsia="黑体"/>
          <w:sz w:val="32"/>
          <w:szCs w:val="32"/>
        </w:rPr>
        <w:t>一、主要职能</w:t>
      </w:r>
    </w:p>
    <w:p>
      <w:pPr>
        <w:pStyle w:val="2"/>
        <w:shd w:val="clear" w:color="auto" w:fill="FFFFFF"/>
        <w:spacing w:before="0" w:beforeAutospacing="0" w:after="0" w:afterAutospacing="0" w:line="600" w:lineRule="exact"/>
        <w:ind w:firstLine="480" w:firstLineChars="200"/>
        <w:rPr>
          <w:rFonts w:ascii="Times New Roman" w:hAnsi="Times New Roman" w:eastAsia="仿宋_GB2312" w:cs="Times New Roman"/>
          <w:color w:val="000000"/>
          <w:sz w:val="32"/>
          <w:szCs w:val="32"/>
        </w:rPr>
      </w:pPr>
      <w:r>
        <w:rPr>
          <w:rFonts w:hint="eastAsia" w:ascii="微软雅黑" w:hAnsi="微软雅黑" w:eastAsia="微软雅黑"/>
          <w:color w:val="000000"/>
        </w:rPr>
        <w:t>　</w:t>
      </w:r>
      <w:r>
        <w:rPr>
          <w:rFonts w:ascii="Times New Roman" w:hAnsi="Times New Roman" w:eastAsia="仿宋_GB2312" w:cs="Times New Roman"/>
          <w:color w:val="000000"/>
          <w:sz w:val="32"/>
          <w:szCs w:val="32"/>
        </w:rPr>
        <w:t>青岛市司法局是市政府组织部门，为一级预算单位，主要职能为：</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（一）承担市委依法治市委员会办公室的日常工作。统筹推进法治政府建设。</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（二）向社会征集地方立法建议，编制行政立法规划和计划。起草或者组织起草、审查地方性法规草案、政府规章草案，负责立法协调工作。承办市政府规章的立法解释工作。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（三）负责区（市）政府、市政府部门规范性文件备案审查工作。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（四）负责市政府文件和重大行政决策合法性审查工作。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（五）承担市政府法律顾问工作。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（六）负责市政府行政复议、行政应诉工作。指导监督全市行政复议、行政赔偿、行政应诉、行政裁决工作。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（七）负责行政执法监督工作。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承担统筹规划全市法治社会建设的具体工作。组织普法宣传，推动人民参与和促进法治建设。指导人民调解、行政调解和行业性专业性调解工作。指导人民陪审员选任工作，负责人民监督员选任工作。指导、监督司法所、社区司法行政工作室建设和基层法律服务、安置帮教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（九）负责全市公共法律服务体系建设，指导、监督律师、法律援助、司法鉴定、公证工作。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（十）负责全市国家统一法律职业资格考试的组织实施工作。负责法律职业人员入职前培训工作。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（十一）负责全市监狱管理工作。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（十二）负责并指导监督全市社区矫正工作。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（十三）负责全市司法行政系统强制隔离戒毒管理工作。</w:t>
      </w:r>
    </w:p>
    <w:p>
      <w:pPr>
        <w:widowControl/>
        <w:spacing w:line="420" w:lineRule="atLeast"/>
        <w:ind w:firstLine="566" w:firstLineChars="177"/>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（十四）负责规划、协调、指导全市法治人才队伍建设工作，推进招才引智相关工作。</w:t>
      </w:r>
    </w:p>
    <w:p>
      <w:pPr>
        <w:widowControl/>
        <w:spacing w:line="420" w:lineRule="atLeast"/>
        <w:ind w:firstLine="566" w:firstLineChars="177"/>
        <w:jc w:val="left"/>
        <w:rPr>
          <w:rFonts w:ascii="仿宋_GB2312" w:eastAsia="仿宋_GB2312"/>
          <w:sz w:val="32"/>
          <w:szCs w:val="32"/>
        </w:rPr>
      </w:pPr>
      <w:r>
        <w:rPr>
          <w:rFonts w:hint="eastAsia" w:ascii="仿宋" w:hAnsi="仿宋" w:eastAsia="仿宋" w:cs="宋体"/>
          <w:color w:val="000000"/>
          <w:kern w:val="0"/>
          <w:sz w:val="32"/>
          <w:szCs w:val="32"/>
        </w:rPr>
        <w:t>（十五）完成市委、市政府交办的其他任务。</w:t>
      </w:r>
    </w:p>
    <w:p>
      <w:pPr>
        <w:spacing w:line="560" w:lineRule="exact"/>
        <w:ind w:left="640"/>
        <w:rPr>
          <w:rFonts w:ascii="黑体" w:hAnsi="黑体" w:eastAsia="黑体"/>
          <w:sz w:val="32"/>
          <w:szCs w:val="32"/>
        </w:rPr>
      </w:pPr>
      <w:r>
        <w:rPr>
          <w:rFonts w:hint="eastAsia" w:ascii="黑体" w:hAnsi="黑体" w:eastAsia="黑体"/>
          <w:sz w:val="32"/>
          <w:szCs w:val="32"/>
        </w:rPr>
        <w:t>二、机构设置</w:t>
      </w:r>
    </w:p>
    <w:p>
      <w:pPr>
        <w:pStyle w:val="2"/>
        <w:shd w:val="clear" w:color="auto" w:fill="FFFFFF"/>
        <w:spacing w:before="0" w:beforeAutospacing="0" w:after="0" w:afterAutospacing="0" w:line="600" w:lineRule="exact"/>
        <w:ind w:firstLine="560" w:firstLineChars="175"/>
        <w:rPr>
          <w:rFonts w:eastAsia="仿宋_GB2312"/>
          <w:color w:val="000000"/>
          <w:sz w:val="32"/>
          <w:szCs w:val="32"/>
        </w:rPr>
      </w:pPr>
      <w:r>
        <w:rPr>
          <w:rFonts w:ascii="Times New Roman" w:hAnsi="Times New Roman" w:eastAsia="仿宋_GB2312" w:cs="Times New Roman"/>
          <w:color w:val="000000"/>
          <w:sz w:val="32"/>
          <w:szCs w:val="32"/>
        </w:rPr>
        <w:t>（一）市司法局内设机构共22个,</w:t>
      </w:r>
      <w:r>
        <w:rPr>
          <w:rFonts w:ascii="Times New Roman" w:hAnsi="Times New Roman" w:eastAsia="仿宋_GB2312" w:cs="Times New Roman"/>
          <w:sz w:val="32"/>
          <w:szCs w:val="32"/>
        </w:rPr>
        <w:t xml:space="preserve"> 分别为：</w:t>
      </w:r>
      <w:r>
        <w:rPr>
          <w:rFonts w:hint="eastAsia" w:ascii="Times New Roman" w:hAnsi="Times New Roman" w:eastAsia="仿宋_GB2312" w:cs="Times New Roman"/>
          <w:sz w:val="32"/>
          <w:szCs w:val="32"/>
        </w:rPr>
        <w:t>市委</w:t>
      </w:r>
      <w:r>
        <w:rPr>
          <w:rFonts w:ascii="Times New Roman" w:hAnsi="Times New Roman" w:eastAsia="仿宋_GB2312" w:cs="Times New Roman"/>
          <w:sz w:val="32"/>
          <w:szCs w:val="32"/>
        </w:rPr>
        <w:t>依法治市办公室秘书处、</w:t>
      </w:r>
      <w:r>
        <w:rPr>
          <w:rFonts w:ascii="Times New Roman" w:hAnsi="Times New Roman" w:eastAsia="仿宋_GB2312" w:cs="Times New Roman"/>
          <w:color w:val="000000"/>
          <w:sz w:val="32"/>
          <w:szCs w:val="32"/>
        </w:rPr>
        <w:t>办公室、</w:t>
      </w:r>
      <w:r>
        <w:rPr>
          <w:rFonts w:hint="eastAsia" w:ascii="Times New Roman" w:hAnsi="Times New Roman" w:eastAsia="仿宋_GB2312" w:cs="Times New Roman"/>
          <w:color w:val="000000"/>
          <w:sz w:val="32"/>
          <w:szCs w:val="32"/>
        </w:rPr>
        <w:t>研究室</w:t>
      </w:r>
      <w:r>
        <w:rPr>
          <w:rFonts w:ascii="Times New Roman" w:hAnsi="Times New Roman" w:eastAsia="仿宋_GB2312" w:cs="Times New Roman"/>
          <w:color w:val="000000"/>
          <w:sz w:val="32"/>
          <w:szCs w:val="32"/>
        </w:rPr>
        <w:t>、组织人事处、教育培训处、行政立法和备案审查处、决策法律审查</w:t>
      </w:r>
      <w:r>
        <w:rPr>
          <w:rFonts w:hint="eastAsia" w:ascii="Times New Roman" w:hAnsi="Times New Roman" w:eastAsia="仿宋_GB2312" w:cs="Times New Roman"/>
          <w:color w:val="000000"/>
          <w:sz w:val="32"/>
          <w:szCs w:val="32"/>
        </w:rPr>
        <w:t>处</w:t>
      </w:r>
      <w:r>
        <w:rPr>
          <w:rFonts w:ascii="Times New Roman" w:hAnsi="Times New Roman" w:eastAsia="仿宋_GB2312" w:cs="Times New Roman"/>
          <w:color w:val="000000"/>
          <w:sz w:val="32"/>
          <w:szCs w:val="32"/>
        </w:rPr>
        <w:t>、行政复议处、行政应诉处、行政执法监督处、法律顾问和法律事务处、监管</w:t>
      </w:r>
      <w:r>
        <w:rPr>
          <w:rFonts w:hint="eastAsia" w:ascii="Times New Roman" w:hAnsi="Times New Roman" w:eastAsia="仿宋_GB2312" w:cs="Times New Roman"/>
          <w:color w:val="000000"/>
          <w:sz w:val="32"/>
          <w:szCs w:val="32"/>
        </w:rPr>
        <w:t>管理</w:t>
      </w:r>
      <w:r>
        <w:rPr>
          <w:rFonts w:ascii="Times New Roman" w:hAnsi="Times New Roman" w:eastAsia="仿宋_GB2312" w:cs="Times New Roman"/>
          <w:color w:val="000000"/>
          <w:sz w:val="32"/>
          <w:szCs w:val="32"/>
        </w:rPr>
        <w:t>处、戒毒</w:t>
      </w:r>
      <w:r>
        <w:rPr>
          <w:rFonts w:hint="eastAsia" w:ascii="Times New Roman" w:hAnsi="Times New Roman" w:eastAsia="仿宋_GB2312" w:cs="Times New Roman"/>
          <w:color w:val="000000"/>
          <w:sz w:val="32"/>
          <w:szCs w:val="32"/>
        </w:rPr>
        <w:t>管理</w:t>
      </w:r>
      <w:r>
        <w:rPr>
          <w:rFonts w:ascii="Times New Roman" w:hAnsi="Times New Roman" w:eastAsia="仿宋_GB2312" w:cs="Times New Roman"/>
          <w:color w:val="000000"/>
          <w:sz w:val="32"/>
          <w:szCs w:val="32"/>
        </w:rPr>
        <w:t>处、生产指导处、社区矫正工作处、</w:t>
      </w:r>
      <w:r>
        <w:rPr>
          <w:rFonts w:hint="eastAsia" w:ascii="Times New Roman" w:hAnsi="Times New Roman" w:eastAsia="仿宋_GB2312" w:cs="Times New Roman"/>
          <w:color w:val="000000"/>
          <w:sz w:val="32"/>
          <w:szCs w:val="32"/>
        </w:rPr>
        <w:t>普法和宣传信息处</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人民参与和</w:t>
      </w:r>
      <w:r>
        <w:rPr>
          <w:rFonts w:ascii="Times New Roman" w:hAnsi="Times New Roman" w:eastAsia="仿宋_GB2312" w:cs="Times New Roman"/>
          <w:color w:val="000000"/>
          <w:sz w:val="32"/>
          <w:szCs w:val="32"/>
        </w:rPr>
        <w:t>促进法制处、法律服务</w:t>
      </w:r>
      <w:r>
        <w:rPr>
          <w:rFonts w:hint="eastAsia" w:ascii="Times New Roman" w:hAnsi="Times New Roman" w:eastAsia="仿宋_GB2312" w:cs="Times New Roman"/>
          <w:color w:val="000000"/>
          <w:sz w:val="32"/>
          <w:szCs w:val="32"/>
        </w:rPr>
        <w:t>管理</w:t>
      </w:r>
      <w:r>
        <w:rPr>
          <w:rFonts w:ascii="Times New Roman" w:hAnsi="Times New Roman" w:eastAsia="仿宋_GB2312" w:cs="Times New Roman"/>
          <w:color w:val="000000"/>
          <w:sz w:val="32"/>
          <w:szCs w:val="32"/>
        </w:rPr>
        <w:t>处、装备</w:t>
      </w:r>
      <w:r>
        <w:rPr>
          <w:rFonts w:hint="eastAsia" w:ascii="Times New Roman" w:hAnsi="Times New Roman" w:eastAsia="仿宋_GB2312" w:cs="Times New Roman"/>
          <w:color w:val="000000"/>
          <w:sz w:val="32"/>
          <w:szCs w:val="32"/>
        </w:rPr>
        <w:t>财务保障</w:t>
      </w:r>
      <w:r>
        <w:rPr>
          <w:rFonts w:ascii="Times New Roman" w:hAnsi="Times New Roman" w:eastAsia="仿宋_GB2312" w:cs="Times New Roman"/>
          <w:color w:val="000000"/>
          <w:sz w:val="32"/>
          <w:szCs w:val="32"/>
        </w:rPr>
        <w:t>处、</w:t>
      </w:r>
      <w:r>
        <w:rPr>
          <w:rFonts w:eastAsia="仿宋_GB2312"/>
          <w:color w:val="000000"/>
          <w:sz w:val="32"/>
          <w:szCs w:val="32"/>
        </w:rPr>
        <w:t>机关党委、</w:t>
      </w:r>
      <w:r>
        <w:rPr>
          <w:rFonts w:hint="eastAsia" w:eastAsia="仿宋_GB2312"/>
          <w:color w:val="000000"/>
          <w:sz w:val="32"/>
          <w:szCs w:val="32"/>
        </w:rPr>
        <w:t>离退休工作处、</w:t>
      </w:r>
      <w:r>
        <w:rPr>
          <w:rFonts w:eastAsia="仿宋_GB2312"/>
          <w:color w:val="000000"/>
          <w:sz w:val="32"/>
          <w:szCs w:val="32"/>
        </w:rPr>
        <w:t>机关纪委。</w:t>
      </w:r>
    </w:p>
    <w:p>
      <w:pPr>
        <w:spacing w:line="600" w:lineRule="exact"/>
        <w:ind w:firstLine="645"/>
        <w:rPr>
          <w:rFonts w:ascii="仿宋_GB2312" w:eastAsia="仿宋_GB2312"/>
          <w:sz w:val="32"/>
          <w:szCs w:val="32"/>
        </w:rPr>
      </w:pPr>
      <w:r>
        <w:rPr>
          <w:rFonts w:eastAsia="仿宋_GB2312"/>
          <w:color w:val="000000"/>
          <w:sz w:val="32"/>
          <w:szCs w:val="32"/>
        </w:rPr>
        <w:t>（二）纳入预算管理的所属单位5个。其中行政单位3个，分别是青岛监狱、北墅监狱、市强制隔离戒毒所；参照公务员管理事业单位1个，市法律援助中心</w:t>
      </w:r>
      <w:r>
        <w:rPr>
          <w:rFonts w:hint="eastAsia" w:eastAsia="仿宋_GB2312"/>
          <w:color w:val="000000"/>
          <w:sz w:val="32"/>
          <w:szCs w:val="32"/>
        </w:rPr>
        <w:t>；</w:t>
      </w:r>
      <w:r>
        <w:rPr>
          <w:rFonts w:eastAsia="仿宋_GB2312"/>
          <w:color w:val="000000"/>
          <w:sz w:val="32"/>
          <w:szCs w:val="32"/>
        </w:rPr>
        <w:t>全额事业单位</w:t>
      </w:r>
      <w:r>
        <w:rPr>
          <w:rFonts w:hint="eastAsia" w:eastAsia="仿宋_GB2312"/>
          <w:color w:val="000000"/>
          <w:sz w:val="32"/>
          <w:szCs w:val="32"/>
        </w:rPr>
        <w:t>1个</w:t>
      </w:r>
      <w:r>
        <w:rPr>
          <w:rFonts w:eastAsia="仿宋_GB2312"/>
          <w:color w:val="000000"/>
          <w:sz w:val="32"/>
          <w:szCs w:val="32"/>
        </w:rPr>
        <w:t>，市政府法制研究中心。</w:t>
      </w:r>
    </w:p>
    <w:p>
      <w:pPr>
        <w:spacing w:line="560" w:lineRule="exact"/>
        <w:ind w:left="640"/>
        <w:rPr>
          <w:rFonts w:ascii="黑体" w:hAnsi="黑体" w:eastAsia="黑体"/>
          <w:sz w:val="32"/>
          <w:szCs w:val="32"/>
        </w:rPr>
      </w:pPr>
      <w:r>
        <w:rPr>
          <w:rFonts w:hint="eastAsia" w:ascii="黑体" w:hAnsi="黑体" w:eastAsia="黑体"/>
          <w:sz w:val="32"/>
          <w:szCs w:val="32"/>
        </w:rPr>
        <w:t>三、预算单位构成</w:t>
      </w:r>
    </w:p>
    <w:p>
      <w:pPr>
        <w:spacing w:line="600" w:lineRule="exact"/>
        <w:ind w:firstLine="645"/>
        <w:rPr>
          <w:rFonts w:eastAsia="仿宋_GB2312"/>
          <w:sz w:val="32"/>
          <w:szCs w:val="32"/>
        </w:rPr>
      </w:pPr>
      <w:r>
        <w:rPr>
          <w:rFonts w:eastAsia="仿宋_GB2312"/>
          <w:sz w:val="32"/>
          <w:szCs w:val="32"/>
        </w:rPr>
        <w:t>市司法局部门预算包括：市司法局本级预算、所属行政事业单位预算。</w:t>
      </w:r>
    </w:p>
    <w:p>
      <w:pPr>
        <w:spacing w:line="600" w:lineRule="exact"/>
        <w:ind w:firstLine="640" w:firstLineChars="200"/>
        <w:rPr>
          <w:rFonts w:eastAsia="仿宋_GB2312"/>
          <w:sz w:val="32"/>
          <w:szCs w:val="32"/>
        </w:rPr>
      </w:pPr>
      <w:r>
        <w:rPr>
          <w:rFonts w:eastAsia="仿宋_GB2312"/>
          <w:sz w:val="32"/>
          <w:szCs w:val="32"/>
        </w:rPr>
        <w:t>纳入2021年市司法局部门预算编制范围的预算单位共6个，包括：</w:t>
      </w:r>
    </w:p>
    <w:p>
      <w:pPr>
        <w:spacing w:line="600" w:lineRule="exact"/>
        <w:ind w:firstLine="566" w:firstLineChars="177"/>
        <w:rPr>
          <w:rFonts w:eastAsia="仿宋_GB2312"/>
          <w:sz w:val="32"/>
          <w:szCs w:val="32"/>
        </w:rPr>
      </w:pPr>
      <w:r>
        <w:rPr>
          <w:rFonts w:hint="eastAsia" w:eastAsia="仿宋_GB2312"/>
          <w:sz w:val="32"/>
          <w:szCs w:val="32"/>
        </w:rPr>
        <w:t>1.</w:t>
      </w:r>
      <w:r>
        <w:rPr>
          <w:rFonts w:eastAsia="仿宋_GB2312"/>
          <w:sz w:val="32"/>
          <w:szCs w:val="32"/>
        </w:rPr>
        <w:t>青岛市司法局本级</w:t>
      </w:r>
    </w:p>
    <w:p>
      <w:pPr>
        <w:spacing w:line="600" w:lineRule="exact"/>
        <w:ind w:firstLine="566" w:firstLineChars="177"/>
        <w:rPr>
          <w:rFonts w:eastAsia="仿宋_GB2312"/>
          <w:sz w:val="32"/>
          <w:szCs w:val="32"/>
        </w:rPr>
      </w:pPr>
      <w:r>
        <w:rPr>
          <w:rFonts w:hint="eastAsia" w:eastAsia="仿宋_GB2312"/>
          <w:sz w:val="32"/>
          <w:szCs w:val="32"/>
        </w:rPr>
        <w:t>2.</w:t>
      </w:r>
      <w:r>
        <w:rPr>
          <w:rFonts w:eastAsia="仿宋_GB2312"/>
          <w:sz w:val="32"/>
          <w:szCs w:val="32"/>
        </w:rPr>
        <w:t>青岛监狱</w:t>
      </w:r>
    </w:p>
    <w:p>
      <w:pPr>
        <w:spacing w:line="600" w:lineRule="exact"/>
        <w:ind w:firstLine="566" w:firstLineChars="177"/>
        <w:rPr>
          <w:rFonts w:eastAsia="仿宋_GB2312"/>
          <w:sz w:val="32"/>
          <w:szCs w:val="32"/>
        </w:rPr>
      </w:pPr>
      <w:r>
        <w:rPr>
          <w:rFonts w:hint="eastAsia" w:eastAsia="仿宋_GB2312"/>
          <w:sz w:val="32"/>
          <w:szCs w:val="32"/>
        </w:rPr>
        <w:t>3.</w:t>
      </w:r>
      <w:r>
        <w:rPr>
          <w:rFonts w:eastAsia="仿宋_GB2312"/>
          <w:sz w:val="32"/>
          <w:szCs w:val="32"/>
        </w:rPr>
        <w:t>北墅监狱</w:t>
      </w:r>
    </w:p>
    <w:p>
      <w:pPr>
        <w:spacing w:line="600" w:lineRule="exact"/>
        <w:ind w:firstLine="566" w:firstLineChars="177"/>
        <w:rPr>
          <w:rFonts w:eastAsia="仿宋_GB2312"/>
          <w:sz w:val="32"/>
          <w:szCs w:val="32"/>
        </w:rPr>
      </w:pPr>
      <w:r>
        <w:rPr>
          <w:rFonts w:hint="eastAsia" w:eastAsia="仿宋_GB2312"/>
          <w:sz w:val="32"/>
          <w:szCs w:val="32"/>
        </w:rPr>
        <w:t>4.</w:t>
      </w:r>
      <w:r>
        <w:rPr>
          <w:rFonts w:eastAsia="仿宋_GB2312"/>
          <w:sz w:val="32"/>
          <w:szCs w:val="32"/>
        </w:rPr>
        <w:t>青岛市强制隔离戒毒所</w:t>
      </w:r>
    </w:p>
    <w:p>
      <w:pPr>
        <w:spacing w:line="600" w:lineRule="exact"/>
        <w:ind w:firstLine="566" w:firstLineChars="177"/>
        <w:rPr>
          <w:rFonts w:eastAsia="仿宋_GB2312"/>
          <w:sz w:val="32"/>
          <w:szCs w:val="32"/>
        </w:rPr>
      </w:pPr>
      <w:r>
        <w:rPr>
          <w:rFonts w:eastAsia="仿宋_GB2312"/>
          <w:sz w:val="32"/>
          <w:szCs w:val="32"/>
        </w:rPr>
        <w:t>5.青岛市法律援助中心</w:t>
      </w:r>
    </w:p>
    <w:p>
      <w:pPr>
        <w:spacing w:line="600" w:lineRule="exact"/>
        <w:ind w:firstLine="566" w:firstLineChars="177"/>
        <w:rPr>
          <w:rFonts w:eastAsia="仿宋_GB2312"/>
          <w:sz w:val="32"/>
          <w:szCs w:val="32"/>
        </w:rPr>
      </w:pPr>
      <w:r>
        <w:rPr>
          <w:rFonts w:hint="eastAsia" w:eastAsia="仿宋_GB2312"/>
          <w:sz w:val="32"/>
          <w:szCs w:val="32"/>
        </w:rPr>
        <w:t>6.青岛市政府法制研究中心</w:t>
      </w:r>
    </w:p>
    <w:p>
      <w:pPr>
        <w:spacing w:line="560" w:lineRule="exact"/>
        <w:ind w:left="640"/>
        <w:rPr>
          <w:rFonts w:ascii="黑体" w:eastAsia="黑体"/>
          <w:sz w:val="32"/>
          <w:szCs w:val="32"/>
        </w:rPr>
      </w:pPr>
    </w:p>
    <w:p>
      <w:pPr>
        <w:rPr>
          <w:rFonts w:ascii="黑体" w:eastAsia="黑体"/>
          <w:b/>
          <w:sz w:val="48"/>
          <w:szCs w:val="48"/>
        </w:rPr>
      </w:pPr>
    </w:p>
    <w:p>
      <w:pPr>
        <w:rPr>
          <w:rFonts w:ascii="黑体" w:eastAsia="黑体"/>
          <w:b/>
          <w:sz w:val="48"/>
          <w:szCs w:val="48"/>
        </w:rPr>
      </w:pPr>
    </w:p>
    <w:p>
      <w:pPr>
        <w:spacing w:line="580" w:lineRule="exact"/>
        <w:ind w:left="1602" w:hanging="1602" w:hangingChars="445"/>
        <w:rPr>
          <w:rFonts w:ascii="黑体" w:eastAsia="黑体"/>
          <w:sz w:val="36"/>
          <w:szCs w:val="36"/>
        </w:rPr>
      </w:pPr>
    </w:p>
    <w:p>
      <w:pPr>
        <w:rPr>
          <w:rFonts w:ascii="黑体" w:eastAsia="黑体"/>
          <w:sz w:val="52"/>
          <w:szCs w:val="52"/>
        </w:rPr>
      </w:pPr>
    </w:p>
    <w:p>
      <w:pPr>
        <w:ind w:firstLine="1040" w:firstLineChars="200"/>
        <w:rPr>
          <w:rFonts w:ascii="黑体" w:eastAsia="黑体"/>
          <w:sz w:val="52"/>
          <w:szCs w:val="52"/>
        </w:rPr>
      </w:pPr>
    </w:p>
    <w:p>
      <w:pPr>
        <w:ind w:firstLine="1040" w:firstLineChars="200"/>
        <w:rPr>
          <w:rFonts w:ascii="黑体" w:eastAsia="黑体"/>
          <w:sz w:val="52"/>
          <w:szCs w:val="52"/>
        </w:rPr>
      </w:pPr>
    </w:p>
    <w:p>
      <w:pPr>
        <w:jc w:val="center"/>
        <w:rPr>
          <w:rFonts w:ascii="黑体" w:eastAsia="黑体"/>
          <w:sz w:val="52"/>
          <w:szCs w:val="52"/>
        </w:rPr>
      </w:pPr>
    </w:p>
    <w:p>
      <w:pPr>
        <w:rPr>
          <w:rFonts w:ascii="黑体" w:eastAsia="黑体"/>
          <w:b/>
          <w:sz w:val="48"/>
          <w:szCs w:val="48"/>
        </w:rPr>
      </w:pPr>
    </w:p>
    <w:p>
      <w:pPr>
        <w:rPr>
          <w:rFonts w:ascii="黑体" w:eastAsia="黑体"/>
          <w:sz w:val="52"/>
          <w:szCs w:val="52"/>
        </w:rPr>
      </w:pPr>
      <w:r>
        <w:rPr>
          <w:rFonts w:hint="eastAsia" w:ascii="黑体" w:eastAsia="黑体"/>
          <w:sz w:val="52"/>
          <w:szCs w:val="52"/>
        </w:rPr>
        <w:t>第二部分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2021年部门预算表</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tbl>
      <w:tblPr>
        <w:tblStyle w:val="7"/>
        <w:tblW w:w="8364" w:type="dxa"/>
        <w:tblInd w:w="0" w:type="dxa"/>
        <w:tblLayout w:type="autofit"/>
        <w:tblCellMar>
          <w:top w:w="0" w:type="dxa"/>
          <w:left w:w="108" w:type="dxa"/>
          <w:bottom w:w="0" w:type="dxa"/>
          <w:right w:w="108" w:type="dxa"/>
        </w:tblCellMar>
      </w:tblPr>
      <w:tblGrid>
        <w:gridCol w:w="3402"/>
        <w:gridCol w:w="1560"/>
        <w:gridCol w:w="1843"/>
        <w:gridCol w:w="1559"/>
      </w:tblGrid>
      <w:tr>
        <w:tblPrEx>
          <w:tblCellMar>
            <w:top w:w="0" w:type="dxa"/>
            <w:left w:w="108" w:type="dxa"/>
            <w:bottom w:w="0" w:type="dxa"/>
            <w:right w:w="108" w:type="dxa"/>
          </w:tblCellMar>
        </w:tblPrEx>
        <w:trPr>
          <w:trHeight w:val="645" w:hRule="atLeast"/>
        </w:trPr>
        <w:tc>
          <w:tcPr>
            <w:tcW w:w="8364" w:type="dxa"/>
            <w:gridSpan w:val="4"/>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2021年单位收支总表（表1）</w:t>
            </w:r>
          </w:p>
        </w:tc>
      </w:tr>
      <w:tr>
        <w:tblPrEx>
          <w:tblCellMar>
            <w:top w:w="0" w:type="dxa"/>
            <w:left w:w="108" w:type="dxa"/>
            <w:bottom w:w="0" w:type="dxa"/>
            <w:right w:w="108" w:type="dxa"/>
          </w:tblCellMar>
        </w:tblPrEx>
        <w:trPr>
          <w:trHeight w:val="420" w:hRule="atLeast"/>
        </w:trPr>
        <w:tc>
          <w:tcPr>
            <w:tcW w:w="3402"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 125-青岛市司法局部门</w:t>
            </w:r>
          </w:p>
        </w:tc>
        <w:tc>
          <w:tcPr>
            <w:tcW w:w="156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84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center"/>
          </w:tcPr>
          <w:p>
            <w:pPr>
              <w:widowControl/>
              <w:ind w:right="400"/>
              <w:jc w:val="center"/>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420" w:hRule="atLeast"/>
        </w:trPr>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340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560"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2021年预算</w:t>
            </w:r>
          </w:p>
        </w:tc>
        <w:tc>
          <w:tcPr>
            <w:tcW w:w="1843"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559" w:type="dxa"/>
            <w:tcBorders>
              <w:top w:val="nil"/>
              <w:left w:val="nil"/>
              <w:bottom w:val="nil"/>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2021年预算</w:t>
            </w:r>
          </w:p>
        </w:tc>
      </w:tr>
      <w:tr>
        <w:tblPrEx>
          <w:tblCellMar>
            <w:top w:w="0" w:type="dxa"/>
            <w:left w:w="108" w:type="dxa"/>
            <w:bottom w:w="0" w:type="dxa"/>
            <w:right w:w="108" w:type="dxa"/>
          </w:tblCellMar>
        </w:tblPrEx>
        <w:trPr>
          <w:trHeight w:val="420" w:hRule="atLeast"/>
        </w:trPr>
        <w:tc>
          <w:tcPr>
            <w:tcW w:w="3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一、一般公共预算资金</w:t>
            </w:r>
          </w:p>
        </w:tc>
        <w:tc>
          <w:tcPr>
            <w:tcW w:w="1560" w:type="dxa"/>
            <w:tcBorders>
              <w:top w:val="single" w:color="000000" w:sz="4" w:space="0"/>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60,688.73</w:t>
            </w:r>
          </w:p>
        </w:tc>
        <w:tc>
          <w:tcPr>
            <w:tcW w:w="1843" w:type="dxa"/>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一、基本支出</w:t>
            </w:r>
          </w:p>
        </w:tc>
        <w:tc>
          <w:tcPr>
            <w:tcW w:w="1559" w:type="dxa"/>
            <w:tcBorders>
              <w:top w:val="single" w:color="000000" w:sz="4" w:space="0"/>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55,288.41</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经费拨款（补助）</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60,598.23</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人员经费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41,428.05</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纳入预算管理的政府非税收入</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90.50</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公用经费</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13,860.36</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一般债券</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二、项目支出</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17,196.96</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外国政府和国际组织贷款</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其他运转类</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17,146.96</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外国政府和国际组织赠款</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特定目标类</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政府性基金预算资金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专项债券</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三、国有资本经营预算</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四、社会保险基金预算资金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五、财政专户管理资金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六、事业收入资金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七、上级补助收入资金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八、附属单位上缴收入资金</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九、事业单位经营收入</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十、其他收入</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11,796.64</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340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收入总计</w:t>
            </w:r>
          </w:p>
        </w:tc>
        <w:tc>
          <w:tcPr>
            <w:tcW w:w="15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72,485.37</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支出总计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72,485.37</w:t>
            </w:r>
          </w:p>
        </w:tc>
      </w:tr>
    </w:tbl>
    <w:p>
      <w:pPr>
        <w:rPr>
          <w:rFonts w:ascii="黑体" w:eastAsia="黑体"/>
          <w:b/>
          <w:sz w:val="30"/>
          <w:szCs w:val="30"/>
        </w:rPr>
      </w:pPr>
    </w:p>
    <w:p>
      <w:pPr>
        <w:rPr>
          <w:rFonts w:ascii="黑体" w:eastAsia="黑体"/>
          <w:b/>
          <w:sz w:val="30"/>
          <w:szCs w:val="30"/>
        </w:rPr>
        <w:sectPr>
          <w:footerReference r:id="rId4" w:type="default"/>
          <w:headerReference r:id="rId3" w:type="even"/>
          <w:footerReference r:id="rId5" w:type="even"/>
          <w:pgSz w:w="11906" w:h="16838"/>
          <w:pgMar w:top="2098" w:right="1474" w:bottom="1984" w:left="1587" w:header="851" w:footer="992" w:gutter="0"/>
          <w:cols w:space="720" w:num="1"/>
          <w:docGrid w:type="lines" w:linePitch="312" w:charSpace="0"/>
        </w:sectPr>
      </w:pPr>
    </w:p>
    <w:p>
      <w:pPr>
        <w:rPr>
          <w:rFonts w:ascii="黑体" w:eastAsia="黑体"/>
          <w:b/>
          <w:sz w:val="30"/>
          <w:szCs w:val="30"/>
        </w:rPr>
      </w:pPr>
    </w:p>
    <w:tbl>
      <w:tblPr>
        <w:tblStyle w:val="7"/>
        <w:tblW w:w="12616" w:type="dxa"/>
        <w:tblInd w:w="0" w:type="dxa"/>
        <w:tblLayout w:type="autofit"/>
        <w:tblCellMar>
          <w:top w:w="0" w:type="dxa"/>
          <w:left w:w="108" w:type="dxa"/>
          <w:bottom w:w="0" w:type="dxa"/>
          <w:right w:w="108" w:type="dxa"/>
        </w:tblCellMar>
      </w:tblPr>
      <w:tblGrid>
        <w:gridCol w:w="1420"/>
        <w:gridCol w:w="2124"/>
        <w:gridCol w:w="1447"/>
        <w:gridCol w:w="1388"/>
        <w:gridCol w:w="1418"/>
        <w:gridCol w:w="1275"/>
        <w:gridCol w:w="993"/>
        <w:gridCol w:w="1134"/>
        <w:gridCol w:w="1417"/>
      </w:tblGrid>
      <w:tr>
        <w:tblPrEx>
          <w:tblCellMar>
            <w:top w:w="0" w:type="dxa"/>
            <w:left w:w="108" w:type="dxa"/>
            <w:bottom w:w="0" w:type="dxa"/>
            <w:right w:w="108" w:type="dxa"/>
          </w:tblCellMar>
        </w:tblPrEx>
        <w:trPr>
          <w:trHeight w:val="435" w:hRule="atLeast"/>
        </w:trPr>
        <w:tc>
          <w:tcPr>
            <w:tcW w:w="12616"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2021年单位收入总表（表2）</w:t>
            </w:r>
          </w:p>
        </w:tc>
      </w:tr>
      <w:tr>
        <w:tblPrEx>
          <w:tblCellMar>
            <w:top w:w="0" w:type="dxa"/>
            <w:left w:w="108" w:type="dxa"/>
            <w:bottom w:w="0" w:type="dxa"/>
            <w:right w:w="108" w:type="dxa"/>
          </w:tblCellMar>
        </w:tblPrEx>
        <w:trPr>
          <w:trHeight w:val="435" w:hRule="atLeast"/>
        </w:trPr>
        <w:tc>
          <w:tcPr>
            <w:tcW w:w="3544" w:type="dxa"/>
            <w:gridSpan w:val="2"/>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预算单位:125-青岛市司法局部门</w:t>
            </w:r>
          </w:p>
        </w:tc>
        <w:tc>
          <w:tcPr>
            <w:tcW w:w="144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0"/>
                <w:szCs w:val="20"/>
              </w:rPr>
            </w:pPr>
          </w:p>
        </w:tc>
        <w:tc>
          <w:tcPr>
            <w:tcW w:w="1388"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418"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275"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993" w:type="dxa"/>
            <w:tcBorders>
              <w:top w:val="nil"/>
              <w:left w:val="nil"/>
              <w:bottom w:val="nil"/>
              <w:right w:val="nil"/>
            </w:tcBorders>
            <w:shd w:val="clear" w:color="auto" w:fill="auto"/>
            <w:vAlign w:val="center"/>
          </w:tcPr>
          <w:p>
            <w:pPr>
              <w:widowControl/>
              <w:jc w:val="center"/>
              <w:rPr>
                <w:rFonts w:eastAsia="Times New Roman"/>
                <w:kern w:val="0"/>
                <w:sz w:val="20"/>
                <w:szCs w:val="20"/>
              </w:rPr>
            </w:pPr>
          </w:p>
        </w:tc>
        <w:tc>
          <w:tcPr>
            <w:tcW w:w="1134"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1417" w:type="dxa"/>
            <w:tcBorders>
              <w:top w:val="nil"/>
              <w:left w:val="nil"/>
              <w:bottom w:val="nil"/>
              <w:right w:val="nil"/>
            </w:tcBorders>
            <w:shd w:val="clear" w:color="auto" w:fill="auto"/>
            <w:noWrap/>
            <w:vAlign w:val="bottom"/>
          </w:tcPr>
          <w:p>
            <w:pPr>
              <w:widowControl/>
              <w:jc w:val="left"/>
              <w:rPr>
                <w:rFonts w:ascii="Calibri" w:hAnsi="Calibri" w:cs="宋体"/>
                <w:color w:val="000000"/>
                <w:kern w:val="0"/>
                <w:sz w:val="22"/>
                <w:szCs w:val="22"/>
              </w:rPr>
            </w:pPr>
            <w:r>
              <w:rPr>
                <w:rFonts w:ascii="Calibri" w:hAnsi="Calibri" w:cs="宋体"/>
                <w:color w:val="000000"/>
                <w:kern w:val="0"/>
                <w:sz w:val="22"/>
                <w:szCs w:val="22"/>
              </w:rPr>
              <w:t>单位：万元</w:t>
            </w:r>
          </w:p>
        </w:tc>
      </w:tr>
      <w:tr>
        <w:tblPrEx>
          <w:tblCellMar>
            <w:top w:w="0" w:type="dxa"/>
            <w:left w:w="108" w:type="dxa"/>
            <w:bottom w:w="0" w:type="dxa"/>
            <w:right w:w="108" w:type="dxa"/>
          </w:tblCellMar>
        </w:tblPrEx>
        <w:trPr>
          <w:trHeight w:val="435"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功能分类科目编码</w:t>
            </w:r>
          </w:p>
        </w:tc>
        <w:tc>
          <w:tcPr>
            <w:tcW w:w="2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功能分类科目名称</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总计</w:t>
            </w:r>
          </w:p>
        </w:tc>
        <w:tc>
          <w:tcPr>
            <w:tcW w:w="5074"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政府预算资金</w:t>
            </w:r>
          </w:p>
        </w:tc>
        <w:tc>
          <w:tcPr>
            <w:tcW w:w="2551"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单位资金</w:t>
            </w:r>
          </w:p>
        </w:tc>
      </w:tr>
      <w:tr>
        <w:tblPrEx>
          <w:tblCellMar>
            <w:top w:w="0" w:type="dxa"/>
            <w:left w:w="108" w:type="dxa"/>
            <w:bottom w:w="0" w:type="dxa"/>
            <w:right w:w="108" w:type="dxa"/>
          </w:tblCellMar>
        </w:tblPrEx>
        <w:trPr>
          <w:trHeight w:val="435" w:hRule="atLeast"/>
        </w:trPr>
        <w:tc>
          <w:tcPr>
            <w:tcW w:w="1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21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38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财政拨款小计</w:t>
            </w:r>
          </w:p>
        </w:tc>
        <w:tc>
          <w:tcPr>
            <w:tcW w:w="3686"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一般公共预算安排</w:t>
            </w:r>
          </w:p>
        </w:tc>
        <w:tc>
          <w:tcPr>
            <w:tcW w:w="113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单位资金小计</w:t>
            </w:r>
          </w:p>
        </w:tc>
        <w:tc>
          <w:tcPr>
            <w:tcW w:w="141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其他收入</w:t>
            </w:r>
          </w:p>
        </w:tc>
      </w:tr>
      <w:tr>
        <w:tblPrEx>
          <w:tblCellMar>
            <w:top w:w="0" w:type="dxa"/>
            <w:left w:w="108" w:type="dxa"/>
            <w:bottom w:w="0" w:type="dxa"/>
            <w:right w:w="108" w:type="dxa"/>
          </w:tblCellMar>
        </w:tblPrEx>
        <w:trPr>
          <w:trHeight w:val="870" w:hRule="atLeast"/>
        </w:trPr>
        <w:tc>
          <w:tcPr>
            <w:tcW w:w="14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21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38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一般公共预算小计</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经费拨款（补助）</w:t>
            </w:r>
          </w:p>
        </w:tc>
        <w:tc>
          <w:tcPr>
            <w:tcW w:w="9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纳入预算管理的其他政府非税收入</w:t>
            </w:r>
          </w:p>
        </w:tc>
        <w:tc>
          <w:tcPr>
            <w:tcW w:w="113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c>
          <w:tcPr>
            <w:tcW w:w="141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合计</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72,485.37</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60,688.73</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60,688.73</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60,598.23</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90.50</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11,796.64</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11,796.64</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一般公共服务支出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30"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20103</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政府办公厅（室）及相关机构事务</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2010350</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事业运行</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149.69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204</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公共安全支出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64,595.19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52,798.55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52,798.55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52,708.05</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90.50</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11,796.64</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20406</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司法</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4,821.79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4,821.79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4,821.79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4,731.29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90.50</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2040601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行政运行</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3,326.45</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3,326.45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3,326.45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3,326.45</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2040602</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一般行政管理事务</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923.10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923.10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923.10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832.60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90.50</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2040607</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公共法律服务</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254.30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254.30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254.30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254.30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2040650</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事业运行</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317.94</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317.94</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317.94</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317.94</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监狱</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54,205.05</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42,408.41</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42,408.41</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42,408.41</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11,796.64</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2040701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行政运行</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38,706.41</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38,706.41</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38,706.41</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38,706.41</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2040704</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犯人生活</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2,555.64</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2,555.64</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2,555.64</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2,555.64</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2040705</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犯人改造</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604.56</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604.56</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604.56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604.56</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2040706</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狱政设施建设</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8,150.00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8,150.00</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2040799</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其他监狱支出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4,188.44</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541.80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541.80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541.80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3,646.64</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强制隔离戒毒</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5,568.35</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5,568.35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5,568.35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5,568.35</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2040801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行政运行</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5,097.43</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5,097.43</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5,097.43</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5,097.43</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2040802</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一般行政管理事务</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96.49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96.49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96.49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96.49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2040804</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强制隔离戒毒人员生活</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261.00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261.00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261.00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261.00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2040805</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强制隔离戒毒人员教育</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26.00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2040806</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所政设施建设</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63.24</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63.24</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63.24</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63.24</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2040899</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其他强制隔离戒毒支出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24.19</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24.19</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24.19</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24.19</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社会保障和就业支出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40"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20805</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行政事业单位养老支出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4,775.03</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1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2080505</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机关事业单位基本养老保险缴费支出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3,183.35</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3,183.35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3,183.35</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3,183.35</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9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2080506</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机关事业单位职业年金缴费支出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1,591.68</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1,591.68</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1,591.68</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1,591.68</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21099</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其他卫生健康支出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2109999</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其他卫生健康支出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50.00</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住房保障支出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22102</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住房改革支出</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5" w:hRule="atLeast"/>
        </w:trPr>
        <w:tc>
          <w:tcPr>
            <w:tcW w:w="142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2210201</w:t>
            </w:r>
          </w:p>
        </w:tc>
        <w:tc>
          <w:tcPr>
            <w:tcW w:w="212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住房公积金</w:t>
            </w:r>
          </w:p>
        </w:tc>
        <w:tc>
          <w:tcPr>
            <w:tcW w:w="144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38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2,915.46</w:t>
            </w:r>
          </w:p>
        </w:tc>
        <w:tc>
          <w:tcPr>
            <w:tcW w:w="9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c>
          <w:tcPr>
            <w:tcW w:w="1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　</w:t>
            </w:r>
          </w:p>
        </w:tc>
      </w:tr>
    </w:tbl>
    <w:p>
      <w:pPr>
        <w:rPr>
          <w:rFonts w:ascii="黑体" w:eastAsia="黑体"/>
          <w:b/>
          <w:sz w:val="30"/>
          <w:szCs w:val="30"/>
        </w:rPr>
        <w:sectPr>
          <w:pgSz w:w="16838" w:h="11906" w:orient="landscape"/>
          <w:pgMar w:top="1587" w:right="2098" w:bottom="1474" w:left="1984" w:header="851" w:footer="992" w:gutter="0"/>
          <w:cols w:space="720" w:num="1"/>
          <w:docGrid w:type="lines" w:linePitch="312" w:charSpace="0"/>
        </w:sectPr>
      </w:pPr>
    </w:p>
    <w:p>
      <w:pPr>
        <w:rPr>
          <w:rFonts w:ascii="黑体" w:eastAsia="黑体"/>
          <w:b/>
          <w:sz w:val="30"/>
          <w:szCs w:val="30"/>
        </w:rPr>
      </w:pPr>
    </w:p>
    <w:tbl>
      <w:tblPr>
        <w:tblStyle w:val="7"/>
        <w:tblW w:w="8647" w:type="dxa"/>
        <w:tblInd w:w="0" w:type="dxa"/>
        <w:tblLayout w:type="autofit"/>
        <w:tblCellMar>
          <w:top w:w="0" w:type="dxa"/>
          <w:left w:w="108" w:type="dxa"/>
          <w:bottom w:w="0" w:type="dxa"/>
          <w:right w:w="108" w:type="dxa"/>
        </w:tblCellMar>
      </w:tblPr>
      <w:tblGrid>
        <w:gridCol w:w="1134"/>
        <w:gridCol w:w="1560"/>
        <w:gridCol w:w="1220"/>
        <w:gridCol w:w="1240"/>
        <w:gridCol w:w="1240"/>
        <w:gridCol w:w="1240"/>
        <w:gridCol w:w="1013"/>
      </w:tblGrid>
      <w:tr>
        <w:tblPrEx>
          <w:tblCellMar>
            <w:top w:w="0" w:type="dxa"/>
            <w:left w:w="108" w:type="dxa"/>
            <w:bottom w:w="0" w:type="dxa"/>
            <w:right w:w="108" w:type="dxa"/>
          </w:tblCellMar>
        </w:tblPrEx>
        <w:trPr>
          <w:trHeight w:val="450" w:hRule="atLeast"/>
        </w:trPr>
        <w:tc>
          <w:tcPr>
            <w:tcW w:w="8647" w:type="dxa"/>
            <w:gridSpan w:val="7"/>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2021年单位支出总表（表3）</w:t>
            </w:r>
          </w:p>
        </w:tc>
      </w:tr>
      <w:tr>
        <w:tblPrEx>
          <w:tblCellMar>
            <w:top w:w="0" w:type="dxa"/>
            <w:left w:w="108" w:type="dxa"/>
            <w:bottom w:w="0" w:type="dxa"/>
            <w:right w:w="108" w:type="dxa"/>
          </w:tblCellMar>
        </w:tblPrEx>
        <w:trPr>
          <w:trHeight w:val="345" w:hRule="atLeast"/>
        </w:trPr>
        <w:tc>
          <w:tcPr>
            <w:tcW w:w="2694"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220"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2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013" w:type="dxa"/>
            <w:tcBorders>
              <w:top w:val="nil"/>
              <w:left w:val="nil"/>
              <w:bottom w:val="nil"/>
              <w:right w:val="nil"/>
            </w:tcBorders>
            <w:shd w:val="clear" w:color="auto" w:fill="auto"/>
            <w:noWrap/>
            <w:vAlign w:val="center"/>
          </w:tcPr>
          <w:p>
            <w:pPr>
              <w:widowControl/>
              <w:ind w:right="100"/>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45"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功能分类科目编码</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功能分类科目名称</w:t>
            </w:r>
          </w:p>
        </w:tc>
        <w:tc>
          <w:tcPr>
            <w:tcW w:w="595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2021年预算</w:t>
            </w:r>
          </w:p>
        </w:tc>
      </w:tr>
      <w:tr>
        <w:tblPrEx>
          <w:tblCellMar>
            <w:top w:w="0" w:type="dxa"/>
            <w:left w:w="108" w:type="dxa"/>
            <w:bottom w:w="0" w:type="dxa"/>
            <w:right w:w="108" w:type="dxa"/>
          </w:tblCellMar>
        </w:tblPrEx>
        <w:trPr>
          <w:trHeight w:val="345"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220" w:type="dxa"/>
            <w:vMerge w:val="restart"/>
            <w:tcBorders>
              <w:top w:val="nil"/>
              <w:left w:val="nil"/>
              <w:bottom w:val="nil"/>
              <w:right w:val="nil"/>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2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基本支出</w:t>
            </w:r>
          </w:p>
        </w:tc>
        <w:tc>
          <w:tcPr>
            <w:tcW w:w="225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项目支出</w:t>
            </w:r>
          </w:p>
        </w:tc>
      </w:tr>
      <w:tr>
        <w:trPr>
          <w:trHeight w:val="555" w:hRule="atLeast"/>
        </w:trPr>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220" w:type="dxa"/>
            <w:vMerge w:val="continue"/>
            <w:tcBorders>
              <w:top w:val="nil"/>
              <w:left w:val="nil"/>
              <w:bottom w:val="nil"/>
              <w:right w:val="nil"/>
            </w:tcBorders>
            <w:vAlign w:val="center"/>
          </w:tcPr>
          <w:p>
            <w:pPr>
              <w:widowControl/>
              <w:jc w:val="left"/>
              <w:rPr>
                <w:rFonts w:ascii="宋体" w:hAnsi="宋体" w:cs="Arial"/>
                <w:b/>
                <w:bCs/>
                <w:color w:val="000000"/>
                <w:kern w:val="0"/>
                <w:sz w:val="22"/>
                <w:szCs w:val="22"/>
              </w:rPr>
            </w:pPr>
          </w:p>
        </w:tc>
        <w:tc>
          <w:tcPr>
            <w:tcW w:w="12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人员经费</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公用经费</w:t>
            </w:r>
          </w:p>
        </w:tc>
        <w:tc>
          <w:tcPr>
            <w:tcW w:w="12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其他运转类</w:t>
            </w:r>
          </w:p>
        </w:tc>
        <w:tc>
          <w:tcPr>
            <w:tcW w:w="101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特定目标类</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1220"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72,485.37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41,428.05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13,860.36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17,146.96</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20103</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政府办公厅（室）及相关机构事务</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2010350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事业运行</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公共安全支出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64,595.19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33,618.35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13,829.88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17,146.96</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司法</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4,821.79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2,590.22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1,054.17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1,177.40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3,326.45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2,362.55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963.90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一般行政管理事务</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923.10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923.10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公共法律服务</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254.30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254.30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2040650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事业运行</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317.94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227.67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90.27</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监狱</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54,205.05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27,438.62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11,267.79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15,498.64</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38,706.41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27,438.62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11,267.79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犯人生活</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2,555.64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2,555.64</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犯人改造</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604.56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604.56</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狱政设施建设</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8,150.00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8,150.00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2040799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其他监狱支出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4,188.44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4,188.44</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5,568.35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3,589.51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1,507.92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470.92</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5,097.43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3,589.51</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1,507.92</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一般行政管理事务</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96.49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96.49</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2040804</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强制隔离戒毒人员生活</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261.00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261.00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强制隔离戒毒人员教育</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26.00</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所政设施建设</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63.24</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63.24</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2040899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其他强制隔离戒毒支出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24.19</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24.19</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2080505</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2080506</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21099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其他卫生健康支出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2109999</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其他卫生健康支出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221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22102</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345" w:hRule="atLeast"/>
        </w:trPr>
        <w:tc>
          <w:tcPr>
            <w:tcW w:w="11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2210201</w:t>
            </w:r>
          </w:p>
        </w:tc>
        <w:tc>
          <w:tcPr>
            <w:tcW w:w="156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2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黑体" w:eastAsia="黑体"/>
          <w:b/>
          <w:sz w:val="30"/>
          <w:szCs w:val="30"/>
        </w:rPr>
        <w:sectPr>
          <w:pgSz w:w="11906" w:h="16838"/>
          <w:pgMar w:top="2098" w:right="1474" w:bottom="1984" w:left="1587" w:header="851" w:footer="992" w:gutter="0"/>
          <w:cols w:space="720" w:num="1"/>
          <w:docGrid w:type="lines" w:linePitch="312" w:charSpace="0"/>
        </w:sectPr>
      </w:pPr>
    </w:p>
    <w:p>
      <w:pPr>
        <w:rPr>
          <w:rFonts w:ascii="黑体" w:eastAsia="黑体"/>
          <w:b/>
          <w:sz w:val="30"/>
          <w:szCs w:val="30"/>
        </w:rPr>
      </w:pPr>
    </w:p>
    <w:tbl>
      <w:tblPr>
        <w:tblStyle w:val="7"/>
        <w:tblW w:w="12163" w:type="dxa"/>
        <w:tblInd w:w="0" w:type="dxa"/>
        <w:tblLayout w:type="autofit"/>
        <w:tblCellMar>
          <w:top w:w="0" w:type="dxa"/>
          <w:left w:w="108" w:type="dxa"/>
          <w:bottom w:w="0" w:type="dxa"/>
          <w:right w:w="108" w:type="dxa"/>
        </w:tblCellMar>
      </w:tblPr>
      <w:tblGrid>
        <w:gridCol w:w="3740"/>
        <w:gridCol w:w="2497"/>
        <w:gridCol w:w="3402"/>
        <w:gridCol w:w="2524"/>
      </w:tblGrid>
      <w:tr>
        <w:tblPrEx>
          <w:tblCellMar>
            <w:top w:w="0" w:type="dxa"/>
            <w:left w:w="108" w:type="dxa"/>
            <w:bottom w:w="0" w:type="dxa"/>
            <w:right w:w="108" w:type="dxa"/>
          </w:tblCellMar>
        </w:tblPrEx>
        <w:trPr>
          <w:trHeight w:val="750" w:hRule="atLeast"/>
        </w:trPr>
        <w:tc>
          <w:tcPr>
            <w:tcW w:w="12163" w:type="dxa"/>
            <w:gridSpan w:val="4"/>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2021年财政拨款收支总表（表4）</w:t>
            </w:r>
          </w:p>
        </w:tc>
      </w:tr>
      <w:tr>
        <w:tblPrEx>
          <w:tblCellMar>
            <w:top w:w="0" w:type="dxa"/>
            <w:left w:w="108" w:type="dxa"/>
            <w:bottom w:w="0" w:type="dxa"/>
            <w:right w:w="108" w:type="dxa"/>
          </w:tblCellMar>
        </w:tblPrEx>
        <w:trPr>
          <w:trHeight w:val="525" w:hRule="atLeast"/>
        </w:trPr>
        <w:tc>
          <w:tcPr>
            <w:tcW w:w="3740" w:type="dxa"/>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2497"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340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524" w:type="dxa"/>
            <w:tcBorders>
              <w:top w:val="nil"/>
              <w:left w:val="nil"/>
              <w:bottom w:val="nil"/>
              <w:right w:val="nil"/>
            </w:tcBorders>
            <w:shd w:val="clear" w:color="auto" w:fill="auto"/>
            <w:noWrap/>
            <w:vAlign w:val="center"/>
          </w:tcPr>
          <w:p>
            <w:pPr>
              <w:widowControl/>
              <w:jc w:val="right"/>
              <w:rPr>
                <w:rFonts w:ascii="Calibri" w:hAnsi="Calibri" w:cs="Arial"/>
                <w:color w:val="000000"/>
                <w:kern w:val="0"/>
                <w:sz w:val="20"/>
                <w:szCs w:val="20"/>
              </w:rPr>
            </w:pPr>
            <w:r>
              <w:rPr>
                <w:rFonts w:ascii="Calibri" w:hAnsi="Calibri" w:cs="Arial"/>
                <w:color w:val="000000"/>
                <w:kern w:val="0"/>
                <w:sz w:val="20"/>
                <w:szCs w:val="20"/>
              </w:rPr>
              <w:t>单位：万元</w:t>
            </w:r>
          </w:p>
        </w:tc>
      </w:tr>
      <w:tr>
        <w:tblPrEx>
          <w:tblCellMar>
            <w:top w:w="0" w:type="dxa"/>
            <w:left w:w="108" w:type="dxa"/>
            <w:bottom w:w="0" w:type="dxa"/>
            <w:right w:w="108" w:type="dxa"/>
          </w:tblCellMar>
        </w:tblPrEx>
        <w:trPr>
          <w:trHeight w:val="435" w:hRule="atLeast"/>
        </w:trPr>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收    入</w:t>
            </w:r>
          </w:p>
        </w:tc>
        <w:tc>
          <w:tcPr>
            <w:tcW w:w="5926"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支    出</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249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2021年预算</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项    目</w:t>
            </w:r>
          </w:p>
        </w:tc>
        <w:tc>
          <w:tcPr>
            <w:tcW w:w="252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2021年预算</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一、一般公共预算资金</w:t>
            </w:r>
          </w:p>
        </w:tc>
        <w:tc>
          <w:tcPr>
            <w:tcW w:w="249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60,688.73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一、基本支出</w:t>
            </w:r>
          </w:p>
        </w:tc>
        <w:tc>
          <w:tcPr>
            <w:tcW w:w="2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55,288.41</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经费拨款（补助）</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60,598.23</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人员经费</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41,428.05</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纳入预算管理的政府非税收入</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90.50</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公用经费</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13,860.36</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一般债券</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二、项目支出</w:t>
            </w:r>
          </w:p>
        </w:tc>
        <w:tc>
          <w:tcPr>
            <w:tcW w:w="2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5,400.32</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外国政府和国际组织贷款</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其他运转类</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5,350.32</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外国政府和国际组织赠款</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特定目标类</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二、政府性基金预算资金</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2524"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政府性基金预算资金</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w:t>
            </w:r>
          </w:p>
        </w:tc>
        <w:tc>
          <w:tcPr>
            <w:tcW w:w="2524" w:type="dxa"/>
            <w:tcBorders>
              <w:top w:val="nil"/>
              <w:left w:val="nil"/>
              <w:bottom w:val="single" w:color="000000" w:sz="4" w:space="0"/>
              <w:right w:val="single" w:color="000000" w:sz="4" w:space="0"/>
            </w:tcBorders>
            <w:shd w:val="clear" w:color="auto" w:fill="auto"/>
            <w:noWrap/>
            <w:vAlign w:val="bottom"/>
          </w:tcPr>
          <w:p>
            <w:pPr>
              <w:widowControl/>
              <w:jc w:val="left"/>
              <w:rPr>
                <w:rFonts w:ascii="Calibri" w:hAnsi="Calibri" w:cs="Arial"/>
                <w:color w:val="000000"/>
                <w:kern w:val="0"/>
                <w:sz w:val="22"/>
                <w:szCs w:val="22"/>
              </w:rPr>
            </w:pPr>
            <w:r>
              <w:rPr>
                <w:rFonts w:ascii="Calibri" w:hAnsi="Calibri" w:cs="Arial"/>
                <w:color w:val="000000"/>
                <w:kern w:val="0"/>
                <w:sz w:val="22"/>
                <w:szCs w:val="22"/>
              </w:rPr>
              <w:t>　</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xml:space="preserve">    专项债券</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34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35" w:hRule="atLeast"/>
        </w:trPr>
        <w:tc>
          <w:tcPr>
            <w:tcW w:w="374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本年收入合计</w:t>
            </w:r>
          </w:p>
        </w:tc>
        <w:tc>
          <w:tcPr>
            <w:tcW w:w="249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60,688.73</w:t>
            </w:r>
          </w:p>
        </w:tc>
        <w:tc>
          <w:tcPr>
            <w:tcW w:w="34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本年支出合计</w:t>
            </w:r>
          </w:p>
        </w:tc>
        <w:tc>
          <w:tcPr>
            <w:tcW w:w="2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60,688.73</w:t>
            </w:r>
          </w:p>
        </w:tc>
      </w:tr>
    </w:tbl>
    <w:p>
      <w:pPr>
        <w:rPr>
          <w:rFonts w:ascii="黑体" w:eastAsia="黑体"/>
          <w:b/>
          <w:sz w:val="30"/>
          <w:szCs w:val="30"/>
        </w:rPr>
        <w:sectPr>
          <w:pgSz w:w="16838" w:h="11906" w:orient="landscape"/>
          <w:pgMar w:top="1587" w:right="2098" w:bottom="1474" w:left="1984" w:header="851" w:footer="992" w:gutter="0"/>
          <w:cols w:space="720" w:num="1"/>
          <w:docGrid w:type="lines" w:linePitch="312" w:charSpace="0"/>
        </w:sectPr>
      </w:pPr>
    </w:p>
    <w:p>
      <w:pPr>
        <w:rPr>
          <w:rFonts w:ascii="黑体" w:eastAsia="黑体"/>
          <w:b/>
          <w:sz w:val="30"/>
          <w:szCs w:val="30"/>
        </w:rPr>
      </w:pPr>
    </w:p>
    <w:tbl>
      <w:tblPr>
        <w:tblStyle w:val="7"/>
        <w:tblW w:w="8647" w:type="dxa"/>
        <w:tblInd w:w="0" w:type="dxa"/>
        <w:tblLayout w:type="autofit"/>
        <w:tblCellMar>
          <w:top w:w="0" w:type="dxa"/>
          <w:left w:w="108" w:type="dxa"/>
          <w:bottom w:w="0" w:type="dxa"/>
          <w:right w:w="108" w:type="dxa"/>
        </w:tblCellMar>
      </w:tblPr>
      <w:tblGrid>
        <w:gridCol w:w="1028"/>
        <w:gridCol w:w="1666"/>
        <w:gridCol w:w="1116"/>
        <w:gridCol w:w="1392"/>
        <w:gridCol w:w="1392"/>
        <w:gridCol w:w="1061"/>
        <w:gridCol w:w="992"/>
      </w:tblGrid>
      <w:tr>
        <w:tblPrEx>
          <w:tblCellMar>
            <w:top w:w="0" w:type="dxa"/>
            <w:left w:w="108" w:type="dxa"/>
            <w:bottom w:w="0" w:type="dxa"/>
            <w:right w:w="108" w:type="dxa"/>
          </w:tblCellMar>
        </w:tblPrEx>
        <w:trPr>
          <w:trHeight w:val="420" w:hRule="atLeast"/>
        </w:trPr>
        <w:tc>
          <w:tcPr>
            <w:tcW w:w="8647" w:type="dxa"/>
            <w:gridSpan w:val="7"/>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2021年一般公共预算支出表（表5）</w:t>
            </w:r>
          </w:p>
        </w:tc>
      </w:tr>
      <w:tr>
        <w:tblPrEx>
          <w:tblCellMar>
            <w:top w:w="0" w:type="dxa"/>
            <w:left w:w="108" w:type="dxa"/>
            <w:bottom w:w="0" w:type="dxa"/>
            <w:right w:w="108" w:type="dxa"/>
          </w:tblCellMar>
        </w:tblPrEx>
        <w:trPr>
          <w:trHeight w:val="420" w:hRule="atLeast"/>
        </w:trPr>
        <w:tc>
          <w:tcPr>
            <w:tcW w:w="2694"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116"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392"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1392"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1061"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992"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420"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功能分类科目编码</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功能分类科目名称</w:t>
            </w:r>
          </w:p>
        </w:tc>
        <w:tc>
          <w:tcPr>
            <w:tcW w:w="5953"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2021年预算</w:t>
            </w:r>
          </w:p>
        </w:tc>
      </w:tr>
      <w:tr>
        <w:tblPrEx>
          <w:tblCellMar>
            <w:top w:w="0" w:type="dxa"/>
            <w:left w:w="108" w:type="dxa"/>
            <w:bottom w:w="0" w:type="dxa"/>
            <w:right w:w="108" w:type="dxa"/>
          </w:tblCellMar>
        </w:tblPrEx>
        <w:trPr>
          <w:trHeight w:val="420" w:hRule="atLeast"/>
        </w:trPr>
        <w:tc>
          <w:tcPr>
            <w:tcW w:w="10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6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116" w:type="dxa"/>
            <w:vMerge w:val="restart"/>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27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基本支出</w:t>
            </w:r>
          </w:p>
        </w:tc>
        <w:tc>
          <w:tcPr>
            <w:tcW w:w="2053"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项目支出</w:t>
            </w:r>
          </w:p>
        </w:tc>
      </w:tr>
      <w:tr>
        <w:tblPrEx>
          <w:tblCellMar>
            <w:top w:w="0" w:type="dxa"/>
            <w:left w:w="108" w:type="dxa"/>
            <w:bottom w:w="0" w:type="dxa"/>
            <w:right w:w="108" w:type="dxa"/>
          </w:tblCellMar>
        </w:tblPrEx>
        <w:trPr>
          <w:trHeight w:val="615" w:hRule="atLeast"/>
        </w:trPr>
        <w:tc>
          <w:tcPr>
            <w:tcW w:w="10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6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116" w:type="dxa"/>
            <w:vMerge w:val="continue"/>
            <w:tcBorders>
              <w:top w:val="nil"/>
              <w:left w:val="nil"/>
              <w:bottom w:val="nil"/>
              <w:right w:val="nil"/>
            </w:tcBorders>
            <w:vAlign w:val="center"/>
          </w:tcPr>
          <w:p>
            <w:pPr>
              <w:widowControl/>
              <w:jc w:val="left"/>
              <w:rPr>
                <w:rFonts w:ascii="宋体" w:hAnsi="宋体" w:cs="Arial"/>
                <w:b/>
                <w:bCs/>
                <w:color w:val="000000"/>
                <w:kern w:val="0"/>
                <w:sz w:val="22"/>
                <w:szCs w:val="22"/>
              </w:rPr>
            </w:pPr>
          </w:p>
        </w:tc>
        <w:tc>
          <w:tcPr>
            <w:tcW w:w="139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人员经费</w:t>
            </w:r>
          </w:p>
        </w:tc>
        <w:tc>
          <w:tcPr>
            <w:tcW w:w="139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公用经费</w:t>
            </w:r>
          </w:p>
        </w:tc>
        <w:tc>
          <w:tcPr>
            <w:tcW w:w="10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其他运转类</w:t>
            </w:r>
          </w:p>
        </w:tc>
        <w:tc>
          <w:tcPr>
            <w:tcW w:w="9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特定目标类</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1116" w:type="dxa"/>
            <w:tcBorders>
              <w:top w:val="single" w:color="000000" w:sz="4" w:space="0"/>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60,688.73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41,428.05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13,860.36</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5,350.32</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一般公共服务支出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51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20103</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政府办公厅（室）及相关机构事务</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2010350</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事业运行</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149.69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119.21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204</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公共安全支出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52,798.55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33,618.35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13,829.88</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5,350.32</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司法</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4,821.79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2,590.22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1,054.17</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1,177.40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3,326.45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2,362.55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963.90</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2040602</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一般行政管理事务</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923.10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923.10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2040607</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公共法律服务</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254.30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254.30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2040650</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事业运行</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317.94</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227.67</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90.27</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监狱</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42,408.41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27,438.62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11,267.79</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3,702.00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38,706.41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27,438.62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11,267.79</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2040704</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犯人生活</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2,555.64</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2,555.64</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2040705</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犯人改造</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604.56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604.56</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2040799</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其他监狱支出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541.80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541.80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5,568.35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3,589.51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1,507.92</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470.92</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行政运行</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5,097.43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3,589.51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1,507.92</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2040802</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一般行政管理事务</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96.49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96.49</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2040804</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强制隔离戒毒人员生活</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261.00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261.00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2040805</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强制隔离戒毒人员教育</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26.00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26.00</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2040806</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所政设施建设</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63.24</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63.24</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2040899</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其他强制隔离戒毒支出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24.19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24.19</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208</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社会保障和就业支出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行政事业单位养老支出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4,775.03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2080505</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2080506</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机关事业单位职业年金缴费支出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210</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卫生健康支出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21099</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其他卫生健康支出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2109999</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其他卫生健康支出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50.00</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221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住房保障支出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22102</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住房改革支出</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20" w:hRule="atLeast"/>
        </w:trPr>
        <w:tc>
          <w:tcPr>
            <w:tcW w:w="102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2210201</w:t>
            </w:r>
          </w:p>
        </w:tc>
        <w:tc>
          <w:tcPr>
            <w:tcW w:w="166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11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06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tbl>
      <w:tblPr>
        <w:tblStyle w:val="7"/>
        <w:tblW w:w="8338" w:type="dxa"/>
        <w:tblInd w:w="0" w:type="dxa"/>
        <w:tblLayout w:type="autofit"/>
        <w:tblCellMar>
          <w:top w:w="0" w:type="dxa"/>
          <w:left w:w="108" w:type="dxa"/>
          <w:bottom w:w="0" w:type="dxa"/>
          <w:right w:w="108" w:type="dxa"/>
        </w:tblCellMar>
      </w:tblPr>
      <w:tblGrid>
        <w:gridCol w:w="1476"/>
        <w:gridCol w:w="2240"/>
        <w:gridCol w:w="1671"/>
        <w:gridCol w:w="1559"/>
        <w:gridCol w:w="1392"/>
      </w:tblGrid>
      <w:tr>
        <w:tblPrEx>
          <w:tblCellMar>
            <w:top w:w="0" w:type="dxa"/>
            <w:left w:w="108" w:type="dxa"/>
            <w:bottom w:w="0" w:type="dxa"/>
            <w:right w:w="108" w:type="dxa"/>
          </w:tblCellMar>
        </w:tblPrEx>
        <w:trPr>
          <w:trHeight w:val="405" w:hRule="atLeast"/>
        </w:trPr>
        <w:tc>
          <w:tcPr>
            <w:tcW w:w="8338" w:type="dxa"/>
            <w:gridSpan w:val="5"/>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28"/>
                <w:szCs w:val="28"/>
              </w:rPr>
            </w:pPr>
            <w:r>
              <w:rPr>
                <w:rFonts w:hint="eastAsia" w:ascii="宋体" w:hAnsi="宋体" w:cs="Arial"/>
                <w:b/>
                <w:bCs/>
                <w:color w:val="000000"/>
                <w:kern w:val="0"/>
                <w:sz w:val="28"/>
                <w:szCs w:val="28"/>
              </w:rPr>
              <w:t>2021年一般公共预算基本支出表（表6,部门经济分类）</w:t>
            </w:r>
          </w:p>
        </w:tc>
      </w:tr>
      <w:tr>
        <w:tblPrEx>
          <w:tblCellMar>
            <w:top w:w="0" w:type="dxa"/>
            <w:left w:w="108" w:type="dxa"/>
            <w:bottom w:w="0" w:type="dxa"/>
            <w:right w:w="108" w:type="dxa"/>
          </w:tblCellMar>
        </w:tblPrEx>
        <w:trPr>
          <w:trHeight w:val="405" w:hRule="atLeast"/>
        </w:trPr>
        <w:tc>
          <w:tcPr>
            <w:tcW w:w="3716"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67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92" w:type="dxa"/>
            <w:tcBorders>
              <w:top w:val="nil"/>
              <w:left w:val="nil"/>
              <w:bottom w:val="nil"/>
              <w:right w:val="nil"/>
            </w:tcBorders>
            <w:shd w:val="clear" w:color="auto" w:fill="auto"/>
            <w:noWrap/>
            <w:vAlign w:val="bottom"/>
          </w:tcPr>
          <w:p>
            <w:pPr>
              <w:widowControl/>
              <w:jc w:val="right"/>
              <w:rPr>
                <w:rFonts w:ascii="Calibri" w:hAnsi="Calibri" w:cs="Arial"/>
                <w:color w:val="000000"/>
                <w:kern w:val="0"/>
                <w:sz w:val="20"/>
                <w:szCs w:val="20"/>
              </w:rPr>
            </w:pPr>
            <w:r>
              <w:rPr>
                <w:rFonts w:ascii="Calibri" w:hAnsi="Calibri" w:cs="Arial"/>
                <w:color w:val="000000"/>
                <w:kern w:val="0"/>
                <w:sz w:val="20"/>
                <w:szCs w:val="20"/>
              </w:rPr>
              <w:t>单位：万元</w:t>
            </w:r>
          </w:p>
        </w:tc>
      </w:tr>
      <w:tr>
        <w:tblPrEx>
          <w:tblCellMar>
            <w:top w:w="0" w:type="dxa"/>
            <w:left w:w="108" w:type="dxa"/>
            <w:bottom w:w="0" w:type="dxa"/>
            <w:right w:w="108" w:type="dxa"/>
          </w:tblCellMar>
        </w:tblPrEx>
        <w:trPr>
          <w:trHeight w:val="405" w:hRule="atLeast"/>
        </w:trPr>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经济分类科目编码</w:t>
            </w:r>
          </w:p>
        </w:tc>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经济分类科目名称</w:t>
            </w:r>
          </w:p>
        </w:tc>
        <w:tc>
          <w:tcPr>
            <w:tcW w:w="4622"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2020年预算</w:t>
            </w:r>
          </w:p>
        </w:tc>
      </w:tr>
      <w:tr>
        <w:tblPrEx>
          <w:tblCellMar>
            <w:top w:w="0" w:type="dxa"/>
            <w:left w:w="108" w:type="dxa"/>
            <w:bottom w:w="0" w:type="dxa"/>
            <w:right w:w="108" w:type="dxa"/>
          </w:tblCellMar>
        </w:tblPrEx>
        <w:trPr>
          <w:trHeight w:val="405" w:hRule="atLeast"/>
        </w:trPr>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18"/>
                <w:szCs w:val="18"/>
              </w:rPr>
            </w:pPr>
          </w:p>
        </w:tc>
        <w:tc>
          <w:tcPr>
            <w:tcW w:w="2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67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人员经费</w:t>
            </w:r>
          </w:p>
        </w:tc>
        <w:tc>
          <w:tcPr>
            <w:tcW w:w="139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公用经费</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22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  计</w:t>
            </w:r>
          </w:p>
        </w:tc>
        <w:tc>
          <w:tcPr>
            <w:tcW w:w="16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55,288.41</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41,428.05</w:t>
            </w:r>
          </w:p>
        </w:tc>
        <w:tc>
          <w:tcPr>
            <w:tcW w:w="1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13,860.36</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工资福利支出</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37,090.23</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37,090.23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基本工资</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8,003.51</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8,003.51</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津贴补贴</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16,691.90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16,691.90</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30103</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奖金</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2,095.22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2,095.22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30107</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绩效工资</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64.29</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64.29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30108</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机关事业单位基本养老保险缴费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3,183.35</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30109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职业年金缴费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1,591.68</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30110</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职工基本医疗保险缴费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2,523.33</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2,523.33</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30112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其他社会保障缴费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21.49</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21.49</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30113</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2,915.46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商品和服务支出</w:t>
            </w:r>
          </w:p>
        </w:tc>
        <w:tc>
          <w:tcPr>
            <w:tcW w:w="167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13,690.36</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13,690.36</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办公费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92.62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92.62</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印刷费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30203</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咨询费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30204</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手续费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30205</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水费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30206</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电费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107.00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30207</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邮电费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33.00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30208</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取暖费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720.58</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720.58</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30209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物业管理费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383.42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383.42</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差旅费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116.50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116.50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因公出国（境）费用</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30213</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维修（护）费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92.50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92.50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30214</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租赁费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32.85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32.85</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30216</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培训费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62.28</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62.28</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30217</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公务接待费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30227</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委托业务费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30228</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工会经费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362.20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362.20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30229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福利费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19.25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19.25</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30231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公务用车运行维护费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30239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其他交通费用</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1,569.95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1,569.95</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30299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其他商品和服务支出</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9,841.14</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9,841.14</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303</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4,337.82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4,337.82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30301</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离休费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303.06</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303.06</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30302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退休费</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3,117.27</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3,117.27</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30305</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生活补助</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266.47</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266.47</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30307</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医疗费补助</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651.02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651.02</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310</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资本性支出</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170.00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170.00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31002</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办公设备购置</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160.00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160.00</w:t>
            </w:r>
          </w:p>
        </w:tc>
      </w:tr>
      <w:tr>
        <w:tblPrEx>
          <w:tblCellMar>
            <w:top w:w="0" w:type="dxa"/>
            <w:left w:w="108" w:type="dxa"/>
            <w:bottom w:w="0" w:type="dxa"/>
            <w:right w:w="108" w:type="dxa"/>
          </w:tblCellMar>
        </w:tblPrEx>
        <w:trPr>
          <w:trHeight w:val="405" w:hRule="atLeast"/>
        </w:trPr>
        <w:tc>
          <w:tcPr>
            <w:tcW w:w="1476"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31019</w:t>
            </w:r>
          </w:p>
        </w:tc>
        <w:tc>
          <w:tcPr>
            <w:tcW w:w="22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其他交通工具购置</w:t>
            </w:r>
          </w:p>
        </w:tc>
        <w:tc>
          <w:tcPr>
            <w:tcW w:w="167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10.00</w:t>
            </w:r>
          </w:p>
        </w:tc>
      </w:tr>
    </w:tbl>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tbl>
      <w:tblPr>
        <w:tblStyle w:val="7"/>
        <w:tblW w:w="8368" w:type="dxa"/>
        <w:tblInd w:w="0" w:type="dxa"/>
        <w:tblLayout w:type="autofit"/>
        <w:tblCellMar>
          <w:top w:w="0" w:type="dxa"/>
          <w:left w:w="108" w:type="dxa"/>
          <w:bottom w:w="0" w:type="dxa"/>
          <w:right w:w="108" w:type="dxa"/>
        </w:tblCellMar>
      </w:tblPr>
      <w:tblGrid>
        <w:gridCol w:w="1160"/>
        <w:gridCol w:w="2526"/>
        <w:gridCol w:w="1563"/>
        <w:gridCol w:w="1560"/>
        <w:gridCol w:w="1559"/>
      </w:tblGrid>
      <w:tr>
        <w:tblPrEx>
          <w:tblCellMar>
            <w:top w:w="0" w:type="dxa"/>
            <w:left w:w="108" w:type="dxa"/>
            <w:bottom w:w="0" w:type="dxa"/>
            <w:right w:w="108" w:type="dxa"/>
          </w:tblCellMar>
        </w:tblPrEx>
        <w:trPr>
          <w:trHeight w:val="555" w:hRule="atLeast"/>
        </w:trPr>
        <w:tc>
          <w:tcPr>
            <w:tcW w:w="8368" w:type="dxa"/>
            <w:gridSpan w:val="5"/>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2021年一般公共预算基本支出表（表7，政府经济分类）</w:t>
            </w:r>
          </w:p>
        </w:tc>
      </w:tr>
      <w:tr>
        <w:tblPrEx>
          <w:tblCellMar>
            <w:top w:w="0" w:type="dxa"/>
            <w:left w:w="108" w:type="dxa"/>
            <w:bottom w:w="0" w:type="dxa"/>
            <w:right w:w="108" w:type="dxa"/>
          </w:tblCellMar>
        </w:tblPrEx>
        <w:trPr>
          <w:trHeight w:val="405" w:hRule="atLeast"/>
        </w:trPr>
        <w:tc>
          <w:tcPr>
            <w:tcW w:w="3686"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563"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56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276" w:hRule="atLeast"/>
        </w:trPr>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政府经济分类科目编码</w:t>
            </w:r>
          </w:p>
        </w:tc>
        <w:tc>
          <w:tcPr>
            <w:tcW w:w="2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政府经济分类科目名称</w:t>
            </w:r>
          </w:p>
        </w:tc>
        <w:tc>
          <w:tcPr>
            <w:tcW w:w="4682"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2021年预算</w:t>
            </w:r>
          </w:p>
        </w:tc>
      </w:tr>
      <w:tr>
        <w:tblPrEx>
          <w:tblCellMar>
            <w:top w:w="0" w:type="dxa"/>
            <w:left w:w="108" w:type="dxa"/>
            <w:bottom w:w="0" w:type="dxa"/>
            <w:right w:w="108" w:type="dxa"/>
          </w:tblCellMar>
        </w:tblPrEx>
        <w:trPr>
          <w:trHeight w:val="365" w:hRule="atLeast"/>
        </w:trPr>
        <w:tc>
          <w:tcPr>
            <w:tcW w:w="11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25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5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15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人员经费</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公用经费</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55,288.41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41,428.05</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13,860.36</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501</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机关工资福利支出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36,939.03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36,939.03</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01</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工资奖金津补贴</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26,746.46</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26,746.46</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02</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社会保障缴费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7,289.71</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7,289.71</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03</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住房公积金</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2,902.86</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2,902.86</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502</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机关商品和服务支出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13,659.88</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13,659.88</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01</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办公经费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3,468.66</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3,468.66</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03</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培训费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62.28</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62.28</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05</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委托业务费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06</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公务接待费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07</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因公出国(境)费用</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08</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公务用车运行维护费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09</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维修（护）费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92.50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92.50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99</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其他商品和服务支出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9,819.37</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9,819.37</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503</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机关资本性支出（一）</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170.00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06</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设备购置</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160.00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99</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其他资本性支出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10.00</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505</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对事业单位经常性补助</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181.68</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151.20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01</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工资福利支出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151.20</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151.20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02</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商品和服务支出</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30.48</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509</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对个人和家庭的补助</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4,337.82</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4,337.82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405"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01</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社会福利和救助</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917.49</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917.49</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CellMar>
            <w:top w:w="0" w:type="dxa"/>
            <w:left w:w="108" w:type="dxa"/>
            <w:bottom w:w="0" w:type="dxa"/>
            <w:right w:w="108" w:type="dxa"/>
          </w:tblCellMar>
        </w:tblPrEx>
        <w:trPr>
          <w:trHeight w:val="131" w:hRule="atLeast"/>
        </w:trPr>
        <w:tc>
          <w:tcPr>
            <w:tcW w:w="11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05</w:t>
            </w:r>
          </w:p>
        </w:tc>
        <w:tc>
          <w:tcPr>
            <w:tcW w:w="252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离退休费</w:t>
            </w:r>
          </w:p>
        </w:tc>
        <w:tc>
          <w:tcPr>
            <w:tcW w:w="15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3,420.33</w:t>
            </w:r>
          </w:p>
        </w:tc>
        <w:tc>
          <w:tcPr>
            <w:tcW w:w="15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3,420.33</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黑体" w:eastAsia="黑体"/>
          <w:b/>
          <w:sz w:val="30"/>
          <w:szCs w:val="30"/>
        </w:rPr>
        <w:sectPr>
          <w:pgSz w:w="11906" w:h="16838"/>
          <w:pgMar w:top="2098" w:right="1474" w:bottom="1984" w:left="1587" w:header="851" w:footer="992" w:gutter="0"/>
          <w:cols w:space="720" w:num="1"/>
          <w:docGrid w:type="lines" w:linePitch="312" w:charSpace="0"/>
        </w:sectPr>
      </w:pPr>
    </w:p>
    <w:p>
      <w:pPr>
        <w:rPr>
          <w:rFonts w:ascii="黑体" w:eastAsia="黑体"/>
          <w:b/>
          <w:sz w:val="30"/>
          <w:szCs w:val="30"/>
        </w:rPr>
      </w:pPr>
    </w:p>
    <w:tbl>
      <w:tblPr>
        <w:tblStyle w:val="7"/>
        <w:tblW w:w="12355" w:type="dxa"/>
        <w:tblInd w:w="0" w:type="dxa"/>
        <w:tblLayout w:type="autofit"/>
        <w:tblCellMar>
          <w:top w:w="0" w:type="dxa"/>
          <w:left w:w="108" w:type="dxa"/>
          <w:bottom w:w="0" w:type="dxa"/>
          <w:right w:w="108" w:type="dxa"/>
        </w:tblCellMar>
      </w:tblPr>
      <w:tblGrid>
        <w:gridCol w:w="2410"/>
        <w:gridCol w:w="1851"/>
        <w:gridCol w:w="1134"/>
        <w:gridCol w:w="1740"/>
        <w:gridCol w:w="1740"/>
        <w:gridCol w:w="1740"/>
        <w:gridCol w:w="1740"/>
      </w:tblGrid>
      <w:tr>
        <w:tblPrEx>
          <w:tblCellMar>
            <w:top w:w="0" w:type="dxa"/>
            <w:left w:w="108" w:type="dxa"/>
            <w:bottom w:w="0" w:type="dxa"/>
            <w:right w:w="108" w:type="dxa"/>
          </w:tblCellMar>
        </w:tblPrEx>
        <w:trPr>
          <w:trHeight w:val="645" w:hRule="atLeast"/>
        </w:trPr>
        <w:tc>
          <w:tcPr>
            <w:tcW w:w="12355" w:type="dxa"/>
            <w:gridSpan w:val="7"/>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2021年政府性基金预算支出表（表8）</w:t>
            </w:r>
          </w:p>
        </w:tc>
      </w:tr>
      <w:tr>
        <w:tblPrEx>
          <w:tblCellMar>
            <w:top w:w="0" w:type="dxa"/>
            <w:left w:w="108" w:type="dxa"/>
            <w:bottom w:w="0" w:type="dxa"/>
            <w:right w:w="108" w:type="dxa"/>
          </w:tblCellMar>
        </w:tblPrEx>
        <w:trPr>
          <w:trHeight w:val="270" w:hRule="atLeast"/>
        </w:trPr>
        <w:tc>
          <w:tcPr>
            <w:tcW w:w="4261"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134"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7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74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740"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74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285" w:hRule="atLeast"/>
        </w:trPr>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功能分类科目编码</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功能分类科目名称</w:t>
            </w:r>
          </w:p>
        </w:tc>
        <w:tc>
          <w:tcPr>
            <w:tcW w:w="8094" w:type="dxa"/>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2021年预算</w:t>
            </w:r>
          </w:p>
        </w:tc>
      </w:tr>
      <w:tr>
        <w:tblPrEx>
          <w:tblCellMar>
            <w:top w:w="0" w:type="dxa"/>
            <w:left w:w="108" w:type="dxa"/>
            <w:bottom w:w="0" w:type="dxa"/>
            <w:right w:w="108" w:type="dxa"/>
          </w:tblCellMar>
        </w:tblPrEx>
        <w:trPr>
          <w:trHeight w:val="285" w:hRule="atLeast"/>
        </w:trPr>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134" w:type="dxa"/>
            <w:vMerge w:val="restart"/>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34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基本支出</w:t>
            </w:r>
          </w:p>
        </w:tc>
        <w:tc>
          <w:tcPr>
            <w:tcW w:w="348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项目支出</w:t>
            </w:r>
          </w:p>
        </w:tc>
      </w:tr>
      <w:tr>
        <w:tblPrEx>
          <w:tblCellMar>
            <w:top w:w="0" w:type="dxa"/>
            <w:left w:w="108" w:type="dxa"/>
            <w:bottom w:w="0" w:type="dxa"/>
            <w:right w:w="108" w:type="dxa"/>
          </w:tblCellMar>
        </w:tblPrEx>
        <w:trPr>
          <w:trHeight w:val="315" w:hRule="atLeast"/>
        </w:trPr>
        <w:tc>
          <w:tcPr>
            <w:tcW w:w="241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134" w:type="dxa"/>
            <w:vMerge w:val="continue"/>
            <w:tcBorders>
              <w:top w:val="nil"/>
              <w:left w:val="nil"/>
              <w:bottom w:val="nil"/>
              <w:right w:val="nil"/>
            </w:tcBorders>
            <w:vAlign w:val="center"/>
          </w:tcPr>
          <w:p>
            <w:pPr>
              <w:widowControl/>
              <w:jc w:val="left"/>
              <w:rPr>
                <w:rFonts w:ascii="宋体" w:hAnsi="宋体" w:cs="Arial"/>
                <w:b/>
                <w:bCs/>
                <w:color w:val="000000"/>
                <w:kern w:val="0"/>
                <w:sz w:val="22"/>
                <w:szCs w:val="22"/>
              </w:rPr>
            </w:pPr>
          </w:p>
        </w:tc>
        <w:tc>
          <w:tcPr>
            <w:tcW w:w="174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人员经费</w:t>
            </w:r>
          </w:p>
        </w:tc>
        <w:tc>
          <w:tcPr>
            <w:tcW w:w="1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公用经费</w:t>
            </w:r>
          </w:p>
        </w:tc>
        <w:tc>
          <w:tcPr>
            <w:tcW w:w="1740"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其他运转类</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特定目标累</w:t>
            </w:r>
          </w:p>
        </w:tc>
      </w:tr>
      <w:tr>
        <w:tblPrEx>
          <w:tblCellMar>
            <w:top w:w="0" w:type="dxa"/>
            <w:left w:w="108" w:type="dxa"/>
            <w:bottom w:w="0" w:type="dxa"/>
            <w:right w:w="108" w:type="dxa"/>
          </w:tblCellMar>
        </w:tblPrEx>
        <w:trPr>
          <w:trHeight w:val="540" w:hRule="atLeast"/>
        </w:trPr>
        <w:tc>
          <w:tcPr>
            <w:tcW w:w="241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85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bl>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tbl>
      <w:tblPr>
        <w:tblStyle w:val="7"/>
        <w:tblW w:w="11199" w:type="dxa"/>
        <w:tblInd w:w="0" w:type="dxa"/>
        <w:tblLayout w:type="autofit"/>
        <w:tblCellMar>
          <w:top w:w="0" w:type="dxa"/>
          <w:left w:w="108" w:type="dxa"/>
          <w:bottom w:w="0" w:type="dxa"/>
          <w:right w:w="108" w:type="dxa"/>
        </w:tblCellMar>
      </w:tblPr>
      <w:tblGrid>
        <w:gridCol w:w="2460"/>
        <w:gridCol w:w="1793"/>
        <w:gridCol w:w="1701"/>
        <w:gridCol w:w="1843"/>
        <w:gridCol w:w="1559"/>
        <w:gridCol w:w="1843"/>
      </w:tblGrid>
      <w:tr>
        <w:tblPrEx>
          <w:tblCellMar>
            <w:top w:w="0" w:type="dxa"/>
            <w:left w:w="108" w:type="dxa"/>
            <w:bottom w:w="0" w:type="dxa"/>
            <w:right w:w="108" w:type="dxa"/>
          </w:tblCellMar>
        </w:tblPrEx>
        <w:trPr>
          <w:trHeight w:val="330" w:hRule="atLeast"/>
        </w:trPr>
        <w:tc>
          <w:tcPr>
            <w:tcW w:w="11199" w:type="dxa"/>
            <w:gridSpan w:val="6"/>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2021年单位“三公”经费预算表（表9）</w:t>
            </w:r>
          </w:p>
        </w:tc>
      </w:tr>
      <w:tr>
        <w:tblPrEx>
          <w:tblCellMar>
            <w:top w:w="0" w:type="dxa"/>
            <w:left w:w="108" w:type="dxa"/>
            <w:bottom w:w="0" w:type="dxa"/>
            <w:right w:w="108" w:type="dxa"/>
          </w:tblCellMar>
        </w:tblPrEx>
        <w:trPr>
          <w:trHeight w:val="345" w:hRule="atLeast"/>
        </w:trPr>
        <w:tc>
          <w:tcPr>
            <w:tcW w:w="4253" w:type="dxa"/>
            <w:gridSpan w:val="2"/>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预算单位:125-青岛市司法局部门</w:t>
            </w:r>
          </w:p>
        </w:tc>
        <w:tc>
          <w:tcPr>
            <w:tcW w:w="170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84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3"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720" w:hRule="atLeast"/>
        </w:trPr>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单位名称</w:t>
            </w:r>
          </w:p>
        </w:tc>
        <w:tc>
          <w:tcPr>
            <w:tcW w:w="8739"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当年通过所有财政拨款安排的“三公”经费预算</w:t>
            </w:r>
          </w:p>
        </w:tc>
      </w:tr>
      <w:tr>
        <w:tblPrEx>
          <w:tblCellMar>
            <w:top w:w="0" w:type="dxa"/>
            <w:left w:w="108" w:type="dxa"/>
            <w:bottom w:w="0" w:type="dxa"/>
            <w:right w:w="108" w:type="dxa"/>
          </w:tblCellMar>
        </w:tblPrEx>
        <w:trPr>
          <w:trHeight w:val="495" w:hRule="atLeast"/>
        </w:trPr>
        <w:tc>
          <w:tcPr>
            <w:tcW w:w="24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p>
        </w:tc>
        <w:tc>
          <w:tcPr>
            <w:tcW w:w="179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合计</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因公出国（境）费</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公务接待费</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公务用车购置费</w:t>
            </w:r>
          </w:p>
        </w:tc>
        <w:tc>
          <w:tcPr>
            <w:tcW w:w="184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公务用车运行维护费</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 计</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213.07</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青岛市司法局部门</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213.07</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23.72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179.55</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青岛市司法局</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41.36</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9.80</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4.20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27.36</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山东省北墅监狱</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58.68</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51.68</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山东省青岛监狱</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67.76</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10.00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57.76</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青岛市强制隔离戒毒所</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41.62</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2.10</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39.52</w:t>
            </w:r>
          </w:p>
        </w:tc>
      </w:tr>
      <w:tr>
        <w:tblPrEx>
          <w:tblCellMar>
            <w:top w:w="0" w:type="dxa"/>
            <w:left w:w="108" w:type="dxa"/>
            <w:bottom w:w="0" w:type="dxa"/>
            <w:right w:w="108" w:type="dxa"/>
          </w:tblCellMar>
        </w:tblPrEx>
        <w:trPr>
          <w:trHeight w:val="549" w:hRule="atLeast"/>
        </w:trPr>
        <w:tc>
          <w:tcPr>
            <w:tcW w:w="24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青岛市法律援助中心</w:t>
            </w:r>
          </w:p>
        </w:tc>
        <w:tc>
          <w:tcPr>
            <w:tcW w:w="179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3.65</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0.42</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4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3.23</w:t>
            </w:r>
          </w:p>
        </w:tc>
      </w:tr>
      <w:tr>
        <w:tblPrEx>
          <w:tblCellMar>
            <w:top w:w="0" w:type="dxa"/>
            <w:left w:w="108" w:type="dxa"/>
            <w:bottom w:w="0" w:type="dxa"/>
            <w:right w:w="108" w:type="dxa"/>
          </w:tblCellMar>
        </w:tblPrEx>
        <w:trPr>
          <w:trHeight w:val="1710" w:hRule="atLeast"/>
        </w:trPr>
        <w:tc>
          <w:tcPr>
            <w:tcW w:w="11199" w:type="dxa"/>
            <w:gridSpan w:val="6"/>
            <w:tcBorders>
              <w:top w:val="nil"/>
              <w:left w:val="nil"/>
              <w:bottom w:val="nil"/>
              <w:right w:val="nil"/>
            </w:tcBorders>
            <w:shd w:val="clear" w:color="auto" w:fill="auto"/>
            <w:vAlign w:val="center"/>
          </w:tcPr>
          <w:p>
            <w:pPr>
              <w:widowControl/>
              <w:jc w:val="left"/>
              <w:rPr>
                <w:rFonts w:ascii="宋体" w:hAnsi="宋体" w:cs="Arial"/>
                <w:color w:val="000000"/>
                <w:kern w:val="0"/>
                <w:sz w:val="20"/>
                <w:szCs w:val="20"/>
              </w:rPr>
            </w:pPr>
          </w:p>
          <w:p>
            <w:pPr>
              <w:widowControl/>
              <w:jc w:val="left"/>
              <w:rPr>
                <w:rFonts w:ascii="宋体" w:hAnsi="宋体" w:cs="Arial"/>
                <w:color w:val="000000"/>
                <w:kern w:val="0"/>
                <w:sz w:val="20"/>
                <w:szCs w:val="20"/>
              </w:rPr>
            </w:pPr>
            <w:r>
              <w:rPr>
                <w:rFonts w:hint="eastAsia" w:ascii="宋体" w:hAnsi="宋体" w:cs="Arial"/>
                <w:color w:val="000000"/>
                <w:kern w:val="0"/>
                <w:sz w:val="20"/>
                <w:szCs w:val="20"/>
              </w:rPr>
              <w:t>注释：1.因公出国（境）费用反映单位公务出国（境）的国际旅费、国外城市间交通费、住宿费、伙食费、培训费、公杂费等支出。</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      2.公务接待费反映单位按规定开支的各类公务接待（含外宾接待）费用。  </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      3.公务用车购置反映公务用车购置支出（含车辆购置税、牌照费）。</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      4.公务用车运行维护费反映单位按规定保留的公务用车燃料费、维修费、过路过桥费、保险费、安全奖励费用等支出。</w:t>
            </w:r>
            <w:r>
              <w:rPr>
                <w:rFonts w:hint="eastAsia" w:ascii="宋体" w:hAnsi="宋体" w:cs="Arial"/>
                <w:color w:val="000000"/>
                <w:kern w:val="0"/>
                <w:sz w:val="20"/>
                <w:szCs w:val="20"/>
              </w:rPr>
              <w:br w:type="textWrapping"/>
            </w:r>
            <w:r>
              <w:rPr>
                <w:rFonts w:hint="eastAsia" w:ascii="宋体" w:hAnsi="宋体" w:cs="Arial"/>
                <w:color w:val="000000"/>
                <w:kern w:val="0"/>
                <w:sz w:val="20"/>
                <w:szCs w:val="20"/>
              </w:rPr>
              <w:t xml:space="preserve">      5.本部门“三公”经费增减变化情况、主要原因及其他需要说明的事项：</w:t>
            </w:r>
          </w:p>
        </w:tc>
      </w:tr>
    </w:tbl>
    <w:p>
      <w:pPr>
        <w:rPr>
          <w:rFonts w:ascii="黑体" w:eastAsia="黑体"/>
          <w:b/>
          <w:sz w:val="30"/>
          <w:szCs w:val="30"/>
        </w:rPr>
        <w:sectPr>
          <w:pgSz w:w="16838" w:h="11906" w:orient="landscape"/>
          <w:pgMar w:top="1587" w:right="2098" w:bottom="1474" w:left="1984" w:header="851" w:footer="992" w:gutter="0"/>
          <w:cols w:space="720" w:num="1"/>
          <w:docGrid w:type="lines" w:linePitch="312" w:charSpace="0"/>
        </w:sectPr>
      </w:pPr>
    </w:p>
    <w:tbl>
      <w:tblPr>
        <w:tblStyle w:val="7"/>
        <w:tblW w:w="19578" w:type="dxa"/>
        <w:tblInd w:w="0" w:type="dxa"/>
        <w:tblLayout w:type="fixed"/>
        <w:tblCellMar>
          <w:top w:w="0" w:type="dxa"/>
          <w:left w:w="108" w:type="dxa"/>
          <w:bottom w:w="0" w:type="dxa"/>
          <w:right w:w="108" w:type="dxa"/>
        </w:tblCellMar>
      </w:tblPr>
      <w:tblGrid>
        <w:gridCol w:w="567"/>
        <w:gridCol w:w="555"/>
        <w:gridCol w:w="1300"/>
        <w:gridCol w:w="992"/>
        <w:gridCol w:w="1194"/>
        <w:gridCol w:w="709"/>
        <w:gridCol w:w="1074"/>
        <w:gridCol w:w="1122"/>
        <w:gridCol w:w="1345"/>
        <w:gridCol w:w="1018"/>
        <w:gridCol w:w="540"/>
        <w:gridCol w:w="576"/>
        <w:gridCol w:w="576"/>
        <w:gridCol w:w="576"/>
        <w:gridCol w:w="936"/>
        <w:gridCol w:w="1020"/>
        <w:gridCol w:w="936"/>
        <w:gridCol w:w="1077"/>
        <w:gridCol w:w="708"/>
        <w:gridCol w:w="960"/>
        <w:gridCol w:w="767"/>
        <w:gridCol w:w="1030"/>
      </w:tblGrid>
      <w:tr>
        <w:tblPrEx>
          <w:tblCellMar>
            <w:top w:w="0" w:type="dxa"/>
            <w:left w:w="108" w:type="dxa"/>
            <w:bottom w:w="0" w:type="dxa"/>
            <w:right w:w="108" w:type="dxa"/>
          </w:tblCellMar>
        </w:tblPrEx>
        <w:trPr>
          <w:trHeight w:val="780" w:hRule="atLeast"/>
        </w:trPr>
        <w:tc>
          <w:tcPr>
            <w:tcW w:w="19578" w:type="dxa"/>
            <w:gridSpan w:val="22"/>
            <w:tcBorders>
              <w:top w:val="nil"/>
              <w:left w:val="nil"/>
              <w:bottom w:val="nil"/>
              <w:right w:val="nil"/>
            </w:tcBorders>
            <w:shd w:val="clear" w:color="auto" w:fill="auto"/>
            <w:noWrap/>
            <w:vAlign w:val="center"/>
          </w:tcPr>
          <w:p>
            <w:pPr>
              <w:widowControl/>
              <w:jc w:val="center"/>
              <w:rPr>
                <w:rFonts w:ascii="宋体" w:hAnsi="宋体" w:cs="Arial"/>
                <w:b/>
                <w:bCs/>
                <w:color w:val="000000"/>
                <w:kern w:val="0"/>
                <w:sz w:val="40"/>
                <w:szCs w:val="40"/>
              </w:rPr>
            </w:pPr>
            <w:r>
              <w:rPr>
                <w:rFonts w:hint="eastAsia" w:ascii="宋体" w:hAnsi="宋体" w:cs="Arial"/>
                <w:b/>
                <w:bCs/>
                <w:color w:val="000000"/>
                <w:kern w:val="0"/>
                <w:sz w:val="40"/>
                <w:szCs w:val="40"/>
              </w:rPr>
              <w:t>2021年政府采购预算表</w:t>
            </w:r>
          </w:p>
        </w:tc>
      </w:tr>
      <w:tr>
        <w:tblPrEx>
          <w:tblCellMar>
            <w:top w:w="0" w:type="dxa"/>
            <w:left w:w="108" w:type="dxa"/>
            <w:bottom w:w="0" w:type="dxa"/>
            <w:right w:w="108" w:type="dxa"/>
          </w:tblCellMar>
        </w:tblPrEx>
        <w:trPr>
          <w:trHeight w:val="330" w:hRule="atLeast"/>
        </w:trPr>
        <w:tc>
          <w:tcPr>
            <w:tcW w:w="567" w:type="dxa"/>
            <w:tcBorders>
              <w:top w:val="nil"/>
              <w:left w:val="nil"/>
              <w:bottom w:val="nil"/>
              <w:right w:val="nil"/>
            </w:tcBorders>
            <w:shd w:val="clear" w:color="auto" w:fill="auto"/>
            <w:noWrap/>
            <w:vAlign w:val="bottom"/>
          </w:tcPr>
          <w:p>
            <w:pPr>
              <w:widowControl/>
              <w:jc w:val="center"/>
              <w:rPr>
                <w:rFonts w:ascii="宋体" w:hAnsi="宋体" w:cs="Arial"/>
                <w:b/>
                <w:bCs/>
                <w:color w:val="000000"/>
                <w:kern w:val="0"/>
                <w:sz w:val="40"/>
                <w:szCs w:val="40"/>
              </w:rPr>
            </w:pPr>
          </w:p>
        </w:tc>
        <w:tc>
          <w:tcPr>
            <w:tcW w:w="55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0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992"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709"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074"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122"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345"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018"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540"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576"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576"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576"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936" w:type="dxa"/>
            <w:tcBorders>
              <w:top w:val="nil"/>
              <w:left w:val="nil"/>
              <w:bottom w:val="nil"/>
              <w:right w:val="nil"/>
            </w:tcBorders>
            <w:shd w:val="clear" w:color="auto" w:fill="auto"/>
            <w:noWrap/>
            <w:vAlign w:val="bottom"/>
          </w:tcPr>
          <w:p>
            <w:pPr>
              <w:widowControl/>
              <w:jc w:val="center"/>
              <w:rPr>
                <w:rFonts w:eastAsia="Times New Roman"/>
                <w:kern w:val="0"/>
                <w:sz w:val="20"/>
                <w:szCs w:val="20"/>
              </w:rPr>
            </w:pPr>
          </w:p>
        </w:tc>
        <w:tc>
          <w:tcPr>
            <w:tcW w:w="1020"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936"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077"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708"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960"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767" w:type="dxa"/>
            <w:tcBorders>
              <w:top w:val="nil"/>
              <w:left w:val="nil"/>
              <w:bottom w:val="nil"/>
              <w:right w:val="nil"/>
            </w:tcBorders>
            <w:shd w:val="clear" w:color="auto" w:fill="auto"/>
            <w:noWrap/>
            <w:vAlign w:val="bottom"/>
          </w:tcPr>
          <w:p>
            <w:pPr>
              <w:widowControl/>
              <w:jc w:val="right"/>
              <w:rPr>
                <w:rFonts w:eastAsia="Times New Roman"/>
                <w:kern w:val="0"/>
                <w:sz w:val="20"/>
                <w:szCs w:val="20"/>
              </w:rPr>
            </w:pPr>
          </w:p>
        </w:tc>
        <w:tc>
          <w:tcPr>
            <w:tcW w:w="1030" w:type="dxa"/>
            <w:tcBorders>
              <w:top w:val="nil"/>
              <w:left w:val="nil"/>
              <w:bottom w:val="nil"/>
              <w:right w:val="nil"/>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CellMar>
            <w:top w:w="0" w:type="dxa"/>
            <w:left w:w="108" w:type="dxa"/>
            <w:bottom w:w="0" w:type="dxa"/>
            <w:right w:w="108" w:type="dxa"/>
          </w:tblCellMar>
        </w:tblPrEx>
        <w:trPr>
          <w:trHeight w:val="300" w:hRule="atLeast"/>
        </w:trPr>
        <w:tc>
          <w:tcPr>
            <w:tcW w:w="1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功能科目编码</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支出项目名称</w:t>
            </w:r>
          </w:p>
        </w:tc>
        <w:tc>
          <w:tcPr>
            <w:tcW w:w="19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政府经济分类科目</w:t>
            </w:r>
          </w:p>
        </w:tc>
        <w:tc>
          <w:tcPr>
            <w:tcW w:w="21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采 购 项 目</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规格要求</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参考单价</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数量 </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计量单位</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是否标准类资产（是或否）</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是否专门预留给中小企业</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专门预留给中小企业金额</w:t>
            </w:r>
          </w:p>
        </w:tc>
        <w:tc>
          <w:tcPr>
            <w:tcW w:w="5468" w:type="dxa"/>
            <w:gridSpan w:val="6"/>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资金来源</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备注</w:t>
            </w:r>
          </w:p>
        </w:tc>
      </w:tr>
      <w:tr>
        <w:tblPrEx>
          <w:tblCellMar>
            <w:top w:w="0" w:type="dxa"/>
            <w:left w:w="108" w:type="dxa"/>
            <w:bottom w:w="0" w:type="dxa"/>
            <w:right w:w="108" w:type="dxa"/>
          </w:tblCellMar>
        </w:tblPrEx>
        <w:trPr>
          <w:trHeight w:val="300" w:hRule="atLeast"/>
        </w:trPr>
        <w:tc>
          <w:tcPr>
            <w:tcW w:w="112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90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政府预算资金</w:t>
            </w:r>
          </w:p>
        </w:tc>
        <w:tc>
          <w:tcPr>
            <w:tcW w:w="172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单位资金</w:t>
            </w:r>
          </w:p>
        </w:tc>
        <w:tc>
          <w:tcPr>
            <w:tcW w:w="10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300" w:hRule="atLeast"/>
        </w:trPr>
        <w:tc>
          <w:tcPr>
            <w:tcW w:w="567"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555"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9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名称</w:t>
            </w:r>
          </w:p>
        </w:tc>
        <w:tc>
          <w:tcPr>
            <w:tcW w:w="70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编码</w:t>
            </w:r>
          </w:p>
        </w:tc>
        <w:tc>
          <w:tcPr>
            <w:tcW w:w="107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名  称</w:t>
            </w:r>
          </w:p>
        </w:tc>
        <w:tc>
          <w:tcPr>
            <w:tcW w:w="112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品  目</w:t>
            </w: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2721"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一般公共预算安排</w:t>
            </w: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单位资金小计</w:t>
            </w:r>
          </w:p>
        </w:tc>
        <w:tc>
          <w:tcPr>
            <w:tcW w:w="767"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其他收入</w:t>
            </w:r>
          </w:p>
        </w:tc>
        <w:tc>
          <w:tcPr>
            <w:tcW w:w="10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525" w:hRule="atLeast"/>
        </w:trPr>
        <w:tc>
          <w:tcPr>
            <w:tcW w:w="5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5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7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2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1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9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一般公共预算小计</w:t>
            </w:r>
          </w:p>
        </w:tc>
        <w:tc>
          <w:tcPr>
            <w:tcW w:w="10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经费拨款(补助)</w:t>
            </w:r>
          </w:p>
        </w:tc>
        <w:tc>
          <w:tcPr>
            <w:tcW w:w="7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一般债券</w:t>
            </w:r>
          </w:p>
        </w:tc>
        <w:tc>
          <w:tcPr>
            <w:tcW w:w="96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6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2,301.29 </w:t>
            </w:r>
          </w:p>
        </w:tc>
        <w:tc>
          <w:tcPr>
            <w:tcW w:w="5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0.00 </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0.00 </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0.00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1,284.22 </w:t>
            </w:r>
          </w:p>
        </w:tc>
        <w:tc>
          <w:tcPr>
            <w:tcW w:w="1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3,364.87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2,937.87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2,937.87 </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0.00 </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427.00 </w:t>
            </w:r>
          </w:p>
        </w:tc>
        <w:tc>
          <w:tcPr>
            <w:tcW w:w="7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xml:space="preserve">427.00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1133.84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293.8</w:t>
            </w:r>
          </w:p>
        </w:tc>
        <w:tc>
          <w:tcPr>
            <w:tcW w:w="1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1272.55</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845.55</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845.55</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427</w:t>
            </w:r>
          </w:p>
        </w:tc>
        <w:tc>
          <w:tcPr>
            <w:tcW w:w="7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427</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物业管理服务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为监狱提供优质物业管理服务</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147.11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147.11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147.11</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147.11</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147.11</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车辆加油服务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公务用车加油</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车辆及其他运输机械租赁服务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C0403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为监狱干警职工提供上下班班车服务</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422.85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422.85</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422.85</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422.85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餐饮服务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C0702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为监狱干警职工提供餐饮服务</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146.69</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146.69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146.69</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146.69</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146.69</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机动车保险服务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C15040201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提供优质车辆保险服务</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便携式计算机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A02010105</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笔记本电脑</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0.7</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激光打印机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A0201060102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A4网络双面打印机</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0.17</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3.40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台式计算机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台式电脑（一体机）</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多功能一体机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打印一体机</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电梯</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A02051228</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办公楼客梯更新购置并安装</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监狱从企业未分配利润自筹资金</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维修（护）费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市内燃气管道铺设</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B021301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配套新增燃气管道、减压站等，并连接锅炉设备，缴纳配套天然气入网费、施工费</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167</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167.00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167.00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167.00</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监狱从企业未分配利润自筹资金</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工业锅炉</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A02050401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行政区增加2台燃气真空热水锅炉、配套循环水泵及管道等设备设施</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110.00</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[125003]山东省青岛监狱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监狱从企业未分配利润自筹资金</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其他资本性支出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装修工程</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B07</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狱内医院装修</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150.00</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150.00</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440.4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715.11</w:t>
            </w:r>
          </w:p>
        </w:tc>
        <w:tc>
          <w:tcPr>
            <w:tcW w:w="1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1328.11</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1328.11</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1328.11</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7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物业管理服务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车辆维修和保养服务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车辆加油服务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复印纸</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A090101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A4复印纸、A3复印纸</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箱</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3.91</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3.91</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3.91</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餐饮服务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C0702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警察职工工作餐管理费用</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车辆及其他运输机械租赁服务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C0403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公务车辆租赁</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50299</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车辆及其他运输机械租赁服务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C0403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备勤班车租赁</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多功能一体机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A3打印复印扫描一体机</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0.8</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多功能一体机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A4打印复印扫描一体机</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金属骨架为主的椅凳类</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A060301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办公椅，皮质，黑色，旋转椅</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0.14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把</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服务器</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塔式服务器至强铜牌3204*1/2*16G DDR4/3*2TB SATA/R530-8i/550W</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个</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扫描仪</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A0201060901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平板扫描仪虹光DSL670</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碎纸机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A02021101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便携式计算机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A02010105</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0.7</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罪犯改造经费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单证印刷服务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资料印刷费</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罪犯改造经费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单证印刷服务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育新报印刷费</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罪犯改造经费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教育资料印刷费等</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蔬菜</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A12021201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蔬菜</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0.17</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950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161.50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161.50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161.50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禽蛋</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A12040302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蛋类</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0.88</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105.60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105.60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105.60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畜禽肉</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A150107</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鸡肉等畜禽肉</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碾磨谷物及谷物加工品</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A150102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大米、小米等</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其他海水捕捞产品</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A12050399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鱼虾等海产品</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谷物细粉</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A150101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面粉</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畜禽肉</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A150107</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猪肉等</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07</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[125002]山东省北墅监狱</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罪犯生活费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社会福利和救助</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50901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植物油及其制品</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A150105</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食用油</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吨</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54.00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54.00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54.00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6.95</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6.95</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6.95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扫描仪</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A0201060901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台式计算机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2.75</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2.75</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2.75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复印纸</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A090101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0.9</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0.90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0.90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0.90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[125006]青岛市政府法制研究中心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商品和服务支出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50502</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579.2</w:t>
            </w:r>
          </w:p>
        </w:tc>
        <w:tc>
          <w:tcPr>
            <w:tcW w:w="5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139.06</w:t>
            </w:r>
          </w:p>
        </w:tc>
        <w:tc>
          <w:tcPr>
            <w:tcW w:w="1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601.46</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601.46</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601.46</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法制专项业务费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书籍、课本</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A05010101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机动车保险服务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C15040201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车辆维修和保养服务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车辆加油服务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复印纸</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A090101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0.8</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10.06</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10.06</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10.06</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惠企政策法律服务费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委托业务费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50205</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法律咨询服务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C080102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[125001]青岛市司法局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警用服装费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专用材料购置费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50204</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制服</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A07030101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476.2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476.20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476.20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476.20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141.3</w:t>
            </w:r>
          </w:p>
        </w:tc>
        <w:tc>
          <w:tcPr>
            <w:tcW w:w="5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5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127.3</w:t>
            </w:r>
          </w:p>
        </w:tc>
        <w:tc>
          <w:tcPr>
            <w:tcW w:w="1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149.3</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149.3</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149.3</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9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76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物业管理服务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C1204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79.00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车辆及其他运输机械租赁服务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C0403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互联网接入服务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C030102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车辆加油服务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车辆维修和保养服务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C050301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公用经费-分项定额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公务用车运行维护费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50208</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机动车保险服务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C15040201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复印纸</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A090101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针式打印机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A0201060104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不间断电源（UPS）</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A02061504</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激光打印机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A0201060102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液晶显示器</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A0201060401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空调机</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A0206180203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其他家具用具</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A0699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服务器</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A02010103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金属质柜类</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A060503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组</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0.40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公用经费-综合定额</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组合家具</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A0609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套</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1.60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强制隔离戒毒人员教育费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所政设施建设费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投影仪</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A020202</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所政设施建设费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其他基础软件</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A0201080199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所政设施建设费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扫描仪</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A0201060901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台</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08</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[125004]青岛市强制隔离戒毒所</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所政设施建设费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设备购置</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50306</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LED显示屏</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A020207</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599"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[125005]青岛市法律援助中心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[125005]青岛市法律援助中心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法律援助及12348业务费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复印纸</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A090101</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0.5</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是</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[125005]青岛市法律援助中心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法律援助及12348业务费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车辆及其他运输机械租赁服务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C0403</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0.3</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567"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204</w:t>
            </w:r>
          </w:p>
        </w:tc>
        <w:tc>
          <w:tcPr>
            <w:tcW w:w="5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06</w:t>
            </w:r>
          </w:p>
        </w:tc>
        <w:tc>
          <w:tcPr>
            <w:tcW w:w="1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[125005]青岛市法律援助中心</w:t>
            </w:r>
          </w:p>
        </w:tc>
        <w:tc>
          <w:tcPr>
            <w:tcW w:w="99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公共法律服务中心建设运行费</w:t>
            </w:r>
          </w:p>
        </w:tc>
        <w:tc>
          <w:tcPr>
            <w:tcW w:w="119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办公经费</w:t>
            </w:r>
          </w:p>
        </w:tc>
        <w:tc>
          <w:tcPr>
            <w:tcW w:w="7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50201</w:t>
            </w:r>
          </w:p>
        </w:tc>
        <w:tc>
          <w:tcPr>
            <w:tcW w:w="10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其他印刷服务</w:t>
            </w:r>
          </w:p>
        </w:tc>
        <w:tc>
          <w:tcPr>
            <w:tcW w:w="112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C08140199</w:t>
            </w:r>
          </w:p>
        </w:tc>
        <w:tc>
          <w:tcPr>
            <w:tcW w:w="134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0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w:t>
            </w:r>
          </w:p>
        </w:tc>
        <w:tc>
          <w:tcPr>
            <w:tcW w:w="5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批</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否</w:t>
            </w:r>
          </w:p>
        </w:tc>
        <w:tc>
          <w:tcPr>
            <w:tcW w:w="9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2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93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bl>
    <w:p>
      <w:pPr>
        <w:widowControl/>
        <w:rPr>
          <w:rFonts w:ascii="宋体" w:hAnsi="宋体" w:eastAsia="Times New Roman" w:cs="宋体"/>
          <w:kern w:val="0"/>
          <w:sz w:val="24"/>
          <w:szCs w:val="20"/>
        </w:rPr>
      </w:pPr>
    </w:p>
    <w:p>
      <w:pPr>
        <w:jc w:val="center"/>
        <w:rPr>
          <w:rFonts w:ascii="黑体" w:eastAsia="黑体"/>
          <w:b/>
          <w:sz w:val="30"/>
          <w:szCs w:val="30"/>
        </w:rPr>
        <w:sectPr>
          <w:pgSz w:w="23814" w:h="16839" w:orient="landscape"/>
          <w:pgMar w:top="1587" w:right="2098" w:bottom="1474" w:left="1984" w:header="851" w:footer="992" w:gutter="0"/>
          <w:cols w:space="720" w:num="1"/>
          <w:docGrid w:type="lines" w:linePitch="312" w:charSpace="0"/>
        </w:sect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r>
        <w:rPr>
          <w:rFonts w:hint="eastAsia" w:ascii="黑体" w:eastAsia="黑体"/>
          <w:sz w:val="52"/>
          <w:szCs w:val="52"/>
        </w:rPr>
        <w:t>第三部分</w:t>
      </w:r>
    </w:p>
    <w:p>
      <w:pPr>
        <w:rPr>
          <w:rFonts w:ascii="黑体" w:eastAsia="黑体"/>
          <w:sz w:val="52"/>
          <w:szCs w:val="52"/>
        </w:rPr>
      </w:pPr>
    </w:p>
    <w:p>
      <w:pPr>
        <w:rPr>
          <w:rFonts w:ascii="黑体" w:eastAsia="黑体"/>
          <w:sz w:val="52"/>
          <w:szCs w:val="52"/>
        </w:rPr>
      </w:pPr>
      <w:r>
        <w:rPr>
          <w:rFonts w:hint="eastAsia" w:ascii="黑体" w:eastAsia="黑体"/>
          <w:sz w:val="52"/>
          <w:szCs w:val="52"/>
        </w:rPr>
        <w:t xml:space="preserve"> </w:t>
      </w:r>
    </w:p>
    <w:p>
      <w:pPr>
        <w:rPr>
          <w:rFonts w:ascii="黑体" w:eastAsia="黑体"/>
          <w:sz w:val="52"/>
          <w:szCs w:val="52"/>
        </w:rPr>
      </w:pPr>
    </w:p>
    <w:p>
      <w:pPr>
        <w:rPr>
          <w:rFonts w:ascii="黑体" w:eastAsia="黑体"/>
          <w:sz w:val="52"/>
          <w:szCs w:val="52"/>
        </w:rPr>
      </w:pPr>
    </w:p>
    <w:p>
      <w:pPr>
        <w:ind w:left="277" w:leftChars="8" w:hanging="260" w:hangingChars="50"/>
        <w:jc w:val="center"/>
        <w:rPr>
          <w:rFonts w:ascii="黑体" w:eastAsia="黑体"/>
          <w:sz w:val="52"/>
          <w:szCs w:val="52"/>
        </w:rPr>
      </w:pPr>
      <w:r>
        <w:rPr>
          <w:rFonts w:hint="eastAsia" w:ascii="黑体" w:eastAsia="黑体"/>
          <w:sz w:val="52"/>
          <w:szCs w:val="52"/>
        </w:rPr>
        <w:t>202</w:t>
      </w:r>
      <w:r>
        <w:rPr>
          <w:rFonts w:ascii="黑体" w:eastAsia="黑体"/>
          <w:sz w:val="52"/>
          <w:szCs w:val="52"/>
        </w:rPr>
        <w:t>1</w:t>
      </w:r>
      <w:r>
        <w:rPr>
          <w:rFonts w:hint="eastAsia" w:ascii="黑体" w:eastAsia="黑体"/>
          <w:sz w:val="52"/>
          <w:szCs w:val="52"/>
        </w:rPr>
        <w:t>年部门预算情况和</w:t>
      </w:r>
    </w:p>
    <w:p>
      <w:pPr>
        <w:ind w:left="277" w:leftChars="8" w:hanging="260" w:hangingChars="50"/>
        <w:jc w:val="center"/>
        <w:rPr>
          <w:rFonts w:ascii="黑体" w:eastAsia="黑体"/>
          <w:sz w:val="52"/>
          <w:szCs w:val="52"/>
        </w:rPr>
      </w:pPr>
      <w:r>
        <w:rPr>
          <w:rFonts w:hint="eastAsia" w:ascii="黑体" w:eastAsia="黑体"/>
          <w:sz w:val="52"/>
          <w:szCs w:val="52"/>
        </w:rPr>
        <w:t>重要事项说明</w:t>
      </w:r>
    </w:p>
    <w:p>
      <w:pPr>
        <w:ind w:left="277" w:leftChars="8" w:hanging="260" w:hangingChars="50"/>
        <w:jc w:val="center"/>
        <w:rPr>
          <w:rFonts w:ascii="黑体" w:eastAsia="黑体"/>
          <w:sz w:val="52"/>
          <w:szCs w:val="52"/>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eastAsia="黑体"/>
          <w:sz w:val="32"/>
          <w:szCs w:val="32"/>
        </w:rPr>
      </w:pPr>
      <w:r>
        <w:rPr>
          <w:rFonts w:eastAsia="黑体"/>
          <w:sz w:val="32"/>
          <w:szCs w:val="32"/>
        </w:rPr>
        <w:t>一、2021年部门预算情况说明</w:t>
      </w:r>
    </w:p>
    <w:p>
      <w:pPr>
        <w:spacing w:line="580" w:lineRule="exact"/>
        <w:ind w:firstLine="640" w:firstLineChars="200"/>
        <w:rPr>
          <w:rFonts w:eastAsia="楷体_GB2312"/>
          <w:sz w:val="32"/>
          <w:szCs w:val="32"/>
        </w:rPr>
      </w:pPr>
      <w:r>
        <w:rPr>
          <w:rFonts w:eastAsia="楷体_GB2312"/>
          <w:sz w:val="32"/>
          <w:szCs w:val="32"/>
        </w:rPr>
        <w:t>（一）2021年收支预算总体情况说明</w:t>
      </w:r>
    </w:p>
    <w:p>
      <w:pPr>
        <w:spacing w:line="580" w:lineRule="exact"/>
        <w:ind w:firstLine="640" w:firstLineChars="200"/>
        <w:rPr>
          <w:rFonts w:eastAsia="仿宋_GB2312"/>
          <w:sz w:val="32"/>
          <w:szCs w:val="32"/>
        </w:rPr>
      </w:pPr>
      <w:r>
        <w:rPr>
          <w:rFonts w:eastAsia="仿宋_GB2312"/>
          <w:sz w:val="32"/>
          <w:szCs w:val="32"/>
        </w:rPr>
        <w:t>按照综合预算的原则，司法局单位收入包括：一般公共预算拨款收入、其他收入；支出包括：一般公共服务支出、公共安全支出、社会保障和就业支出、卫生健康支出、住房保障支出。</w:t>
      </w:r>
    </w:p>
    <w:p>
      <w:pPr>
        <w:spacing w:line="580" w:lineRule="exact"/>
        <w:ind w:firstLine="640" w:firstLineChars="200"/>
        <w:rPr>
          <w:rFonts w:eastAsia="仿宋_GB2312"/>
          <w:sz w:val="32"/>
          <w:szCs w:val="32"/>
        </w:rPr>
      </w:pPr>
      <w:r>
        <w:rPr>
          <w:rFonts w:eastAsia="仿宋_GB2312"/>
          <w:sz w:val="32"/>
          <w:szCs w:val="32"/>
        </w:rPr>
        <w:t>2021年收入预算为72485.37万元，其中，财政拨款60688.73万元，占83.73%；其他收入11796.64万元，占16.27 %。</w:t>
      </w:r>
    </w:p>
    <w:p>
      <w:pPr>
        <w:spacing w:line="580" w:lineRule="exact"/>
        <w:ind w:firstLine="640" w:firstLineChars="200"/>
        <w:rPr>
          <w:rFonts w:eastAsia="仿宋_GB2312"/>
          <w:bCs/>
          <w:sz w:val="32"/>
          <w:szCs w:val="32"/>
        </w:rPr>
      </w:pPr>
      <w:r>
        <w:rPr>
          <w:rFonts w:eastAsia="仿宋_GB2312"/>
          <w:bCs/>
          <w:sz w:val="32"/>
          <w:szCs w:val="32"/>
        </w:rPr>
        <w:t>2021年支出预算为72485.37万元，其中，基本支出55288.41万元，占76.28% ;项目支出17196.96万元，占23.72%。</w:t>
      </w:r>
    </w:p>
    <w:p>
      <w:pPr>
        <w:spacing w:line="580" w:lineRule="exact"/>
        <w:ind w:firstLine="640" w:firstLineChars="200"/>
        <w:rPr>
          <w:rFonts w:eastAsia="楷体_GB2312"/>
          <w:bCs/>
          <w:sz w:val="32"/>
          <w:szCs w:val="32"/>
        </w:rPr>
      </w:pPr>
      <w:r>
        <w:rPr>
          <w:rFonts w:eastAsia="楷体_GB2312"/>
          <w:bCs/>
          <w:sz w:val="32"/>
          <w:szCs w:val="32"/>
        </w:rPr>
        <w:t>（二）2021年收入预算情况说明</w:t>
      </w:r>
    </w:p>
    <w:p>
      <w:pPr>
        <w:spacing w:line="580" w:lineRule="exact"/>
        <w:ind w:firstLine="640" w:firstLineChars="200"/>
        <w:rPr>
          <w:rFonts w:eastAsia="仿宋_GB2312"/>
          <w:sz w:val="32"/>
          <w:szCs w:val="32"/>
        </w:rPr>
      </w:pPr>
      <w:r>
        <w:rPr>
          <w:rFonts w:eastAsia="仿宋_GB2312"/>
          <w:bCs/>
          <w:sz w:val="32"/>
          <w:szCs w:val="32"/>
        </w:rPr>
        <w:t>本年收入合计72485.37万元，其中：财政拨款收入   60688.73万元，占83.73%；其他收入11796.64万元，占16.27 %</w:t>
      </w:r>
      <w:r>
        <w:rPr>
          <w:rFonts w:eastAsia="仿宋_GB2312"/>
          <w:sz w:val="32"/>
          <w:szCs w:val="32"/>
        </w:rPr>
        <w:t>。</w:t>
      </w:r>
    </w:p>
    <w:p>
      <w:pPr>
        <w:spacing w:line="580" w:lineRule="exact"/>
        <w:ind w:firstLine="640" w:firstLineChars="200"/>
        <w:rPr>
          <w:rFonts w:eastAsia="楷体_GB2312"/>
          <w:bCs/>
          <w:sz w:val="32"/>
          <w:szCs w:val="32"/>
        </w:rPr>
      </w:pPr>
      <w:r>
        <w:rPr>
          <w:rFonts w:eastAsia="楷体_GB2312"/>
          <w:bCs/>
          <w:sz w:val="32"/>
          <w:szCs w:val="32"/>
        </w:rPr>
        <w:t>（三）2021年支出预算情况说明</w:t>
      </w:r>
    </w:p>
    <w:p>
      <w:pPr>
        <w:spacing w:line="580" w:lineRule="exact"/>
        <w:ind w:firstLine="640" w:firstLineChars="200"/>
        <w:rPr>
          <w:rFonts w:eastAsia="仿宋_GB2312"/>
          <w:sz w:val="32"/>
          <w:szCs w:val="32"/>
        </w:rPr>
      </w:pPr>
      <w:r>
        <w:rPr>
          <w:rFonts w:eastAsia="仿宋_GB2312"/>
          <w:bCs/>
          <w:sz w:val="32"/>
          <w:szCs w:val="32"/>
        </w:rPr>
        <w:t>本年支出合计72485.37万元，其中：基本支出55288.41万元，占76.28% ;项目支出17196.96万元，占23.72%。</w:t>
      </w:r>
      <w:r>
        <w:rPr>
          <w:rFonts w:eastAsia="仿宋_GB2312"/>
          <w:sz w:val="32"/>
          <w:szCs w:val="32"/>
        </w:rPr>
        <w:t>。</w:t>
      </w:r>
    </w:p>
    <w:p>
      <w:pPr>
        <w:spacing w:line="580" w:lineRule="exact"/>
        <w:ind w:firstLine="640" w:firstLineChars="200"/>
        <w:rPr>
          <w:rFonts w:eastAsia="楷体_GB2312"/>
          <w:sz w:val="32"/>
          <w:szCs w:val="32"/>
        </w:rPr>
      </w:pPr>
      <w:r>
        <w:rPr>
          <w:rFonts w:eastAsia="楷体_GB2312"/>
          <w:sz w:val="32"/>
          <w:szCs w:val="32"/>
        </w:rPr>
        <w:t>（四）2021年财政拨款收入支出预算总体情况说明</w:t>
      </w:r>
    </w:p>
    <w:p>
      <w:pPr>
        <w:spacing w:line="580" w:lineRule="exact"/>
        <w:ind w:firstLine="640" w:firstLineChars="200"/>
        <w:rPr>
          <w:rFonts w:eastAsia="仿宋_GB2312"/>
          <w:sz w:val="32"/>
          <w:szCs w:val="32"/>
        </w:rPr>
      </w:pPr>
      <w:r>
        <w:rPr>
          <w:rFonts w:eastAsia="仿宋_GB2312"/>
          <w:sz w:val="32"/>
          <w:szCs w:val="32"/>
        </w:rPr>
        <w:t>2021年财政拨款收支预算60688.73万元。与2020年相比，财政拨款收、支总计各减少2718.59万元，下降4.29 %。主要原因是落实厉行节约要求，压减公用经费。</w:t>
      </w:r>
    </w:p>
    <w:p>
      <w:pPr>
        <w:spacing w:line="580" w:lineRule="exact"/>
        <w:ind w:firstLine="640" w:firstLineChars="200"/>
        <w:rPr>
          <w:rFonts w:eastAsia="楷体_GB2312"/>
          <w:sz w:val="32"/>
          <w:szCs w:val="32"/>
        </w:rPr>
      </w:pPr>
      <w:r>
        <w:rPr>
          <w:rFonts w:eastAsia="楷体_GB2312"/>
          <w:sz w:val="32"/>
          <w:szCs w:val="32"/>
        </w:rPr>
        <w:t>（五）2021年一般公共预算财政拨款收入支出预算情况说明</w:t>
      </w:r>
    </w:p>
    <w:p>
      <w:pPr>
        <w:spacing w:line="580" w:lineRule="exact"/>
        <w:ind w:firstLine="640" w:firstLineChars="200"/>
        <w:rPr>
          <w:rFonts w:eastAsia="仿宋_GB2312"/>
          <w:sz w:val="32"/>
          <w:szCs w:val="32"/>
        </w:rPr>
      </w:pPr>
      <w:r>
        <w:rPr>
          <w:rFonts w:eastAsia="仿宋_GB2312"/>
          <w:sz w:val="32"/>
          <w:szCs w:val="32"/>
        </w:rPr>
        <w:t>2021年一般公共预算收入60688.73万元，与2020年相比，减少2718.59万元，比上年下降4.29 %。主要原因是落实厉行节约要求，压减公用经费。</w:t>
      </w:r>
    </w:p>
    <w:p>
      <w:pPr>
        <w:spacing w:line="580" w:lineRule="exact"/>
        <w:ind w:firstLine="640" w:firstLineChars="200"/>
        <w:rPr>
          <w:rFonts w:eastAsia="仿宋_GB2312"/>
          <w:sz w:val="32"/>
          <w:szCs w:val="32"/>
        </w:rPr>
      </w:pPr>
      <w:r>
        <w:rPr>
          <w:rFonts w:eastAsia="仿宋_GB2312"/>
          <w:sz w:val="32"/>
          <w:szCs w:val="32"/>
        </w:rPr>
        <w:t>2021年一般公共预算支出60688.73万元，与2020年相比，减少2718.59万元，比上年下降4.29 %。主要原因是落实厉行节约要求，压减公用经费。其中：一般公共服务（类）支出149.69万元，占0.25 %；公共安全（类）支出52798.55万元，占87%；社会保障和就业（类）支出4775.03万元，占7.87 %；卫生健康支出（类）50万元，占0.08%；住房保障（类）支出2915.46万元，占4.8%。</w:t>
      </w:r>
    </w:p>
    <w:p>
      <w:pPr>
        <w:spacing w:line="580" w:lineRule="exact"/>
        <w:ind w:firstLine="640" w:firstLineChars="200"/>
        <w:rPr>
          <w:rFonts w:eastAsia="仿宋_GB2312"/>
          <w:sz w:val="32"/>
          <w:szCs w:val="32"/>
        </w:rPr>
      </w:pPr>
      <w:r>
        <w:rPr>
          <w:rFonts w:eastAsia="仿宋_GB2312"/>
          <w:sz w:val="32"/>
          <w:szCs w:val="32"/>
        </w:rPr>
        <w:t>具体情况如下：</w:t>
      </w:r>
    </w:p>
    <w:p>
      <w:pPr>
        <w:spacing w:line="580" w:lineRule="exact"/>
        <w:ind w:firstLine="640"/>
        <w:rPr>
          <w:rFonts w:eastAsia="仿宋_GB2312"/>
          <w:sz w:val="32"/>
          <w:szCs w:val="32"/>
        </w:rPr>
      </w:pPr>
      <w:r>
        <w:rPr>
          <w:rFonts w:eastAsia="仿宋_GB2312"/>
          <w:sz w:val="32"/>
          <w:szCs w:val="32"/>
        </w:rPr>
        <w:t>1.一般公共服务（类）政府办公厅（室）事务（款）事业运行（项）149.69万元，比上年下降14.42 %，主要原因是落实厉行节约要求，压减公用经费。</w:t>
      </w:r>
    </w:p>
    <w:p>
      <w:pPr>
        <w:spacing w:line="580" w:lineRule="exact"/>
        <w:ind w:firstLine="640"/>
        <w:rPr>
          <w:rFonts w:eastAsia="仿宋_GB2312"/>
          <w:sz w:val="32"/>
          <w:szCs w:val="32"/>
        </w:rPr>
      </w:pPr>
      <w:r>
        <w:rPr>
          <w:rFonts w:eastAsia="仿宋_GB2312"/>
          <w:sz w:val="32"/>
          <w:szCs w:val="32"/>
        </w:rPr>
        <w:t>2. 公共安全（类）司法（款）行政运行（项）3326.45万元，比上年下降5.12％，主要原因是落实厉行节约要求，压减公用经费。公共安全（类）司法（款）一般行政管理事务（项）923.10万元，比上年增长2.23％，主要原因是本年度预算中国家统一法律职业资格考试费调入本科目。公共安全（类）司法（款）公共法律服务（项）254.30万元，比上年下降4.76％，主要原因是落实厉行节约要求，压减公用经费。公共安全（类）司法（款）事业支出（项）317.94万元，比上年下降2.4%，主要原因是落实厉行节约要求，压减公用经费。公共安全（类）监狱（款）行政运行（项）38706.41万元，比上年下降4.62％，主要原因是落实厉行节约要求，压减公用经费。公共安全（类）监狱（款）犯人生活费（项）2555.64万元、犯人改造（项）604.56万元，比上年下降5.89%，主要原因是监狱押犯人数下降，犯人生活费、改造费相应减少。公共安全（类）监狱（款）其他监狱支出（项）541.8万元，比上年增长1.84%，主要原因是增加了部分用于疫情防控的资金。公共安全（类）强制隔离戒毒（款）行政运行（项）5097.43万元，比上年下降5.56％，主要原因是落实厉行节约要求，压减公用经费。公共安全（类）强制隔离戒毒（款）一般行政管理事务（项）96.49万元，比上年下降5.08％，主要原因是落实厉行节约要求，压减公用经费。公共安全（类）强制隔离戒毒（款）强制隔离戒毒人员生活（项）261万元、强制隔离戒毒人员教育（项）26万元、所政设施建设（项）63.24万元、其他戒毒支出（项）24.19万元，比上年分别下降13.79%、13.79%、12.24%、14.73%，主要原因是强制隔离戒毒人数下降，强制隔离戒毒人员生活费、教育费等支出相应减少。</w:t>
      </w:r>
    </w:p>
    <w:p>
      <w:pPr>
        <w:spacing w:line="580" w:lineRule="exact"/>
        <w:ind w:firstLine="640"/>
        <w:rPr>
          <w:rFonts w:eastAsia="仿宋_GB2312"/>
          <w:sz w:val="32"/>
          <w:szCs w:val="32"/>
        </w:rPr>
      </w:pPr>
      <w:r>
        <w:rPr>
          <w:rFonts w:eastAsia="仿宋_GB2312"/>
          <w:sz w:val="32"/>
          <w:szCs w:val="32"/>
        </w:rPr>
        <w:t>3.社会保障和就业（类）行政事业单位养老支出（款）机关事业单位基本养老保险缴费支出（项）3183.35万元，比上年</w:t>
      </w:r>
      <w:r>
        <w:rPr>
          <w:rFonts w:eastAsia="仿宋_GB2312"/>
          <w:color w:val="000000"/>
          <w:sz w:val="32"/>
          <w:szCs w:val="32"/>
        </w:rPr>
        <w:t>下降0.39％，主要原因是单位人员变动等因素导致本科目支出相应减少。社</w:t>
      </w:r>
      <w:r>
        <w:rPr>
          <w:rFonts w:eastAsia="仿宋_GB2312"/>
          <w:sz w:val="32"/>
          <w:szCs w:val="32"/>
        </w:rPr>
        <w:t>会保障和就业（类）行政事业单位养老支出（款）机关事业单位职业年金缴费支出（项）1591.68万元，比上年</w:t>
      </w:r>
      <w:r>
        <w:rPr>
          <w:rFonts w:eastAsia="仿宋_GB2312"/>
          <w:color w:val="000000"/>
          <w:sz w:val="32"/>
          <w:szCs w:val="32"/>
        </w:rPr>
        <w:t>下降0.39％，主要原因是单位人员变动等因素导致本科目支出相应减少。</w:t>
      </w:r>
    </w:p>
    <w:p>
      <w:pPr>
        <w:spacing w:line="580" w:lineRule="exact"/>
        <w:ind w:firstLine="640"/>
        <w:rPr>
          <w:rFonts w:eastAsia="仿宋_GB2312"/>
          <w:sz w:val="32"/>
          <w:szCs w:val="32"/>
        </w:rPr>
      </w:pPr>
      <w:r>
        <w:rPr>
          <w:rFonts w:eastAsia="仿宋_GB2312"/>
          <w:sz w:val="32"/>
          <w:szCs w:val="32"/>
        </w:rPr>
        <w:t>4、住房保障支出（款）住房改革支出（类）住房公积金（项）2915.46万元，比上年下降1.26％，主要原因是</w:t>
      </w:r>
      <w:r>
        <w:rPr>
          <w:rFonts w:eastAsia="仿宋_GB2312"/>
          <w:color w:val="000000"/>
          <w:sz w:val="32"/>
          <w:szCs w:val="32"/>
        </w:rPr>
        <w:t>单位人员变动等因素导致本科目支出相应减少。</w:t>
      </w:r>
    </w:p>
    <w:p>
      <w:pPr>
        <w:spacing w:line="580" w:lineRule="exact"/>
        <w:ind w:firstLine="640"/>
        <w:rPr>
          <w:rFonts w:eastAsia="楷体_GB2312"/>
          <w:sz w:val="32"/>
          <w:szCs w:val="32"/>
        </w:rPr>
      </w:pPr>
      <w:r>
        <w:rPr>
          <w:rFonts w:eastAsia="楷体_GB2312"/>
          <w:sz w:val="32"/>
          <w:szCs w:val="32"/>
        </w:rPr>
        <w:t>（六）政府性基金预算收支情况</w:t>
      </w:r>
    </w:p>
    <w:p>
      <w:pPr>
        <w:spacing w:line="580" w:lineRule="exact"/>
        <w:ind w:firstLine="640" w:firstLineChars="200"/>
        <w:rPr>
          <w:rFonts w:eastAsia="仿宋_GB2312"/>
          <w:sz w:val="32"/>
          <w:szCs w:val="32"/>
        </w:rPr>
      </w:pPr>
      <w:r>
        <w:rPr>
          <w:rFonts w:eastAsia="仿宋_GB2312"/>
          <w:sz w:val="32"/>
          <w:szCs w:val="32"/>
        </w:rPr>
        <w:t>市司法局部门2021年没有政府性基金预算拨款安排的收入，也没有使用政府性基金预算拨款安排的支出。</w:t>
      </w:r>
    </w:p>
    <w:p>
      <w:pPr>
        <w:spacing w:line="580" w:lineRule="exact"/>
        <w:ind w:firstLine="640" w:firstLineChars="200"/>
        <w:rPr>
          <w:rFonts w:eastAsia="楷体_GB2312"/>
          <w:sz w:val="32"/>
          <w:szCs w:val="32"/>
        </w:rPr>
      </w:pPr>
      <w:r>
        <w:rPr>
          <w:rFonts w:eastAsia="楷体_GB2312"/>
          <w:sz w:val="32"/>
          <w:szCs w:val="32"/>
        </w:rPr>
        <w:t>（七）2021年财政拨款基本支出预算情况说明</w:t>
      </w:r>
    </w:p>
    <w:p>
      <w:pPr>
        <w:spacing w:line="580" w:lineRule="exact"/>
        <w:ind w:firstLine="595" w:firstLineChars="186"/>
        <w:rPr>
          <w:rFonts w:eastAsia="仿宋_GB2312"/>
          <w:sz w:val="32"/>
          <w:szCs w:val="32"/>
        </w:rPr>
      </w:pPr>
      <w:r>
        <w:rPr>
          <w:rFonts w:eastAsia="仿宋_GB2312"/>
          <w:sz w:val="32"/>
          <w:szCs w:val="32"/>
        </w:rPr>
        <w:t>2021年，通过财政拨款安排的基本支出55288.41万元，其中：</w:t>
      </w:r>
    </w:p>
    <w:p>
      <w:pPr>
        <w:spacing w:line="580" w:lineRule="exact"/>
        <w:ind w:firstLine="595" w:firstLineChars="186"/>
        <w:rPr>
          <w:rFonts w:eastAsia="仿宋_GB2312"/>
          <w:sz w:val="32"/>
          <w:szCs w:val="32"/>
        </w:rPr>
      </w:pPr>
      <w:r>
        <w:rPr>
          <w:rFonts w:eastAsia="仿宋_GB2312"/>
          <w:sz w:val="32"/>
          <w:szCs w:val="32"/>
        </w:rPr>
        <w:t>人员经费41428.05万元，按部门预算支出经济分类主要包括：基本工资、津贴补贴、奖金、机关事业单位基本养老保险缴费、职业年金缴费、职工基本医疗保险缴费、其他社会保障缴费、住房公积金、离休费、退休费、生活补助、医疗费补助等。按政府预算支出经济分类主要包括：工资奖金津补贴、社会保障缴费、住房公积金、社会福利和救助、离退休费等。</w:t>
      </w:r>
    </w:p>
    <w:p>
      <w:pPr>
        <w:spacing w:line="580" w:lineRule="exact"/>
        <w:ind w:firstLine="600"/>
        <w:rPr>
          <w:rFonts w:eastAsia="仿宋_GB2312"/>
          <w:sz w:val="32"/>
          <w:szCs w:val="32"/>
        </w:rPr>
      </w:pPr>
      <w:r>
        <w:rPr>
          <w:rFonts w:eastAsia="仿宋_GB2312"/>
          <w:sz w:val="32"/>
          <w:szCs w:val="32"/>
        </w:rPr>
        <w:t>公用经费13860.36万元，按部门预算支出经济分类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按政府预算支出经济分类主要包括：办公经费、会议费、培训费、专用材料购置费、委托业务费、公务接待费、因公出国（境）费、公务用车运行维护费、维修（护）费、其他商品和服务支出。</w:t>
      </w:r>
    </w:p>
    <w:p>
      <w:pPr>
        <w:spacing w:line="580" w:lineRule="exact"/>
        <w:ind w:firstLine="600"/>
        <w:rPr>
          <w:rFonts w:eastAsia="楷体_GB2312"/>
          <w:sz w:val="32"/>
          <w:szCs w:val="32"/>
        </w:rPr>
      </w:pPr>
      <w:r>
        <w:rPr>
          <w:rFonts w:eastAsia="楷体_GB2312"/>
          <w:sz w:val="32"/>
          <w:szCs w:val="32"/>
        </w:rPr>
        <w:t>（八）2021年财政拨款安排的“三公”经费情况</w:t>
      </w:r>
    </w:p>
    <w:p>
      <w:pPr>
        <w:spacing w:line="580" w:lineRule="exact"/>
        <w:ind w:firstLine="600"/>
        <w:rPr>
          <w:rFonts w:eastAsia="仿宋_GB2312"/>
          <w:sz w:val="32"/>
          <w:szCs w:val="32"/>
        </w:rPr>
      </w:pPr>
      <w:r>
        <w:rPr>
          <w:rFonts w:eastAsia="仿宋_GB2312"/>
          <w:sz w:val="32"/>
          <w:szCs w:val="32"/>
        </w:rPr>
        <w:t>2021年，通过财政拨款安排的“三公”经费预算共213.07万元（包括局机关及所属事业单位），比2020年下降46.01%。其中：因公出国（境）经费9.8万元，比2020年下降48.42%，主要用于：单位公务出国（境）的差旅费、国外城市间交通费、住宿费、伙食补助费、杂费、培训费等支出，下降的主要原因是严格控制因公出国人数，压缩出国经费开支；公务用车运行维护费179.55万元，比2020年下降5.02%，主要用于：车辆租用费、燃料费、维修费、过路过桥费、保险费等支出，下降的原因是厉行节约，严格公车管理，压缩公务用车支出；公务用车购置费0元，比2020年下降100%，下降的原因是暂未计划更新公务用车；公务接待费23.72万元，比2020年下降31.45%，主要用于：各类公务接待费等，下降的主要原因是落实严格控制公务接待范围及标准要求，压缩接待费用支出。</w:t>
      </w:r>
    </w:p>
    <w:p>
      <w:pPr>
        <w:spacing w:line="580" w:lineRule="exact"/>
        <w:ind w:firstLine="600"/>
        <w:rPr>
          <w:rFonts w:eastAsia="黑体"/>
          <w:sz w:val="32"/>
          <w:szCs w:val="32"/>
        </w:rPr>
      </w:pPr>
      <w:r>
        <w:rPr>
          <w:rFonts w:eastAsia="黑体"/>
          <w:sz w:val="32"/>
          <w:szCs w:val="32"/>
        </w:rPr>
        <w:t>二、其他重要事项的情况说明</w:t>
      </w:r>
    </w:p>
    <w:p>
      <w:pPr>
        <w:spacing w:line="580" w:lineRule="exact"/>
        <w:ind w:firstLine="601"/>
        <w:rPr>
          <w:rFonts w:eastAsia="楷体_GB2312"/>
          <w:sz w:val="32"/>
          <w:szCs w:val="32"/>
        </w:rPr>
      </w:pPr>
      <w:r>
        <w:rPr>
          <w:rFonts w:eastAsia="楷体_GB2312"/>
          <w:sz w:val="32"/>
          <w:szCs w:val="32"/>
        </w:rPr>
        <w:t>（一）重点项目情况说明</w:t>
      </w:r>
    </w:p>
    <w:p>
      <w:pPr>
        <w:spacing w:line="580" w:lineRule="exact"/>
        <w:ind w:firstLine="537" w:firstLineChars="168"/>
        <w:rPr>
          <w:rFonts w:eastAsia="仿宋_GB2312"/>
          <w:bCs/>
          <w:sz w:val="32"/>
          <w:szCs w:val="32"/>
        </w:rPr>
      </w:pPr>
      <w:r>
        <w:rPr>
          <w:rFonts w:eastAsia="仿宋_GB2312"/>
          <w:bCs/>
          <w:sz w:val="32"/>
          <w:szCs w:val="32"/>
        </w:rPr>
        <w:t>2021年青岛市司法局</w:t>
      </w:r>
      <w:r>
        <w:rPr>
          <w:rFonts w:eastAsia="仿宋_GB2312"/>
          <w:sz w:val="32"/>
          <w:szCs w:val="32"/>
        </w:rPr>
        <w:t>及所属预算单位无需要说明的重点项目。</w:t>
      </w:r>
    </w:p>
    <w:p>
      <w:pPr>
        <w:spacing w:line="580" w:lineRule="exact"/>
        <w:ind w:firstLine="601"/>
        <w:rPr>
          <w:rFonts w:eastAsia="楷体_GB2312"/>
          <w:sz w:val="32"/>
          <w:szCs w:val="32"/>
        </w:rPr>
      </w:pPr>
      <w:r>
        <w:rPr>
          <w:rFonts w:eastAsia="楷体_GB2312"/>
          <w:sz w:val="32"/>
          <w:szCs w:val="32"/>
        </w:rPr>
        <w:t>（二）机关运行经费情况</w:t>
      </w:r>
    </w:p>
    <w:p>
      <w:pPr>
        <w:spacing w:line="580" w:lineRule="exact"/>
        <w:ind w:firstLine="601"/>
        <w:rPr>
          <w:rFonts w:eastAsia="仿宋_GB2312"/>
          <w:sz w:val="32"/>
          <w:szCs w:val="32"/>
        </w:rPr>
      </w:pPr>
      <w:r>
        <w:rPr>
          <w:rFonts w:eastAsia="仿宋_GB2312"/>
          <w:sz w:val="32"/>
          <w:szCs w:val="32"/>
        </w:rPr>
        <w:t>2021年本部门机关运行经费财政拨款预算13860.36万元，比上年减少7474.29万元，比上年下降35.03%。主要原因是：厉行节约压减经费，及2021年较上年预算科目口径调整，部分内容由机关运行经费调出。</w:t>
      </w:r>
    </w:p>
    <w:p>
      <w:pPr>
        <w:spacing w:line="580" w:lineRule="exact"/>
        <w:ind w:firstLine="601"/>
        <w:rPr>
          <w:rFonts w:eastAsia="楷体_GB2312"/>
          <w:sz w:val="32"/>
          <w:szCs w:val="32"/>
        </w:rPr>
      </w:pPr>
      <w:r>
        <w:rPr>
          <w:rFonts w:eastAsia="楷体_GB2312"/>
          <w:sz w:val="32"/>
          <w:szCs w:val="32"/>
        </w:rPr>
        <w:t>（三）政府采购情况</w:t>
      </w:r>
    </w:p>
    <w:p>
      <w:pPr>
        <w:spacing w:line="580" w:lineRule="exact"/>
        <w:ind w:firstLine="600"/>
        <w:rPr>
          <w:rFonts w:eastAsia="仿宋_GB2312"/>
          <w:sz w:val="32"/>
          <w:szCs w:val="32"/>
        </w:rPr>
      </w:pPr>
      <w:r>
        <w:rPr>
          <w:rFonts w:eastAsia="仿宋_GB2312"/>
          <w:sz w:val="32"/>
          <w:szCs w:val="32"/>
        </w:rPr>
        <w:t>2021年本部门政府采购预算总额3364.87万元，其中：财政拨款安排2937.87万元，其他资金安排427万元。政府采购货物预算1654.22万元、政府采购工程317万元、政府采购服务预算1393.65万元。</w:t>
      </w:r>
    </w:p>
    <w:p>
      <w:pPr>
        <w:spacing w:line="580" w:lineRule="exact"/>
        <w:ind w:firstLine="600"/>
        <w:rPr>
          <w:rFonts w:eastAsia="仿宋_GB2312"/>
          <w:sz w:val="32"/>
          <w:szCs w:val="32"/>
          <w:highlight w:val="yellow"/>
        </w:rPr>
      </w:pPr>
      <w:r>
        <w:rPr>
          <w:rFonts w:eastAsia="楷体_GB2312"/>
          <w:sz w:val="32"/>
          <w:szCs w:val="32"/>
        </w:rPr>
        <w:t>（四）国有资产占用情况说明</w:t>
      </w:r>
    </w:p>
    <w:p>
      <w:pPr>
        <w:spacing w:line="580" w:lineRule="exact"/>
        <w:ind w:firstLine="640" w:firstLineChars="200"/>
        <w:rPr>
          <w:rFonts w:eastAsia="仿宋_GB2312"/>
          <w:sz w:val="32"/>
          <w:szCs w:val="32"/>
        </w:rPr>
      </w:pPr>
      <w:r>
        <w:rPr>
          <w:rFonts w:eastAsia="仿宋_GB2312"/>
          <w:sz w:val="32"/>
          <w:szCs w:val="32"/>
        </w:rPr>
        <w:t>截至2020年12月31日，本部门共有车辆51辆，其中，公务用车17辆、执法执勤用车29辆、特种专业技术用车5辆</w:t>
      </w:r>
      <w:r>
        <w:rPr>
          <w:rFonts w:eastAsia="仿宋_GB2312"/>
          <w:color w:val="000000"/>
          <w:sz w:val="32"/>
          <w:szCs w:val="32"/>
        </w:rPr>
        <w:t>。</w:t>
      </w:r>
      <w:r>
        <w:rPr>
          <w:rFonts w:eastAsia="仿宋_GB2312"/>
          <w:sz w:val="32"/>
          <w:szCs w:val="32"/>
        </w:rPr>
        <w:t>单位价值50万元以上通用设备26台（套），单位价值100万元以上专用设备3台（套）。</w:t>
      </w:r>
    </w:p>
    <w:p>
      <w:pPr>
        <w:spacing w:line="580" w:lineRule="exact"/>
        <w:ind w:firstLine="600"/>
        <w:rPr>
          <w:rFonts w:eastAsia="仿宋_GB2312"/>
          <w:sz w:val="32"/>
          <w:szCs w:val="32"/>
        </w:rPr>
      </w:pPr>
      <w:r>
        <w:rPr>
          <w:rFonts w:eastAsia="仿宋_GB2312"/>
          <w:sz w:val="32"/>
          <w:szCs w:val="32"/>
        </w:rPr>
        <w:t>2021年部门预算未安排资金用于购置单位价值100万以上设备。</w:t>
      </w:r>
    </w:p>
    <w:p>
      <w:pPr>
        <w:spacing w:line="580" w:lineRule="exact"/>
        <w:ind w:firstLine="640" w:firstLineChars="200"/>
        <w:rPr>
          <w:rFonts w:eastAsia="楷体_GB2312"/>
          <w:bCs/>
          <w:sz w:val="32"/>
          <w:szCs w:val="32"/>
        </w:rPr>
      </w:pPr>
      <w:r>
        <w:rPr>
          <w:rFonts w:eastAsia="楷体_GB2312"/>
          <w:bCs/>
          <w:sz w:val="32"/>
          <w:szCs w:val="32"/>
        </w:rPr>
        <w:t>（五）预算绩效情况说明</w:t>
      </w:r>
    </w:p>
    <w:p>
      <w:pPr>
        <w:spacing w:line="560" w:lineRule="exact"/>
        <w:ind w:firstLine="640" w:firstLineChars="200"/>
        <w:rPr>
          <w:rFonts w:eastAsia="仿宋"/>
          <w:bCs/>
          <w:sz w:val="32"/>
          <w:szCs w:val="32"/>
        </w:rPr>
      </w:pPr>
      <w:r>
        <w:rPr>
          <w:rFonts w:eastAsia="仿宋"/>
          <w:bCs/>
          <w:sz w:val="32"/>
          <w:szCs w:val="32"/>
        </w:rPr>
        <w:t>2021年，青岛市司法局</w:t>
      </w:r>
      <w:r>
        <w:rPr>
          <w:rFonts w:eastAsia="仿宋"/>
          <w:sz w:val="32"/>
          <w:szCs w:val="32"/>
        </w:rPr>
        <w:t xml:space="preserve">及所属预算单位实行绩效目标管理的项目共15个，涉及资金1748.72万元，其中财政拨款  </w:t>
      </w:r>
      <w:r>
        <w:rPr>
          <w:rFonts w:eastAsia="仿宋"/>
          <w:bCs/>
          <w:sz w:val="32"/>
          <w:szCs w:val="32"/>
        </w:rPr>
        <w:t>1658.22万元，其他收入90.50万元，绩效目标设置情况是（详见附件</w:t>
      </w:r>
      <w:r>
        <w:rPr>
          <w:rFonts w:hint="eastAsia" w:eastAsia="仿宋"/>
          <w:bCs/>
          <w:sz w:val="32"/>
          <w:szCs w:val="32"/>
        </w:rPr>
        <w:t>《2021年司法局</w:t>
      </w:r>
      <w:r>
        <w:rPr>
          <w:rFonts w:eastAsia="仿宋"/>
          <w:bCs/>
          <w:sz w:val="32"/>
          <w:szCs w:val="32"/>
        </w:rPr>
        <w:t>项目支出</w:t>
      </w:r>
      <w:r>
        <w:rPr>
          <w:rFonts w:hint="eastAsia" w:eastAsia="仿宋"/>
          <w:bCs/>
          <w:sz w:val="32"/>
          <w:szCs w:val="32"/>
        </w:rPr>
        <w:t>绩效</w:t>
      </w:r>
      <w:r>
        <w:rPr>
          <w:rFonts w:eastAsia="仿宋"/>
          <w:bCs/>
          <w:sz w:val="32"/>
          <w:szCs w:val="32"/>
        </w:rPr>
        <w:t>目标</w:t>
      </w:r>
      <w:r>
        <w:rPr>
          <w:rFonts w:hint="eastAsia" w:eastAsia="仿宋"/>
          <w:bCs/>
          <w:sz w:val="32"/>
          <w:szCs w:val="32"/>
        </w:rPr>
        <w:t>批复</w:t>
      </w:r>
      <w:r>
        <w:rPr>
          <w:rFonts w:eastAsia="仿宋"/>
          <w:bCs/>
          <w:sz w:val="32"/>
          <w:szCs w:val="32"/>
        </w:rPr>
        <w:t>表</w:t>
      </w:r>
      <w:r>
        <w:rPr>
          <w:rFonts w:hint="eastAsia" w:eastAsia="仿宋"/>
          <w:bCs/>
          <w:sz w:val="32"/>
          <w:szCs w:val="32"/>
        </w:rPr>
        <w:t>》</w:t>
      </w:r>
      <w:r>
        <w:rPr>
          <w:rFonts w:eastAsia="仿宋"/>
          <w:bCs/>
          <w:sz w:val="32"/>
          <w:szCs w:val="32"/>
        </w:rPr>
        <w:t>）：</w:t>
      </w:r>
    </w:p>
    <w:p>
      <w:pPr>
        <w:widowControl/>
        <w:spacing w:line="560" w:lineRule="exact"/>
        <w:ind w:firstLine="566" w:firstLineChars="177"/>
        <w:rPr>
          <w:rFonts w:ascii="仿宋" w:hAnsi="仿宋" w:eastAsia="仿宋"/>
          <w:bCs/>
          <w:sz w:val="32"/>
          <w:szCs w:val="32"/>
        </w:rPr>
      </w:pPr>
      <w:r>
        <w:rPr>
          <w:rFonts w:eastAsia="仿宋"/>
          <w:bCs/>
          <w:sz w:val="32"/>
          <w:szCs w:val="32"/>
        </w:rPr>
        <w:t>1.司法局警用服装费： 做好对全市局本级、两所监狱、一所强制隔离戒毒所及区（市）司法行政机关人民警察和借装借衔工勤人员的警用被装的招标采购和发放管理等工作。</w:t>
      </w:r>
      <w:r>
        <w:rPr>
          <w:rFonts w:hint="eastAsia" w:ascii="仿宋" w:hAnsi="仿宋" w:eastAsia="仿宋"/>
          <w:bCs/>
          <w:sz w:val="32"/>
          <w:szCs w:val="32"/>
        </w:rPr>
        <w:t xml:space="preserve"> </w:t>
      </w:r>
    </w:p>
    <w:p>
      <w:pPr>
        <w:widowControl/>
        <w:spacing w:line="560" w:lineRule="exact"/>
        <w:ind w:firstLine="566" w:firstLineChars="177"/>
        <w:rPr>
          <w:rFonts w:ascii="仿宋" w:hAnsi="仿宋" w:eastAsia="仿宋"/>
          <w:bCs/>
          <w:sz w:val="32"/>
          <w:szCs w:val="32"/>
        </w:rPr>
      </w:pPr>
      <w:r>
        <w:rPr>
          <w:rFonts w:hint="eastAsia" w:ascii="仿宋" w:hAnsi="仿宋" w:eastAsia="仿宋"/>
          <w:bCs/>
          <w:sz w:val="32"/>
          <w:szCs w:val="32"/>
        </w:rPr>
        <w:t>2.司法局法律职业资格考试费：</w:t>
      </w:r>
      <w:r>
        <w:rPr>
          <w:rFonts w:hint="eastAsia" w:ascii="仿宋" w:hAnsi="仿宋" w:eastAsia="仿宋" w:cs="宋体"/>
          <w:kern w:val="0"/>
          <w:sz w:val="32"/>
          <w:szCs w:val="32"/>
        </w:rPr>
        <w:t>安全稳定地组织好2021年度国家法律职业资格考试（客观题和主观题，两场）</w:t>
      </w:r>
      <w:r>
        <w:rPr>
          <w:rFonts w:hint="eastAsia" w:ascii="仿宋" w:hAnsi="仿宋" w:eastAsia="仿宋"/>
          <w:bCs/>
          <w:sz w:val="32"/>
          <w:szCs w:val="32"/>
        </w:rPr>
        <w:t>。</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3.</w:t>
      </w:r>
      <w:r>
        <w:rPr>
          <w:rFonts w:hint="eastAsia" w:ascii="仿宋" w:hAnsi="仿宋" w:eastAsia="仿宋" w:cs="Courier New"/>
          <w:sz w:val="32"/>
          <w:szCs w:val="32"/>
        </w:rPr>
        <w:t>司法局</w:t>
      </w:r>
      <w:r>
        <w:rPr>
          <w:rFonts w:ascii="仿宋" w:hAnsi="仿宋" w:eastAsia="仿宋" w:cs="Courier New"/>
          <w:sz w:val="32"/>
          <w:szCs w:val="32"/>
        </w:rPr>
        <w:t>普法、</w:t>
      </w:r>
      <w:r>
        <w:rPr>
          <w:rFonts w:hint="eastAsia" w:ascii="仿宋" w:hAnsi="仿宋" w:eastAsia="仿宋" w:cs="Courier New"/>
          <w:sz w:val="32"/>
          <w:szCs w:val="32"/>
        </w:rPr>
        <w:t>人民</w:t>
      </w:r>
      <w:r>
        <w:rPr>
          <w:rFonts w:ascii="仿宋" w:hAnsi="仿宋" w:eastAsia="仿宋" w:cs="Courier New"/>
          <w:sz w:val="32"/>
          <w:szCs w:val="32"/>
        </w:rPr>
        <w:t>监督员</w:t>
      </w:r>
      <w:r>
        <w:rPr>
          <w:rFonts w:hint="eastAsia" w:ascii="仿宋" w:hAnsi="仿宋" w:eastAsia="仿宋" w:cs="Courier New"/>
          <w:sz w:val="32"/>
          <w:szCs w:val="32"/>
        </w:rPr>
        <w:t>、</w:t>
      </w:r>
      <w:r>
        <w:rPr>
          <w:rFonts w:ascii="仿宋" w:hAnsi="仿宋" w:eastAsia="仿宋" w:cs="Courier New"/>
          <w:sz w:val="32"/>
          <w:szCs w:val="32"/>
        </w:rPr>
        <w:t>涉法涉诉经费</w:t>
      </w:r>
      <w:r>
        <w:rPr>
          <w:rFonts w:hint="eastAsia" w:ascii="仿宋" w:hAnsi="仿宋" w:eastAsia="仿宋" w:cs="Courier New"/>
          <w:sz w:val="32"/>
          <w:szCs w:val="32"/>
        </w:rPr>
        <w:t>：</w:t>
      </w:r>
      <w:r>
        <w:rPr>
          <w:rFonts w:hint="eastAsia" w:ascii="仿宋" w:hAnsi="仿宋" w:eastAsia="仿宋" w:cs="宋体"/>
          <w:kern w:val="0"/>
          <w:sz w:val="32"/>
          <w:szCs w:val="32"/>
        </w:rPr>
        <w:t>深入贯彻落实习近平</w:t>
      </w:r>
      <w:bookmarkStart w:id="0" w:name="_GoBack"/>
      <w:bookmarkEnd w:id="0"/>
      <w:r>
        <w:rPr>
          <w:rFonts w:hint="eastAsia" w:ascii="仿宋" w:hAnsi="仿宋" w:eastAsia="仿宋" w:cs="宋体"/>
          <w:kern w:val="0"/>
          <w:sz w:val="32"/>
          <w:szCs w:val="32"/>
        </w:rPr>
        <w:t>法治思想，全面落实党中央全面推进依法治国的各项战略部署，通过广播电视、网站、微信微博等新闻和新媒体进行普法宣传，不断扩大普法宣传层面。做好我市人民监督员管理和培训工作，指导其做好办案监督工作。做好政法部门涉法涉诉律师劳务管理工作，确保安全稳定。</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4.</w:t>
      </w:r>
      <w:r>
        <w:rPr>
          <w:rFonts w:hint="eastAsia" w:ascii="仿宋" w:hAnsi="仿宋" w:eastAsia="仿宋" w:cs="Courier New"/>
          <w:sz w:val="32"/>
          <w:szCs w:val="32"/>
        </w:rPr>
        <w:t>司法局</w:t>
      </w:r>
      <w:r>
        <w:rPr>
          <w:rFonts w:ascii="仿宋" w:hAnsi="仿宋" w:eastAsia="仿宋" w:cs="Courier New"/>
          <w:sz w:val="32"/>
          <w:szCs w:val="32"/>
        </w:rPr>
        <w:t>法律培训经费</w:t>
      </w:r>
      <w:r>
        <w:rPr>
          <w:rFonts w:hint="eastAsia" w:ascii="仿宋" w:hAnsi="仿宋" w:eastAsia="仿宋" w:cs="Courier New"/>
          <w:sz w:val="32"/>
          <w:szCs w:val="32"/>
        </w:rPr>
        <w:t>：</w:t>
      </w:r>
      <w:r>
        <w:rPr>
          <w:rFonts w:hint="eastAsia" w:ascii="仿宋" w:hAnsi="仿宋" w:eastAsia="仿宋" w:cs="宋体"/>
          <w:kern w:val="0"/>
          <w:sz w:val="32"/>
          <w:szCs w:val="32"/>
        </w:rPr>
        <w:t>组织全市执法人员执法培训及执法考试、律师入职岗前培训、系统处级科级干部任职培训、基层司法局司法所业务能力提升培训、狱所安全管理培训等，提高行政执法人员、法律从业人员、基层司法行政人员的政治理论水平、业务素质。</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5.</w:t>
      </w:r>
      <w:r>
        <w:rPr>
          <w:rFonts w:hint="eastAsia" w:ascii="仿宋" w:hAnsi="仿宋" w:eastAsia="仿宋" w:cs="Courier New"/>
          <w:sz w:val="32"/>
          <w:szCs w:val="32"/>
        </w:rPr>
        <w:t>司法局</w:t>
      </w:r>
      <w:r>
        <w:rPr>
          <w:rFonts w:ascii="仿宋" w:hAnsi="仿宋" w:eastAsia="仿宋" w:cs="Courier New"/>
          <w:sz w:val="32"/>
          <w:szCs w:val="32"/>
        </w:rPr>
        <w:t>法制专项业务费</w:t>
      </w:r>
      <w:r>
        <w:rPr>
          <w:rFonts w:hint="eastAsia" w:ascii="仿宋" w:hAnsi="仿宋" w:eastAsia="仿宋" w:cs="Courier New"/>
          <w:sz w:val="32"/>
          <w:szCs w:val="32"/>
        </w:rPr>
        <w:t>：</w:t>
      </w:r>
      <w:r>
        <w:rPr>
          <w:rFonts w:hint="eastAsia" w:ascii="仿宋" w:hAnsi="仿宋" w:eastAsia="仿宋" w:cs="宋体"/>
          <w:kern w:val="0"/>
          <w:sz w:val="32"/>
          <w:szCs w:val="32"/>
        </w:rPr>
        <w:t>做好我市人民群众对市政府及部分市直部门的行政复议案件和行政应诉案件的办理工作，履行政府法律顾问职能和全市行政执法监督职能，完成市级立法与备案审查工作，做好市政府重大决策合法性审查工作等。监督和指导全市律师管理、公证业务、司法鉴定、社区矫正、人民调解、法律援助和公共法律服务工作，并指导区市司法局、司法所履行职责。做好对狱所业务管理和督导狱所做好安全管理、基建立项等工作。</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6.</w:t>
      </w:r>
      <w:r>
        <w:rPr>
          <w:rFonts w:hint="eastAsia" w:ascii="仿宋" w:hAnsi="仿宋" w:eastAsia="仿宋" w:cs="Courier New"/>
          <w:sz w:val="32"/>
          <w:szCs w:val="32"/>
        </w:rPr>
        <w:t>司法局</w:t>
      </w:r>
      <w:r>
        <w:rPr>
          <w:rFonts w:ascii="仿宋" w:hAnsi="仿宋" w:eastAsia="仿宋" w:cs="Courier New"/>
          <w:sz w:val="32"/>
          <w:szCs w:val="32"/>
        </w:rPr>
        <w:t>惠企政策法律服务费</w:t>
      </w:r>
      <w:r>
        <w:rPr>
          <w:rFonts w:hint="eastAsia" w:ascii="仿宋" w:hAnsi="仿宋" w:eastAsia="仿宋" w:cs="Courier New"/>
          <w:sz w:val="32"/>
          <w:szCs w:val="32"/>
        </w:rPr>
        <w:t>：</w:t>
      </w:r>
      <w:r>
        <w:rPr>
          <w:rFonts w:hint="eastAsia" w:ascii="仿宋" w:hAnsi="仿宋" w:eastAsia="仿宋" w:cs="宋体"/>
          <w:kern w:val="0"/>
          <w:sz w:val="32"/>
          <w:szCs w:val="32"/>
        </w:rPr>
        <w:t>向律师事务所购买服务，发挥第三方社会监督作用，为企业提供政策咨询、权益保障服务，参与政策制定评估并监督政策实施，维护企业市场主体地位和合法权益。</w:t>
      </w:r>
    </w:p>
    <w:p>
      <w:pPr>
        <w:spacing w:line="560" w:lineRule="exact"/>
        <w:ind w:firstLine="566" w:firstLineChars="177"/>
        <w:rPr>
          <w:rFonts w:ascii="仿宋" w:hAnsi="仿宋" w:eastAsia="仿宋" w:cs="Courier New"/>
          <w:sz w:val="32"/>
          <w:szCs w:val="32"/>
        </w:rPr>
      </w:pPr>
      <w:r>
        <w:rPr>
          <w:rFonts w:ascii="仿宋" w:hAnsi="仿宋" w:eastAsia="仿宋" w:cs="Courier New"/>
          <w:sz w:val="32"/>
          <w:szCs w:val="32"/>
        </w:rPr>
        <w:t>7.</w:t>
      </w:r>
      <w:r>
        <w:rPr>
          <w:rFonts w:hint="eastAsia" w:ascii="仿宋" w:hAnsi="仿宋" w:eastAsia="仿宋" w:cs="Courier New"/>
          <w:sz w:val="32"/>
          <w:szCs w:val="32"/>
        </w:rPr>
        <w:t>青岛监狱</w:t>
      </w:r>
      <w:r>
        <w:rPr>
          <w:rFonts w:ascii="仿宋" w:hAnsi="仿宋" w:eastAsia="仿宋" w:cs="Courier New"/>
          <w:sz w:val="32"/>
          <w:szCs w:val="32"/>
        </w:rPr>
        <w:t>警示教育基地运行经费</w:t>
      </w:r>
      <w:r>
        <w:rPr>
          <w:rFonts w:hint="eastAsia" w:ascii="仿宋" w:hAnsi="仿宋" w:eastAsia="仿宋" w:cs="Courier New"/>
          <w:sz w:val="32"/>
          <w:szCs w:val="32"/>
        </w:rPr>
        <w:t>：保障警示教育基地正常运行。</w:t>
      </w:r>
    </w:p>
    <w:p>
      <w:pPr>
        <w:spacing w:line="560" w:lineRule="exact"/>
        <w:ind w:firstLine="566" w:firstLineChars="177"/>
        <w:rPr>
          <w:rFonts w:ascii="仿宋" w:hAnsi="仿宋" w:eastAsia="仿宋" w:cs="Courier New"/>
          <w:sz w:val="32"/>
          <w:szCs w:val="32"/>
        </w:rPr>
      </w:pPr>
      <w:r>
        <w:rPr>
          <w:rFonts w:ascii="仿宋" w:hAnsi="仿宋" w:eastAsia="仿宋" w:cs="Courier New"/>
          <w:sz w:val="32"/>
          <w:szCs w:val="32"/>
        </w:rPr>
        <w:t>8.</w:t>
      </w:r>
      <w:r>
        <w:rPr>
          <w:rFonts w:hint="eastAsia" w:ascii="仿宋" w:hAnsi="仿宋" w:eastAsia="仿宋" w:cs="Courier New"/>
          <w:sz w:val="32"/>
          <w:szCs w:val="32"/>
        </w:rPr>
        <w:t>北墅监狱医疗保健费：保障在职警察身体健康。</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9.</w:t>
      </w:r>
      <w:r>
        <w:rPr>
          <w:rFonts w:hint="eastAsia" w:ascii="仿宋" w:hAnsi="仿宋" w:eastAsia="仿宋" w:cs="Courier New"/>
          <w:sz w:val="32"/>
          <w:szCs w:val="32"/>
        </w:rPr>
        <w:t>强戒所</w:t>
      </w:r>
      <w:r>
        <w:rPr>
          <w:rFonts w:ascii="仿宋" w:hAnsi="仿宋" w:eastAsia="仿宋" w:cs="Courier New"/>
          <w:sz w:val="32"/>
          <w:szCs w:val="32"/>
        </w:rPr>
        <w:t>强戒人员业务费</w:t>
      </w:r>
      <w:r>
        <w:rPr>
          <w:rFonts w:hint="eastAsia" w:ascii="仿宋" w:hAnsi="仿宋" w:eastAsia="仿宋" w:cs="Courier New"/>
          <w:sz w:val="32"/>
          <w:szCs w:val="32"/>
        </w:rPr>
        <w:t>：</w:t>
      </w:r>
      <w:r>
        <w:rPr>
          <w:rFonts w:hint="eastAsia" w:ascii="仿宋" w:hAnsi="仿宋" w:eastAsia="仿宋" w:cs="宋体"/>
          <w:kern w:val="0"/>
          <w:sz w:val="32"/>
          <w:szCs w:val="32"/>
        </w:rPr>
        <w:t>严格按照经费标准，通过保障强制隔离戒所发生的强制隔离戒毒人员调遣费、突发事件处置费、安保费等费用的正常支出，确保安保维修次数，突发事件处置达标率、及时率等绩效目标顺利完成。</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10.</w:t>
      </w:r>
      <w:r>
        <w:rPr>
          <w:rFonts w:hint="eastAsia" w:ascii="仿宋" w:hAnsi="仿宋" w:eastAsia="仿宋" w:cs="Courier New"/>
          <w:sz w:val="32"/>
          <w:szCs w:val="32"/>
        </w:rPr>
        <w:t>强戒所</w:t>
      </w:r>
      <w:r>
        <w:rPr>
          <w:rFonts w:ascii="仿宋" w:hAnsi="仿宋" w:eastAsia="仿宋" w:cs="Courier New"/>
          <w:sz w:val="32"/>
          <w:szCs w:val="32"/>
        </w:rPr>
        <w:t>强戒人员</w:t>
      </w:r>
      <w:r>
        <w:rPr>
          <w:rFonts w:hint="eastAsia" w:ascii="仿宋" w:hAnsi="仿宋" w:eastAsia="仿宋" w:cs="Courier New"/>
          <w:sz w:val="32"/>
          <w:szCs w:val="32"/>
        </w:rPr>
        <w:t>生活</w:t>
      </w:r>
      <w:r>
        <w:rPr>
          <w:rFonts w:ascii="仿宋" w:hAnsi="仿宋" w:eastAsia="仿宋" w:cs="Courier New"/>
          <w:sz w:val="32"/>
          <w:szCs w:val="32"/>
        </w:rPr>
        <w:t>费</w:t>
      </w:r>
      <w:r>
        <w:rPr>
          <w:rFonts w:hint="eastAsia" w:ascii="仿宋" w:hAnsi="仿宋" w:eastAsia="仿宋" w:cs="Courier New"/>
          <w:sz w:val="32"/>
          <w:szCs w:val="32"/>
        </w:rPr>
        <w:t>：</w:t>
      </w:r>
      <w:r>
        <w:rPr>
          <w:rFonts w:hint="eastAsia" w:ascii="仿宋" w:hAnsi="仿宋" w:eastAsia="仿宋" w:cs="宋体"/>
          <w:kern w:val="0"/>
          <w:sz w:val="32"/>
          <w:szCs w:val="32"/>
        </w:rPr>
        <w:t>严格按照经费标准，通过强制隔离戒毒人员伙食费、被服费、水电费、日用品补助费、医疗康复费等费用的正常支出，确保接收强戒人员人数、强戒人员就餐人数、医疗保障人数、伙食食物量达标率、饮食合格率、强戒人员就医及时率、强制隔离戒毒人员生活成本等绩效目标顺利完成。</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11.</w:t>
      </w:r>
      <w:r>
        <w:rPr>
          <w:rFonts w:hint="eastAsia" w:ascii="仿宋" w:hAnsi="仿宋" w:eastAsia="仿宋" w:cs="Courier New"/>
          <w:sz w:val="32"/>
          <w:szCs w:val="32"/>
        </w:rPr>
        <w:t>强戒所</w:t>
      </w:r>
      <w:r>
        <w:rPr>
          <w:rFonts w:ascii="仿宋" w:hAnsi="仿宋" w:eastAsia="仿宋" w:cs="Courier New"/>
          <w:sz w:val="32"/>
          <w:szCs w:val="32"/>
        </w:rPr>
        <w:t>强戒人员</w:t>
      </w:r>
      <w:r>
        <w:rPr>
          <w:rFonts w:hint="eastAsia" w:ascii="仿宋" w:hAnsi="仿宋" w:eastAsia="仿宋" w:cs="Courier New"/>
          <w:sz w:val="32"/>
          <w:szCs w:val="32"/>
        </w:rPr>
        <w:t>教育</w:t>
      </w:r>
      <w:r>
        <w:rPr>
          <w:rFonts w:ascii="仿宋" w:hAnsi="仿宋" w:eastAsia="仿宋" w:cs="Courier New"/>
          <w:sz w:val="32"/>
          <w:szCs w:val="32"/>
        </w:rPr>
        <w:t>费</w:t>
      </w:r>
      <w:r>
        <w:rPr>
          <w:rFonts w:hint="eastAsia" w:ascii="仿宋" w:hAnsi="仿宋" w:eastAsia="仿宋" w:cs="Courier New"/>
          <w:sz w:val="32"/>
          <w:szCs w:val="32"/>
        </w:rPr>
        <w:t>：</w:t>
      </w:r>
      <w:r>
        <w:rPr>
          <w:rFonts w:hint="eastAsia" w:ascii="仿宋" w:hAnsi="仿宋" w:eastAsia="仿宋" w:cs="宋体"/>
          <w:kern w:val="0"/>
          <w:sz w:val="32"/>
          <w:szCs w:val="32"/>
        </w:rPr>
        <w:t>严格按照经费标准，通过保障强制隔离戒毒人员教育矫治费、心理咨询费、习艺费、诊断评估费等费用的正常支出，确保组织教育矫治、心理咨询、社会技能培训达标率、组织培训及时率等绩效目标顺利完成。</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12.</w:t>
      </w:r>
      <w:r>
        <w:rPr>
          <w:rFonts w:hint="eastAsia" w:ascii="仿宋" w:hAnsi="仿宋" w:eastAsia="仿宋" w:cs="Courier New"/>
          <w:sz w:val="32"/>
          <w:szCs w:val="32"/>
        </w:rPr>
        <w:t>强戒所所政设施建设</w:t>
      </w:r>
      <w:r>
        <w:rPr>
          <w:rFonts w:ascii="仿宋" w:hAnsi="仿宋" w:eastAsia="仿宋" w:cs="Courier New"/>
          <w:sz w:val="32"/>
          <w:szCs w:val="32"/>
        </w:rPr>
        <w:t>费</w:t>
      </w:r>
      <w:r>
        <w:rPr>
          <w:rFonts w:hint="eastAsia" w:ascii="仿宋" w:hAnsi="仿宋" w:eastAsia="仿宋" w:cs="Courier New"/>
          <w:sz w:val="32"/>
          <w:szCs w:val="32"/>
        </w:rPr>
        <w:t>：</w:t>
      </w:r>
      <w:r>
        <w:rPr>
          <w:rFonts w:hint="eastAsia" w:ascii="仿宋" w:hAnsi="仿宋" w:eastAsia="仿宋" w:cs="宋体"/>
          <w:kern w:val="0"/>
          <w:sz w:val="32"/>
          <w:szCs w:val="32"/>
        </w:rPr>
        <w:t>严格按照经费标准，通过保障制隔离戒所所政设施建设及维修、技术装备购置等费用的正常支出，确保强戒人员脱逃人数、安防设施运行无故障率、所政设施维修验收合格率、设备维修响应时间等绩效指标顺利完成。</w:t>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13</w:t>
      </w:r>
      <w:r>
        <w:rPr>
          <w:rFonts w:hint="eastAsia" w:ascii="仿宋" w:hAnsi="仿宋" w:eastAsia="仿宋" w:cs="Courier New"/>
          <w:sz w:val="32"/>
          <w:szCs w:val="32"/>
        </w:rPr>
        <w:t>. 强戒水电及网络通讯</w:t>
      </w:r>
      <w:r>
        <w:rPr>
          <w:rFonts w:ascii="仿宋" w:hAnsi="仿宋" w:eastAsia="仿宋" w:cs="Courier New"/>
          <w:sz w:val="32"/>
          <w:szCs w:val="32"/>
        </w:rPr>
        <w:t>费</w:t>
      </w:r>
      <w:r>
        <w:rPr>
          <w:rFonts w:hint="eastAsia" w:ascii="仿宋" w:hAnsi="仿宋" w:eastAsia="仿宋" w:cs="Courier New"/>
          <w:sz w:val="32"/>
          <w:szCs w:val="32"/>
        </w:rPr>
        <w:t>：</w:t>
      </w:r>
      <w:r>
        <w:rPr>
          <w:rFonts w:hint="eastAsia" w:ascii="仿宋" w:hAnsi="仿宋" w:eastAsia="仿宋" w:cs="宋体"/>
          <w:kern w:val="0"/>
          <w:sz w:val="32"/>
          <w:szCs w:val="32"/>
        </w:rPr>
        <w:t>严格按照经费支出范围及标准，通过全所警戒用电补助、强戒人员生活用水补助及单警移动网络平台租赁费用，保障全所各项工作正常运转。</w:t>
      </w:r>
    </w:p>
    <w:p>
      <w:pPr>
        <w:spacing w:line="560" w:lineRule="exact"/>
        <w:ind w:firstLine="566" w:firstLineChars="177"/>
        <w:rPr>
          <w:rFonts w:ascii="仿宋" w:hAnsi="仿宋" w:eastAsia="仿宋" w:cs="Courier New"/>
          <w:sz w:val="32"/>
          <w:szCs w:val="32"/>
        </w:rPr>
      </w:pPr>
      <w:r>
        <w:rPr>
          <w:rFonts w:ascii="仿宋" w:hAnsi="仿宋" w:eastAsia="仿宋" w:cs="Courier New"/>
          <w:sz w:val="32"/>
          <w:szCs w:val="32"/>
        </w:rPr>
        <w:t>14.</w:t>
      </w:r>
      <w:r>
        <w:rPr>
          <w:rFonts w:hint="eastAsia" w:ascii="仿宋" w:hAnsi="仿宋" w:eastAsia="仿宋" w:cs="Courier New"/>
          <w:sz w:val="32"/>
          <w:szCs w:val="32"/>
        </w:rPr>
        <w:t>援助中心</w:t>
      </w:r>
      <w:r>
        <w:rPr>
          <w:rFonts w:ascii="仿宋" w:hAnsi="仿宋" w:eastAsia="仿宋" w:cs="Courier New"/>
          <w:sz w:val="32"/>
          <w:szCs w:val="32"/>
        </w:rPr>
        <w:t>法律援助</w:t>
      </w:r>
      <w:r>
        <w:rPr>
          <w:rFonts w:hint="eastAsia" w:ascii="仿宋" w:hAnsi="仿宋" w:eastAsia="仿宋" w:cs="Courier New"/>
          <w:sz w:val="32"/>
          <w:szCs w:val="32"/>
        </w:rPr>
        <w:t>及12348业务</w:t>
      </w:r>
      <w:r>
        <w:rPr>
          <w:rFonts w:ascii="仿宋" w:hAnsi="仿宋" w:eastAsia="仿宋" w:cs="Courier New"/>
          <w:sz w:val="32"/>
          <w:szCs w:val="32"/>
        </w:rPr>
        <w:t>费</w:t>
      </w:r>
      <w:r>
        <w:rPr>
          <w:rFonts w:hint="eastAsia" w:ascii="仿宋" w:hAnsi="仿宋" w:eastAsia="仿宋" w:cs="Courier New"/>
          <w:sz w:val="32"/>
          <w:szCs w:val="32"/>
        </w:rPr>
        <w:t>：完成年度工作目标法律援助办案量及12348正常运行。</w:t>
      </w:r>
    </w:p>
    <w:p>
      <w:pPr>
        <w:tabs>
          <w:tab w:val="left" w:pos="1770"/>
        </w:tabs>
        <w:rPr>
          <w:rFonts w:ascii="仿宋" w:hAnsi="仿宋" w:eastAsia="仿宋" w:cs="Courier New"/>
          <w:sz w:val="32"/>
          <w:szCs w:val="32"/>
        </w:rPr>
      </w:pPr>
      <w:r>
        <w:rPr>
          <w:rFonts w:ascii="仿宋" w:hAnsi="仿宋" w:eastAsia="仿宋" w:cs="Courier New"/>
          <w:sz w:val="32"/>
          <w:szCs w:val="32"/>
        </w:rPr>
        <w:tab/>
      </w:r>
    </w:p>
    <w:p>
      <w:pPr>
        <w:widowControl/>
        <w:spacing w:line="560" w:lineRule="exact"/>
        <w:ind w:firstLine="566" w:firstLineChars="177"/>
        <w:rPr>
          <w:rFonts w:ascii="仿宋" w:hAnsi="仿宋" w:eastAsia="仿宋" w:cs="宋体"/>
          <w:kern w:val="0"/>
          <w:sz w:val="32"/>
          <w:szCs w:val="32"/>
        </w:rPr>
      </w:pPr>
      <w:r>
        <w:rPr>
          <w:rFonts w:ascii="仿宋" w:hAnsi="仿宋" w:eastAsia="仿宋" w:cs="Courier New"/>
          <w:sz w:val="32"/>
          <w:szCs w:val="32"/>
        </w:rPr>
        <w:t>15.</w:t>
      </w:r>
      <w:r>
        <w:rPr>
          <w:rFonts w:hint="eastAsia" w:ascii="仿宋" w:hAnsi="仿宋" w:eastAsia="仿宋" w:cs="Courier New"/>
          <w:sz w:val="32"/>
          <w:szCs w:val="32"/>
        </w:rPr>
        <w:t>援助</w:t>
      </w:r>
      <w:r>
        <w:rPr>
          <w:rFonts w:ascii="仿宋" w:hAnsi="仿宋" w:eastAsia="仿宋" w:cs="Courier New"/>
          <w:sz w:val="32"/>
          <w:szCs w:val="32"/>
        </w:rPr>
        <w:t>中心公共法律服务</w:t>
      </w:r>
      <w:r>
        <w:rPr>
          <w:rFonts w:hint="eastAsia" w:ascii="仿宋" w:hAnsi="仿宋" w:eastAsia="仿宋" w:cs="Courier New"/>
          <w:sz w:val="32"/>
          <w:szCs w:val="32"/>
        </w:rPr>
        <w:t>大厅</w:t>
      </w:r>
      <w:r>
        <w:rPr>
          <w:rFonts w:ascii="仿宋" w:hAnsi="仿宋" w:eastAsia="仿宋" w:cs="Courier New"/>
          <w:sz w:val="32"/>
          <w:szCs w:val="32"/>
        </w:rPr>
        <w:t>办公及建设费</w:t>
      </w:r>
      <w:r>
        <w:rPr>
          <w:rFonts w:hint="eastAsia" w:ascii="仿宋" w:hAnsi="仿宋" w:eastAsia="仿宋" w:cs="Courier New"/>
          <w:sz w:val="32"/>
          <w:szCs w:val="32"/>
        </w:rPr>
        <w:t>：</w:t>
      </w:r>
      <w:r>
        <w:rPr>
          <w:rFonts w:hint="eastAsia" w:ascii="仿宋" w:hAnsi="仿宋" w:eastAsia="仿宋" w:cs="宋体"/>
          <w:kern w:val="0"/>
          <w:sz w:val="32"/>
          <w:szCs w:val="32"/>
        </w:rPr>
        <w:t>法治宣传教育服务，建立律师调解工作室，进行非诉讼矛盾纠纷化解，维护社会稳定，建立法治营商环境。</w:t>
      </w:r>
    </w:p>
    <w:p>
      <w:pPr>
        <w:spacing w:line="560" w:lineRule="exact"/>
        <w:ind w:firstLine="640" w:firstLineChars="200"/>
        <w:rPr>
          <w:rFonts w:ascii="仿宋_GB2312" w:hAnsi="宋体" w:eastAsia="仿宋_GB2312" w:cs="Courier New"/>
          <w:sz w:val="32"/>
          <w:szCs w:val="32"/>
        </w:rPr>
      </w:pPr>
    </w:p>
    <w:p>
      <w:pPr>
        <w:spacing w:line="560" w:lineRule="exact"/>
        <w:ind w:firstLine="640" w:firstLineChars="200"/>
        <w:rPr>
          <w:rFonts w:ascii="仿宋_GB2312" w:hAnsi="宋体" w:eastAsia="仿宋_GB2312" w:cs="Courier New"/>
          <w:sz w:val="32"/>
          <w:szCs w:val="32"/>
        </w:rPr>
      </w:pPr>
    </w:p>
    <w:p>
      <w:pPr>
        <w:rPr>
          <w:rFonts w:ascii="黑体" w:eastAsia="黑体"/>
          <w:sz w:val="48"/>
          <w:szCs w:val="48"/>
        </w:rPr>
      </w:pPr>
    </w:p>
    <w:p>
      <w:pPr>
        <w:rPr>
          <w:rFonts w:ascii="黑体" w:eastAsia="黑体"/>
          <w:sz w:val="48"/>
          <w:szCs w:val="48"/>
        </w:rPr>
      </w:pPr>
    </w:p>
    <w:p>
      <w:pPr>
        <w:rPr>
          <w:rFonts w:ascii="黑体" w:eastAsia="黑体"/>
          <w:sz w:val="48"/>
          <w:szCs w:val="48"/>
        </w:rPr>
      </w:pPr>
    </w:p>
    <w:p>
      <w:pPr>
        <w:rPr>
          <w:rFonts w:ascii="黑体" w:eastAsia="黑体"/>
          <w:sz w:val="48"/>
          <w:szCs w:val="48"/>
        </w:rPr>
      </w:pPr>
    </w:p>
    <w:p>
      <w:pPr>
        <w:rPr>
          <w:rFonts w:ascii="黑体" w:eastAsia="黑体"/>
          <w:sz w:val="48"/>
          <w:szCs w:val="48"/>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spacing w:line="580" w:lineRule="exact"/>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指由市级财政拨款形成的部门收入。按现行管理制度，市级部门预算中反映的财政拨款包括一般公共预算拨款、政府性基金预算拨款和国有资本经营预算拨款。</w:t>
      </w:r>
    </w:p>
    <w:p>
      <w:pPr>
        <w:spacing w:line="580" w:lineRule="exact"/>
        <w:ind w:firstLine="640" w:firstLineChars="200"/>
        <w:rPr>
          <w:rFonts w:ascii="仿宋_GB2312" w:eastAsia="仿宋_GB2312"/>
          <w:sz w:val="32"/>
          <w:szCs w:val="32"/>
        </w:rPr>
      </w:pPr>
      <w:r>
        <w:rPr>
          <w:rFonts w:hint="eastAsia" w:ascii="黑体" w:hAnsi="黑体" w:eastAsia="黑体" w:cs="黑体"/>
          <w:sz w:val="32"/>
          <w:szCs w:val="32"/>
        </w:rPr>
        <w:t>二、财政专户管理资金：</w:t>
      </w:r>
      <w:r>
        <w:rPr>
          <w:rFonts w:hint="eastAsia" w:ascii="仿宋_GB2312" w:eastAsia="仿宋_GB2312"/>
          <w:sz w:val="32"/>
          <w:szCs w:val="32"/>
        </w:rPr>
        <w:t>指单位纳入财政专户管理的资金。主要包括教育收费、公立幼儿园接受的捐赠收入等。</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指事业单位开展专业业务活动及辅助活动取得的收入。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四、事业单位经营收入：</w:t>
      </w:r>
      <w:r>
        <w:rPr>
          <w:rFonts w:hint="eastAsia" w:ascii="仿宋_GB2312" w:hAnsi="仿宋" w:eastAsia="仿宋_GB2312"/>
          <w:sz w:val="32"/>
          <w:szCs w:val="32"/>
        </w:rPr>
        <w:t>指事业单位在专业业务活动及其辅助活动之外开展非独立核算经营活动取得的收入。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五、其他收入：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”、“事业收入”、“事业单位经营收入”等以外的收入。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六、上级补助收入：</w:t>
      </w:r>
      <w:r>
        <w:rPr>
          <w:rFonts w:hint="eastAsia" w:ascii="仿宋_GB2312" w:hAnsi="仿宋" w:eastAsia="仿宋_GB2312"/>
          <w:sz w:val="32"/>
          <w:szCs w:val="32"/>
        </w:rPr>
        <w:t>指单位从主管部门和上级单位取得的非财政补助收入。</w:t>
      </w:r>
    </w:p>
    <w:p>
      <w:pPr>
        <w:spacing w:line="580" w:lineRule="exact"/>
        <w:ind w:firstLine="640" w:firstLineChars="200"/>
        <w:rPr>
          <w:rFonts w:ascii="仿宋_GB2312" w:hAnsi="仿宋" w:eastAsia="仿宋_GB2312"/>
          <w:sz w:val="32"/>
          <w:szCs w:val="32"/>
        </w:rPr>
      </w:pPr>
      <w:r>
        <w:rPr>
          <w:rFonts w:hint="eastAsia" w:ascii="黑体" w:hAnsi="黑体" w:eastAsia="黑体" w:cs="黑体"/>
          <w:sz w:val="32"/>
          <w:szCs w:val="32"/>
        </w:rPr>
        <w:t>七、用事业基金弥补收支差额：</w:t>
      </w:r>
      <w:r>
        <w:rPr>
          <w:rFonts w:hint="eastAsia" w:ascii="仿宋_GB2312" w:hAnsi="仿宋" w:eastAsia="仿宋_GB2312"/>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八、上年结转：</w:t>
      </w:r>
      <w:r>
        <w:rPr>
          <w:rFonts w:hint="eastAsia" w:ascii="仿宋_GB2312" w:eastAsia="仿宋_GB2312"/>
          <w:sz w:val="32"/>
          <w:szCs w:val="32"/>
        </w:rPr>
        <w:t>指以前年度尚未完成、结转到本年仍按原规定用途继续使用的资金。</w:t>
      </w:r>
    </w:p>
    <w:p>
      <w:pPr>
        <w:spacing w:line="580" w:lineRule="exact"/>
        <w:ind w:firstLine="600"/>
        <w:rPr>
          <w:rFonts w:ascii="仿宋_GB2312" w:eastAsia="仿宋_GB2312"/>
          <w:sz w:val="32"/>
          <w:szCs w:val="32"/>
        </w:rPr>
      </w:pPr>
      <w:r>
        <w:rPr>
          <w:rFonts w:hint="eastAsia" w:ascii="黑体" w:hAnsi="黑体" w:eastAsia="黑体"/>
          <w:sz w:val="32"/>
          <w:szCs w:val="32"/>
        </w:rPr>
        <w:t>九、基本支出：</w:t>
      </w:r>
      <w:r>
        <w:rPr>
          <w:rFonts w:hint="eastAsia" w:ascii="仿宋_GB2312" w:eastAsia="仿宋_GB2312"/>
          <w:sz w:val="32"/>
          <w:szCs w:val="32"/>
        </w:rPr>
        <w:t>指为保障机构正常运转、完成日常工作任务而发生的人员经费和日常公用经费。</w:t>
      </w:r>
    </w:p>
    <w:p>
      <w:pPr>
        <w:spacing w:line="580" w:lineRule="exact"/>
        <w:ind w:firstLine="600"/>
        <w:rPr>
          <w:rFonts w:ascii="仿宋_GB2312" w:eastAsia="仿宋_GB2312"/>
          <w:sz w:val="32"/>
          <w:szCs w:val="32"/>
        </w:rPr>
      </w:pPr>
      <w:r>
        <w:rPr>
          <w:rFonts w:hint="eastAsia" w:ascii="黑体" w:hAnsi="黑体" w:eastAsia="黑体"/>
          <w:sz w:val="32"/>
          <w:szCs w:val="32"/>
        </w:rPr>
        <w:t>十、项目支出：</w:t>
      </w:r>
      <w:r>
        <w:rPr>
          <w:rFonts w:hint="eastAsia" w:ascii="仿宋_GB2312" w:eastAsia="仿宋_GB2312"/>
          <w:sz w:val="32"/>
          <w:szCs w:val="32"/>
        </w:rPr>
        <w:t>指在基本支出之外为完成特定的任务和事业发展目标所发生的支出。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十一、“三公”经费：</w:t>
      </w:r>
      <w:r>
        <w:rPr>
          <w:rFonts w:hint="eastAsia" w:ascii="仿宋_GB2312" w:eastAsia="仿宋_GB2312"/>
          <w:sz w:val="32"/>
          <w:szCs w:val="32"/>
        </w:rPr>
        <w:t>指市级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购置支出（含车辆购置税）及燃料费、维修费、过路过桥费、保险费、安全奖励费用等支出；公务接待费反映单位按规定开支的各类接待（含外宾接待）支出。</w:t>
      </w:r>
    </w:p>
    <w:p>
      <w:pPr>
        <w:spacing w:line="580" w:lineRule="exact"/>
        <w:ind w:firstLine="640" w:firstLineChars="200"/>
        <w:rPr>
          <w:rFonts w:ascii="仿宋_GB2312" w:eastAsia="仿宋_GB2312"/>
          <w:sz w:val="32"/>
          <w:szCs w:val="32"/>
        </w:rPr>
      </w:pPr>
      <w:r>
        <w:rPr>
          <w:rFonts w:hint="eastAsia" w:ascii="黑体" w:hAnsi="黑体" w:eastAsia="黑体"/>
          <w:sz w:val="32"/>
          <w:szCs w:val="32"/>
        </w:rPr>
        <w:t>十二、机关运行经费：</w:t>
      </w:r>
      <w:r>
        <w:rPr>
          <w:rFonts w:hint="eastAsia" w:ascii="仿宋_GB2312" w:hAnsi="仿宋_GB2312" w:eastAsia="仿宋_GB2312" w:cs="仿宋_GB2312"/>
          <w:sz w:val="32"/>
          <w:szCs w:val="32"/>
        </w:rPr>
        <w:t>指市级行政单位(</w:t>
      </w:r>
      <w:r>
        <w:rPr>
          <w:rFonts w:hint="eastAsia" w:ascii="仿宋_GB2312" w:eastAsia="仿宋_GB2312"/>
          <w:sz w:val="32"/>
          <w:szCs w:val="32"/>
        </w:rPr>
        <w:t>含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十三、各部门所使用的支出功能分类科目解释说明</w:t>
      </w:r>
    </w:p>
    <w:p>
      <w:pPr>
        <w:numPr>
          <w:ilvl w:val="0"/>
          <w:numId w:val="1"/>
        </w:numPr>
        <w:spacing w:line="580" w:lineRule="exact"/>
        <w:rPr>
          <w:rFonts w:eastAsia="仿宋_GB2312"/>
          <w:sz w:val="32"/>
          <w:szCs w:val="32"/>
        </w:rPr>
      </w:pPr>
      <w:r>
        <w:rPr>
          <w:rFonts w:eastAsia="黑体"/>
          <w:sz w:val="32"/>
          <w:szCs w:val="32"/>
        </w:rPr>
        <w:t>司法</w:t>
      </w:r>
      <w:r>
        <w:rPr>
          <w:rFonts w:eastAsia="仿宋_GB2312"/>
          <w:sz w:val="32"/>
          <w:szCs w:val="32"/>
        </w:rPr>
        <w:t>：反映司法行政事务支出。</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法律援助：</w:t>
      </w:r>
      <w:r>
        <w:rPr>
          <w:rFonts w:eastAsia="仿宋_GB2312"/>
          <w:sz w:val="32"/>
          <w:szCs w:val="32"/>
        </w:rPr>
        <w:t>反映各级法律援助机构用于开展法律援助工作的支出。</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监狱：</w:t>
      </w:r>
      <w:r>
        <w:rPr>
          <w:rFonts w:eastAsia="仿宋_GB2312"/>
          <w:sz w:val="32"/>
          <w:szCs w:val="32"/>
        </w:rPr>
        <w:t>反映监狱管理事务支出。</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犯人生活：</w:t>
      </w:r>
      <w:r>
        <w:rPr>
          <w:rFonts w:eastAsia="仿宋_GB2312"/>
          <w:sz w:val="32"/>
          <w:szCs w:val="32"/>
        </w:rPr>
        <w:t>反映用于监狱犯人生活的各项开支，包括伙食费、被服费、水电费、日用品补助费、医疗卫生防疫费、杂支费、监舍用具购置费等。</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犯人改造：</w:t>
      </w:r>
      <w:r>
        <w:rPr>
          <w:rFonts w:eastAsia="仿宋_GB2312"/>
          <w:sz w:val="32"/>
          <w:szCs w:val="32"/>
        </w:rPr>
        <w:t>反映监狱管理部门及监狱用于犯人改造的各项开支，包括狱政费、教育改造费、劳动改造费、犯人医院及医务所补助、技术装备消耗费、戒毒及传染病查治费等。</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其他监狱支出</w:t>
      </w:r>
      <w:r>
        <w:rPr>
          <w:rFonts w:eastAsia="仿宋_GB2312"/>
          <w:sz w:val="32"/>
          <w:szCs w:val="32"/>
        </w:rPr>
        <w:t>：反映监狱管理部门及监狱发生的调犯费、突发事件及预案处置费、特殊案件经费、驻监武警等机构补助费、警察服装费、宣传及奖励费、老残人员经费、罪犯技术辅导人员及关键要害岗位人员补助费等支出。</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强制隔离戒毒：</w:t>
      </w:r>
      <w:r>
        <w:rPr>
          <w:rFonts w:eastAsia="仿宋_GB2312"/>
          <w:sz w:val="32"/>
          <w:szCs w:val="32"/>
        </w:rPr>
        <w:t>反映强制隔离戒毒管理事务支出。</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强制隔离戒毒人员生活：</w:t>
      </w:r>
      <w:r>
        <w:rPr>
          <w:rFonts w:eastAsia="仿宋_GB2312"/>
          <w:sz w:val="32"/>
          <w:szCs w:val="32"/>
        </w:rPr>
        <w:t>反映强制隔离戒毒管理部门及强制隔离戒毒所用于强制隔离戒毒人员生活的各项开支，包括伙食费、被服费、水电费、日用品补助费、医疗康复费、杂支费等。</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强制隔离戒毒人员教育：</w:t>
      </w:r>
      <w:r>
        <w:rPr>
          <w:rFonts w:eastAsia="仿宋_GB2312"/>
          <w:sz w:val="32"/>
          <w:szCs w:val="32"/>
        </w:rPr>
        <w:t>反映强制隔离戒毒管理部门及强制隔离戒毒所用于强制隔离戒毒人员教育的各项支出，包括教育矫治费、心理治疗费、习艺费、社会帮教费、回访调查费、传染病查治费、诊断评估费。</w:t>
      </w:r>
    </w:p>
    <w:p>
      <w:pPr>
        <w:numPr>
          <w:ilvl w:val="0"/>
          <w:numId w:val="1"/>
        </w:numPr>
        <w:tabs>
          <w:tab w:val="clear" w:pos="1720"/>
        </w:tabs>
        <w:spacing w:line="580" w:lineRule="exact"/>
        <w:ind w:left="0" w:firstLine="640"/>
        <w:rPr>
          <w:rFonts w:eastAsia="仿宋_GB2312"/>
          <w:sz w:val="32"/>
          <w:szCs w:val="32"/>
        </w:rPr>
      </w:pPr>
      <w:r>
        <w:rPr>
          <w:rFonts w:eastAsia="黑体"/>
          <w:sz w:val="32"/>
          <w:szCs w:val="32"/>
        </w:rPr>
        <w:t>所政设施建设：</w:t>
      </w:r>
      <w:r>
        <w:rPr>
          <w:rFonts w:eastAsia="仿宋_GB2312"/>
          <w:sz w:val="32"/>
          <w:szCs w:val="32"/>
        </w:rPr>
        <w:t>反映强制隔离戒毒管理部门及强制隔离戒毒所所政设施建设及维修、技术装备购置等方面的支出。</w:t>
      </w:r>
    </w:p>
    <w:p>
      <w:pPr>
        <w:numPr>
          <w:ilvl w:val="0"/>
          <w:numId w:val="1"/>
        </w:numPr>
        <w:tabs>
          <w:tab w:val="clear" w:pos="1720"/>
        </w:tabs>
        <w:spacing w:line="580" w:lineRule="exact"/>
        <w:ind w:left="0" w:firstLine="640" w:firstLineChars="200"/>
        <w:rPr>
          <w:rFonts w:ascii="仿宋_GB2312" w:eastAsia="仿宋_GB2312"/>
          <w:sz w:val="32"/>
          <w:szCs w:val="32"/>
        </w:rPr>
      </w:pPr>
      <w:r>
        <w:rPr>
          <w:rFonts w:eastAsia="黑体"/>
          <w:sz w:val="32"/>
          <w:szCs w:val="32"/>
        </w:rPr>
        <w:t>其他强制隔离戒毒支出：</w:t>
      </w:r>
      <w:r>
        <w:rPr>
          <w:rFonts w:eastAsia="仿宋_GB2312"/>
          <w:sz w:val="32"/>
          <w:szCs w:val="32"/>
        </w:rPr>
        <w:t>反映强制隔离戒毒管理部门及强制隔离戒毒所发生的强制隔离戒毒人员调遣费、突发事件处置费、安全保卫费、警察服装费、宣传及奖励费、技术辅导人员及关键要害岗位人员补助费等支出。</w:t>
      </w:r>
    </w:p>
    <w:p/>
    <w:sectPr>
      <w:pgSz w:w="11906" w:h="16838"/>
      <w:pgMar w:top="1440" w:right="1797" w:bottom="1440" w:left="179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星简大标宋">
    <w:altName w:val="微软雅黑"/>
    <w:panose1 w:val="00000000000000000000"/>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- 40 -</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861F1"/>
    <w:multiLevelType w:val="multilevel"/>
    <w:tmpl w:val="309861F1"/>
    <w:lvl w:ilvl="0" w:tentative="0">
      <w:start w:val="1"/>
      <w:numFmt w:val="japaneseCounting"/>
      <w:lvlText w:val="（%1）"/>
      <w:lvlJc w:val="left"/>
      <w:pPr>
        <w:tabs>
          <w:tab w:val="left" w:pos="1720"/>
        </w:tabs>
        <w:ind w:left="1720" w:hanging="1080"/>
      </w:pPr>
      <w:rPr>
        <w:rFonts w:hint="default" w:ascii="黑体" w:hAnsi="黑体" w:eastAsia="黑体"/>
        <w:sz w:val="32"/>
        <w:szCs w:val="32"/>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OGE4ODc2OTJiYjkyY2Q5YjNkMzY5ODg1ZDk1NTkifQ=="/>
  </w:docVars>
  <w:rsids>
    <w:rsidRoot w:val="002A48C1"/>
    <w:rsid w:val="000063F7"/>
    <w:rsid w:val="00053B97"/>
    <w:rsid w:val="0006751A"/>
    <w:rsid w:val="00074902"/>
    <w:rsid w:val="00077A9C"/>
    <w:rsid w:val="000A292C"/>
    <w:rsid w:val="000A7226"/>
    <w:rsid w:val="000C2195"/>
    <w:rsid w:val="000E539F"/>
    <w:rsid w:val="00104564"/>
    <w:rsid w:val="00140F03"/>
    <w:rsid w:val="00173122"/>
    <w:rsid w:val="001C4C21"/>
    <w:rsid w:val="00220510"/>
    <w:rsid w:val="002300C6"/>
    <w:rsid w:val="00234F10"/>
    <w:rsid w:val="00251EB7"/>
    <w:rsid w:val="00253763"/>
    <w:rsid w:val="00261903"/>
    <w:rsid w:val="002720C0"/>
    <w:rsid w:val="002900BB"/>
    <w:rsid w:val="002A3D1F"/>
    <w:rsid w:val="002A48C1"/>
    <w:rsid w:val="002B2A07"/>
    <w:rsid w:val="002D6DDF"/>
    <w:rsid w:val="0032041B"/>
    <w:rsid w:val="003236A5"/>
    <w:rsid w:val="00367132"/>
    <w:rsid w:val="00373508"/>
    <w:rsid w:val="003776AB"/>
    <w:rsid w:val="00417349"/>
    <w:rsid w:val="00436C2B"/>
    <w:rsid w:val="004471F6"/>
    <w:rsid w:val="0045636B"/>
    <w:rsid w:val="0045652B"/>
    <w:rsid w:val="00456A58"/>
    <w:rsid w:val="00487E05"/>
    <w:rsid w:val="004C00D3"/>
    <w:rsid w:val="004E06B2"/>
    <w:rsid w:val="005158B8"/>
    <w:rsid w:val="00523CD1"/>
    <w:rsid w:val="00524987"/>
    <w:rsid w:val="00527803"/>
    <w:rsid w:val="0053208D"/>
    <w:rsid w:val="005334C3"/>
    <w:rsid w:val="00541254"/>
    <w:rsid w:val="00550F4E"/>
    <w:rsid w:val="00551207"/>
    <w:rsid w:val="0056113C"/>
    <w:rsid w:val="00577880"/>
    <w:rsid w:val="005A7C9C"/>
    <w:rsid w:val="005B5CEC"/>
    <w:rsid w:val="0061497F"/>
    <w:rsid w:val="00626854"/>
    <w:rsid w:val="00631F77"/>
    <w:rsid w:val="00677C30"/>
    <w:rsid w:val="00681B41"/>
    <w:rsid w:val="00684492"/>
    <w:rsid w:val="006D4BDF"/>
    <w:rsid w:val="006F647C"/>
    <w:rsid w:val="00784DCC"/>
    <w:rsid w:val="007B3291"/>
    <w:rsid w:val="007D297C"/>
    <w:rsid w:val="008031C6"/>
    <w:rsid w:val="0081746C"/>
    <w:rsid w:val="00847B39"/>
    <w:rsid w:val="0086082C"/>
    <w:rsid w:val="00862D26"/>
    <w:rsid w:val="00875206"/>
    <w:rsid w:val="008949A7"/>
    <w:rsid w:val="008E5950"/>
    <w:rsid w:val="008F3E71"/>
    <w:rsid w:val="00900305"/>
    <w:rsid w:val="009006C1"/>
    <w:rsid w:val="00941AD1"/>
    <w:rsid w:val="00976149"/>
    <w:rsid w:val="00987A38"/>
    <w:rsid w:val="009A06A2"/>
    <w:rsid w:val="009D1012"/>
    <w:rsid w:val="009E34F1"/>
    <w:rsid w:val="00A3249C"/>
    <w:rsid w:val="00A533F3"/>
    <w:rsid w:val="00A55227"/>
    <w:rsid w:val="00A63005"/>
    <w:rsid w:val="00A6574B"/>
    <w:rsid w:val="00AB6DA7"/>
    <w:rsid w:val="00AD1C45"/>
    <w:rsid w:val="00B23117"/>
    <w:rsid w:val="00B4508C"/>
    <w:rsid w:val="00B45C48"/>
    <w:rsid w:val="00B56B19"/>
    <w:rsid w:val="00B6253A"/>
    <w:rsid w:val="00BB6D40"/>
    <w:rsid w:val="00BC0790"/>
    <w:rsid w:val="00BE39DC"/>
    <w:rsid w:val="00BF3871"/>
    <w:rsid w:val="00C004A7"/>
    <w:rsid w:val="00C52043"/>
    <w:rsid w:val="00C827CA"/>
    <w:rsid w:val="00CA18BE"/>
    <w:rsid w:val="00CB73F1"/>
    <w:rsid w:val="00CC6B34"/>
    <w:rsid w:val="00CE3C27"/>
    <w:rsid w:val="00D14848"/>
    <w:rsid w:val="00D7476F"/>
    <w:rsid w:val="00D7583B"/>
    <w:rsid w:val="00DB499B"/>
    <w:rsid w:val="00DB70FB"/>
    <w:rsid w:val="00DC5978"/>
    <w:rsid w:val="00DD3254"/>
    <w:rsid w:val="00E47269"/>
    <w:rsid w:val="00E6729B"/>
    <w:rsid w:val="00E67D11"/>
    <w:rsid w:val="00E73C83"/>
    <w:rsid w:val="00E97FF9"/>
    <w:rsid w:val="00EC5155"/>
    <w:rsid w:val="00ED1DDF"/>
    <w:rsid w:val="00ED292F"/>
    <w:rsid w:val="00F01B6C"/>
    <w:rsid w:val="00F54DA3"/>
    <w:rsid w:val="00F54F25"/>
    <w:rsid w:val="00F72F36"/>
    <w:rsid w:val="00F83CB9"/>
    <w:rsid w:val="00FC0810"/>
    <w:rsid w:val="00FC1B4E"/>
    <w:rsid w:val="71590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9"/>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link w:val="13"/>
    <w:qFormat/>
    <w:uiPriority w:val="0"/>
    <w:pPr>
      <w:ind w:left="100" w:leftChars="2500"/>
    </w:pPr>
  </w:style>
  <w:style w:type="paragraph" w:styleId="4">
    <w:name w:val="Balloon Text"/>
    <w:basedOn w:val="1"/>
    <w:link w:val="15"/>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unhideWhenUsed/>
    <w:uiPriority w:val="99"/>
    <w:rPr>
      <w:color w:val="954F72"/>
      <w:u w:val="single"/>
    </w:rPr>
  </w:style>
  <w:style w:type="character" w:styleId="11">
    <w:name w:val="Hyperlink"/>
    <w:unhideWhenUsed/>
    <w:uiPriority w:val="99"/>
    <w:rPr>
      <w:color w:val="0563C1"/>
      <w:u w:val="single"/>
    </w:rPr>
  </w:style>
  <w:style w:type="character" w:customStyle="1" w:styleId="12">
    <w:name w:val="页眉 Char"/>
    <w:basedOn w:val="8"/>
    <w:link w:val="6"/>
    <w:uiPriority w:val="0"/>
    <w:rPr>
      <w:rFonts w:ascii="Times New Roman" w:hAnsi="Times New Roman" w:eastAsia="宋体" w:cs="Times New Roman"/>
      <w:sz w:val="18"/>
      <w:szCs w:val="18"/>
    </w:rPr>
  </w:style>
  <w:style w:type="character" w:customStyle="1" w:styleId="13">
    <w:name w:val="日期 Char"/>
    <w:basedOn w:val="8"/>
    <w:link w:val="3"/>
    <w:uiPriority w:val="0"/>
    <w:rPr>
      <w:rFonts w:ascii="Times New Roman" w:hAnsi="Times New Roman" w:eastAsia="宋体" w:cs="Times New Roman"/>
      <w:szCs w:val="24"/>
    </w:rPr>
  </w:style>
  <w:style w:type="character" w:customStyle="1" w:styleId="14">
    <w:name w:val="页脚 Char"/>
    <w:basedOn w:val="8"/>
    <w:link w:val="5"/>
    <w:uiPriority w:val="0"/>
    <w:rPr>
      <w:rFonts w:ascii="Times New Roman" w:hAnsi="Times New Roman" w:eastAsia="宋体" w:cs="Times New Roman"/>
      <w:sz w:val="18"/>
      <w:szCs w:val="18"/>
    </w:rPr>
  </w:style>
  <w:style w:type="character" w:customStyle="1" w:styleId="15">
    <w:name w:val="批注框文本 Char"/>
    <w:basedOn w:val="8"/>
    <w:link w:val="4"/>
    <w:semiHidden/>
    <w:uiPriority w:val="0"/>
    <w:rPr>
      <w:rFonts w:ascii="Times New Roman" w:hAnsi="Times New Roman" w:eastAsia="宋体" w:cs="Times New Roman"/>
      <w:sz w:val="18"/>
      <w:szCs w:val="18"/>
    </w:rPr>
  </w:style>
  <w:style w:type="paragraph" w:customStyle="1" w:styleId="16">
    <w:name w:val="Char Char Char Char Char Char Char Char Char Char Char Char Char Char Char Char"/>
    <w:basedOn w:val="1"/>
    <w:qFormat/>
    <w:uiPriority w:val="0"/>
    <w:pPr>
      <w:tabs>
        <w:tab w:val="left" w:pos="360"/>
      </w:tabs>
    </w:pPr>
    <w:rPr>
      <w:sz w:val="24"/>
    </w:rPr>
  </w:style>
  <w:style w:type="paragraph" w:customStyle="1" w:styleId="17">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kern w:val="0"/>
      <w:sz w:val="28"/>
      <w:szCs w:val="28"/>
      <w:lang w:eastAsia="en-US"/>
    </w:rPr>
  </w:style>
  <w:style w:type="paragraph" w:customStyle="1" w:styleId="18">
    <w:name w:val="Char"/>
    <w:basedOn w:val="1"/>
    <w:qFormat/>
    <w:uiPriority w:val="0"/>
    <w:rPr>
      <w:rFonts w:ascii="Tahoma" w:hAnsi="Tahoma"/>
      <w:sz w:val="24"/>
      <w:szCs w:val="20"/>
    </w:rPr>
  </w:style>
  <w:style w:type="character" w:customStyle="1" w:styleId="19">
    <w:name w:val="纯文本 Char"/>
    <w:basedOn w:val="8"/>
    <w:link w:val="2"/>
    <w:uiPriority w:val="0"/>
    <w:rPr>
      <w:rFonts w:ascii="宋体" w:hAnsi="宋体" w:eastAsia="宋体" w:cs="宋体"/>
      <w:kern w:val="0"/>
      <w:sz w:val="24"/>
      <w:szCs w:val="24"/>
    </w:rPr>
  </w:style>
  <w:style w:type="paragraph" w:customStyle="1" w:styleId="20">
    <w:name w:val="xl65"/>
    <w:basedOn w:val="1"/>
    <w:uiPriority w:val="0"/>
    <w:pPr>
      <w:widowControl/>
      <w:spacing w:before="100" w:beforeAutospacing="1" w:after="100" w:afterAutospacing="1"/>
      <w:jc w:val="left"/>
      <w:textAlignment w:val="bottom"/>
    </w:pPr>
    <w:rPr>
      <w:rFonts w:ascii="Calibri" w:hAnsi="Calibri" w:cs="宋体"/>
      <w:color w:val="000000"/>
      <w:kern w:val="0"/>
      <w:sz w:val="24"/>
    </w:rPr>
  </w:style>
  <w:style w:type="paragraph" w:customStyle="1" w:styleId="21">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2">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23">
    <w:name w:val="xl68"/>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4">
    <w:name w:val="xl69"/>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25">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6">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27">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alibri" w:hAnsi="Calibri" w:cs="宋体"/>
      <w:color w:val="000000"/>
      <w:kern w:val="0"/>
      <w:sz w:val="20"/>
      <w:szCs w:val="20"/>
    </w:rPr>
  </w:style>
  <w:style w:type="paragraph" w:customStyle="1" w:styleId="28">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29">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30">
    <w:name w:val="xl75"/>
    <w:basedOn w:val="1"/>
    <w:uiPriority w:val="0"/>
    <w:pPr>
      <w:widowControl/>
      <w:spacing w:before="100" w:beforeAutospacing="1" w:after="100" w:afterAutospacing="1"/>
      <w:jc w:val="left"/>
      <w:textAlignment w:val="bottom"/>
    </w:pPr>
    <w:rPr>
      <w:rFonts w:ascii="宋体" w:hAnsi="宋体" w:cs="宋体"/>
      <w:kern w:val="0"/>
      <w:sz w:val="24"/>
    </w:rPr>
  </w:style>
  <w:style w:type="paragraph" w:customStyle="1" w:styleId="31">
    <w:name w:val="xl76"/>
    <w:basedOn w:val="1"/>
    <w:uiPriority w:val="0"/>
    <w:pPr>
      <w:widowControl/>
      <w:spacing w:before="100" w:beforeAutospacing="1" w:after="100" w:afterAutospacing="1"/>
      <w:jc w:val="left"/>
      <w:textAlignment w:val="bottom"/>
    </w:pPr>
    <w:rPr>
      <w:rFonts w:ascii="Calibri" w:hAnsi="Calibri" w:cs="宋体"/>
      <w:color w:val="000000"/>
      <w:kern w:val="0"/>
      <w:sz w:val="24"/>
    </w:rPr>
  </w:style>
  <w:style w:type="paragraph" w:customStyle="1" w:styleId="32">
    <w:name w:val="xl7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33">
    <w:name w:val="xl78"/>
    <w:basedOn w:val="1"/>
    <w:uiPriority w:val="0"/>
    <w:pPr>
      <w:widowControl/>
      <w:spacing w:before="100" w:beforeAutospacing="1" w:after="100" w:afterAutospacing="1"/>
      <w:jc w:val="left"/>
      <w:textAlignment w:val="bottom"/>
    </w:pPr>
    <w:rPr>
      <w:rFonts w:ascii="宋体" w:hAnsi="宋体" w:cs="宋体"/>
      <w:kern w:val="0"/>
      <w:sz w:val="24"/>
    </w:rPr>
  </w:style>
  <w:style w:type="paragraph" w:customStyle="1" w:styleId="34">
    <w:name w:val="xl79"/>
    <w:basedOn w:val="1"/>
    <w:uiPriority w:val="0"/>
    <w:pPr>
      <w:widowControl/>
      <w:pBdr>
        <w:bottom w:val="single" w:color="000000" w:sz="4" w:space="0"/>
      </w:pBdr>
      <w:spacing w:before="100" w:beforeAutospacing="1" w:after="100" w:afterAutospacing="1"/>
      <w:jc w:val="right"/>
      <w:textAlignment w:val="bottom"/>
    </w:pPr>
    <w:rPr>
      <w:rFonts w:ascii="Calibri" w:hAnsi="Calibri" w:cs="宋体"/>
      <w:b/>
      <w:bCs/>
      <w:color w:val="000000"/>
      <w:kern w:val="0"/>
      <w:sz w:val="32"/>
      <w:szCs w:val="32"/>
    </w:rPr>
  </w:style>
  <w:style w:type="paragraph" w:customStyle="1" w:styleId="35">
    <w:name w:val="xl80"/>
    <w:basedOn w:val="1"/>
    <w:uiPriority w:val="0"/>
    <w:pPr>
      <w:widowControl/>
      <w:spacing w:before="100" w:beforeAutospacing="1" w:after="100" w:afterAutospacing="1"/>
      <w:jc w:val="left"/>
      <w:textAlignment w:val="bottom"/>
    </w:pPr>
    <w:rPr>
      <w:rFonts w:ascii="Calibri" w:hAnsi="Calibri" w:cs="宋体"/>
      <w:color w:val="000000"/>
      <w:kern w:val="0"/>
      <w:sz w:val="24"/>
    </w:rPr>
  </w:style>
  <w:style w:type="paragraph" w:customStyle="1" w:styleId="36">
    <w:name w:val="xl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37">
    <w:name w:val="xl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8">
    <w:name w:val="xl83"/>
    <w:basedOn w:val="1"/>
    <w:uiPriority w:val="0"/>
    <w:pPr>
      <w:widowControl/>
      <w:spacing w:before="100" w:beforeAutospacing="1" w:after="100" w:afterAutospacing="1"/>
      <w:jc w:val="center"/>
    </w:pPr>
    <w:rPr>
      <w:rFonts w:ascii="Calibri" w:hAnsi="Calibri" w:cs="宋体"/>
      <w:b/>
      <w:bCs/>
      <w:color w:val="000000"/>
      <w:kern w:val="0"/>
      <w:sz w:val="32"/>
      <w:szCs w:val="32"/>
    </w:rPr>
  </w:style>
  <w:style w:type="paragraph" w:customStyle="1" w:styleId="39">
    <w:name w:val="xl84"/>
    <w:basedOn w:val="1"/>
    <w:uiPriority w:val="0"/>
    <w:pPr>
      <w:widowControl/>
      <w:spacing w:before="100" w:beforeAutospacing="1" w:after="100" w:afterAutospacing="1"/>
      <w:jc w:val="center"/>
    </w:pPr>
    <w:rPr>
      <w:rFonts w:ascii="Calibri" w:hAnsi="Calibri" w:cs="宋体"/>
      <w:color w:val="000000"/>
      <w:kern w:val="0"/>
      <w:sz w:val="22"/>
      <w:szCs w:val="22"/>
    </w:rPr>
  </w:style>
  <w:style w:type="paragraph" w:customStyle="1" w:styleId="40">
    <w:name w:val="font5"/>
    <w:basedOn w:val="1"/>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49E6-6F3B-4EC9-853B-B324F10744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13592</Words>
  <Characters>20672</Characters>
  <Lines>184</Lines>
  <Paragraphs>51</Paragraphs>
  <TotalTime>1073</TotalTime>
  <ScaleCrop>false</ScaleCrop>
  <LinksUpToDate>false</LinksUpToDate>
  <CharactersWithSpaces>22087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2021-01-29T01:24:00Z</dcterms:created>
  <dc:creator>AutoBVT</dc:creator>
  <cp:lastModifiedBy>HP</cp:lastModifiedBy>
  <cp:lastPrinted>2021-02-05T02:01:00Z</cp:lastPrinted>
  <dcterms:modified xsi:type="dcterms:W3CDTF">2022-09-21T03:28:59Z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7144A19A137C4F3A952B051A20D50040</vt:lpwstr>
  </property>
</Properties>
</file>