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640" w:lineRule="exact"/>
        <w:rPr>
          <w:rFonts w:ascii="方正小标宋_GBK" w:hAnsi="仿宋" w:eastAsia="方正小标宋_GBK" w:cs="宋体"/>
          <w:sz w:val="44"/>
          <w:szCs w:val="44"/>
        </w:rPr>
      </w:pPr>
      <w:r>
        <w:rPr>
          <w:rFonts w:hint="eastAsia" w:ascii="仿宋_GB2312" w:hAnsi="等线"/>
        </w:rPr>
        <w:t xml:space="preserve">                        </w:t>
      </w:r>
    </w:p>
    <w:p>
      <w:pPr>
        <w:widowControl w:val="0"/>
        <w:jc w:val="center"/>
        <w:rPr>
          <w:rFonts w:ascii="方正小标宋_GBK" w:hAnsi="仿宋" w:eastAsia="方正小标宋_GBK" w:cs="宋体"/>
          <w:sz w:val="44"/>
          <w:szCs w:val="44"/>
        </w:rPr>
      </w:pPr>
      <w:r>
        <w:rPr>
          <w:rFonts w:hint="eastAsia" w:ascii="方正小标宋_GBK" w:hAnsi="仿宋" w:eastAsia="方正小标宋_GBK" w:cs="宋体"/>
          <w:sz w:val="44"/>
          <w:szCs w:val="44"/>
        </w:rPr>
        <w:t>青岛市公安机关普法责任清单（2024年修订）</w:t>
      </w:r>
    </w:p>
    <w:p>
      <w:pPr>
        <w:widowControl w:val="0"/>
        <w:spacing w:line="240" w:lineRule="auto"/>
        <w:jc w:val="center"/>
        <w:rPr>
          <w:rFonts w:ascii="黑体" w:hAnsi="黑体" w:eastAsia="黑体"/>
          <w:szCs w:val="32"/>
        </w:rPr>
      </w:pPr>
      <w:r>
        <w:rPr>
          <w:rFonts w:hint="eastAsia" w:ascii="黑体" w:hAnsi="黑体" w:eastAsia="黑体"/>
          <w:szCs w:val="32"/>
        </w:rPr>
        <w:t>共性责任清单</w:t>
      </w:r>
    </w:p>
    <w:tbl>
      <w:tblPr>
        <w:tblStyle w:val="5"/>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593"/>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59" w:type="dxa"/>
            <w:vAlign w:val="center"/>
          </w:tcPr>
          <w:p>
            <w:pPr>
              <w:widowControl w:val="0"/>
              <w:spacing w:line="240" w:lineRule="auto"/>
              <w:jc w:val="center"/>
              <w:rPr>
                <w:rFonts w:ascii="宋体" w:hAnsi="宋体" w:eastAsia="宋体"/>
                <w:b/>
                <w:sz w:val="28"/>
                <w:szCs w:val="28"/>
              </w:rPr>
            </w:pPr>
            <w:r>
              <w:rPr>
                <w:rFonts w:hint="eastAsia" w:ascii="宋体" w:hAnsi="宋体" w:eastAsia="宋体"/>
                <w:b/>
                <w:sz w:val="28"/>
                <w:szCs w:val="28"/>
              </w:rPr>
              <w:t>序号</w:t>
            </w:r>
          </w:p>
        </w:tc>
        <w:tc>
          <w:tcPr>
            <w:tcW w:w="1593" w:type="dxa"/>
            <w:vAlign w:val="center"/>
          </w:tcPr>
          <w:p>
            <w:pPr>
              <w:widowControl w:val="0"/>
              <w:spacing w:line="240" w:lineRule="auto"/>
              <w:jc w:val="center"/>
              <w:rPr>
                <w:rFonts w:ascii="宋体" w:hAnsi="宋体" w:eastAsia="宋体"/>
                <w:b/>
                <w:sz w:val="28"/>
                <w:szCs w:val="28"/>
              </w:rPr>
            </w:pPr>
            <w:r>
              <w:rPr>
                <w:rFonts w:hint="eastAsia" w:ascii="宋体" w:hAnsi="宋体" w:eastAsia="宋体"/>
                <w:b/>
                <w:sz w:val="28"/>
                <w:szCs w:val="28"/>
              </w:rPr>
              <w:t>普法任务</w:t>
            </w:r>
          </w:p>
        </w:tc>
        <w:tc>
          <w:tcPr>
            <w:tcW w:w="6663" w:type="dxa"/>
            <w:vAlign w:val="center"/>
          </w:tcPr>
          <w:p>
            <w:pPr>
              <w:widowControl w:val="0"/>
              <w:spacing w:line="240" w:lineRule="auto"/>
              <w:jc w:val="center"/>
              <w:rPr>
                <w:rFonts w:ascii="宋体" w:hAnsi="宋体" w:eastAsia="宋体"/>
                <w:b/>
                <w:sz w:val="28"/>
                <w:szCs w:val="28"/>
              </w:rPr>
            </w:pPr>
            <w:r>
              <w:rPr>
                <w:rFonts w:hint="eastAsia" w:ascii="宋体" w:hAnsi="宋体" w:eastAsia="宋体"/>
                <w:b/>
                <w:sz w:val="28"/>
                <w:szCs w:val="28"/>
              </w:rPr>
              <w:t>普法内容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959" w:type="dxa"/>
            <w:vMerge w:val="restart"/>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1</w:t>
            </w:r>
          </w:p>
        </w:tc>
        <w:tc>
          <w:tcPr>
            <w:tcW w:w="1593" w:type="dxa"/>
            <w:vMerge w:val="restart"/>
            <w:vAlign w:val="center"/>
          </w:tcPr>
          <w:p>
            <w:pPr>
              <w:widowControl w:val="0"/>
              <w:spacing w:line="240" w:lineRule="auto"/>
              <w:rPr>
                <w:rFonts w:ascii="宋体" w:hAnsi="宋体" w:eastAsia="宋体"/>
                <w:sz w:val="24"/>
                <w:szCs w:val="24"/>
              </w:rPr>
            </w:pPr>
            <w:r>
              <w:rPr>
                <w:rFonts w:hint="eastAsia" w:ascii="宋体" w:hAnsi="宋体" w:eastAsia="宋体"/>
                <w:sz w:val="24"/>
                <w:szCs w:val="24"/>
              </w:rPr>
              <w:t>深入学习宣传贯彻习近平法治思想和中国特色的社会主义法律体系</w:t>
            </w:r>
          </w:p>
        </w:tc>
        <w:tc>
          <w:tcPr>
            <w:tcW w:w="6663"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深入学习宣传习近平法治思想，把习近平法治思想列入党委（党组）理论学习中心组和干部教育重点内容，扎实推进学习宣传贯彻习近平法治思想各项工作。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959" w:type="dxa"/>
            <w:vMerge w:val="continue"/>
            <w:vAlign w:val="center"/>
          </w:tcPr>
          <w:p>
            <w:pPr>
              <w:widowControl w:val="0"/>
              <w:spacing w:line="240" w:lineRule="auto"/>
              <w:jc w:val="center"/>
              <w:rPr>
                <w:rFonts w:ascii="宋体" w:hAnsi="宋体" w:eastAsia="宋体"/>
                <w:sz w:val="24"/>
                <w:szCs w:val="24"/>
              </w:rPr>
            </w:pPr>
          </w:p>
        </w:tc>
        <w:tc>
          <w:tcPr>
            <w:tcW w:w="1593" w:type="dxa"/>
            <w:vMerge w:val="continue"/>
            <w:vAlign w:val="center"/>
          </w:tcPr>
          <w:p>
            <w:pPr>
              <w:widowControl w:val="0"/>
              <w:spacing w:line="240" w:lineRule="auto"/>
              <w:rPr>
                <w:rFonts w:ascii="宋体" w:hAnsi="宋体" w:eastAsia="宋体"/>
                <w:sz w:val="24"/>
                <w:szCs w:val="24"/>
              </w:rPr>
            </w:pPr>
          </w:p>
        </w:tc>
        <w:tc>
          <w:tcPr>
            <w:tcW w:w="6663"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突出宪法学习宣传，全面落实宪法宣誓制度，加强国旗法、国歌法等宪法相关法的学习宣传。结合“12.4国家宪法日” “宪法宣传周”“法治宣传教育月”组织开展集中宪法宣传活动，弘扬宪法精神。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959" w:type="dxa"/>
            <w:vMerge w:val="continue"/>
            <w:vAlign w:val="center"/>
          </w:tcPr>
          <w:p>
            <w:pPr>
              <w:widowControl w:val="0"/>
              <w:spacing w:line="240" w:lineRule="auto"/>
              <w:jc w:val="center"/>
              <w:rPr>
                <w:rFonts w:ascii="宋体" w:hAnsi="宋体" w:eastAsia="宋体"/>
                <w:sz w:val="24"/>
                <w:szCs w:val="24"/>
              </w:rPr>
            </w:pPr>
          </w:p>
        </w:tc>
        <w:tc>
          <w:tcPr>
            <w:tcW w:w="1593" w:type="dxa"/>
            <w:vMerge w:val="continue"/>
            <w:vAlign w:val="center"/>
          </w:tcPr>
          <w:p>
            <w:pPr>
              <w:widowControl w:val="0"/>
              <w:spacing w:line="240" w:lineRule="auto"/>
              <w:rPr>
                <w:rFonts w:ascii="宋体" w:hAnsi="宋体" w:eastAsia="宋体"/>
                <w:sz w:val="24"/>
                <w:szCs w:val="24"/>
              </w:rPr>
            </w:pPr>
          </w:p>
        </w:tc>
        <w:tc>
          <w:tcPr>
            <w:tcW w:w="6663"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组织开展《中华人民共和国爱国主义教育法》学习宣传，深入学习宣传习近平新时代中国特色社会主义思想、</w:t>
            </w:r>
            <w:r>
              <w:rPr>
                <w:rFonts w:ascii="宋体" w:hAnsi="宋体" w:eastAsia="宋体"/>
                <w:sz w:val="24"/>
                <w:szCs w:val="24"/>
              </w:rPr>
              <w:t>中国特色社会主义制度</w:t>
            </w:r>
            <w:r>
              <w:rPr>
                <w:rFonts w:hint="eastAsia" w:ascii="宋体" w:hAnsi="宋体" w:eastAsia="宋体"/>
                <w:sz w:val="24"/>
                <w:szCs w:val="24"/>
              </w:rPr>
              <w:t>、</w:t>
            </w:r>
            <w:bookmarkStart w:id="0" w:name="#go8"/>
            <w:r>
              <w:rPr>
                <w:rFonts w:ascii="宋体" w:hAnsi="宋体" w:eastAsia="宋体"/>
                <w:sz w:val="24"/>
                <w:szCs w:val="24"/>
              </w:rPr>
              <w:t>社会主义核心价值观</w:t>
            </w:r>
            <w:bookmarkEnd w:id="0"/>
            <w:r>
              <w:rPr>
                <w:rFonts w:hint="eastAsia" w:ascii="宋体" w:hAnsi="宋体" w:eastAsia="宋体"/>
                <w:sz w:val="24"/>
                <w:szCs w:val="24"/>
              </w:rPr>
              <w:t xml:space="preserve">等爱国主义内容，增强群众的爱国主义精神。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959" w:type="dxa"/>
            <w:vMerge w:val="continue"/>
            <w:vAlign w:val="center"/>
          </w:tcPr>
          <w:p>
            <w:pPr>
              <w:widowControl w:val="0"/>
              <w:spacing w:line="240" w:lineRule="auto"/>
              <w:jc w:val="center"/>
              <w:rPr>
                <w:rFonts w:ascii="宋体" w:hAnsi="宋体" w:eastAsia="宋体"/>
                <w:sz w:val="24"/>
                <w:szCs w:val="24"/>
              </w:rPr>
            </w:pPr>
          </w:p>
        </w:tc>
        <w:tc>
          <w:tcPr>
            <w:tcW w:w="1593" w:type="dxa"/>
            <w:vMerge w:val="continue"/>
            <w:vAlign w:val="center"/>
          </w:tcPr>
          <w:p>
            <w:pPr>
              <w:widowControl w:val="0"/>
              <w:spacing w:line="240" w:lineRule="auto"/>
              <w:rPr>
                <w:rFonts w:ascii="宋体" w:hAnsi="宋体" w:eastAsia="宋体"/>
                <w:sz w:val="24"/>
                <w:szCs w:val="24"/>
              </w:rPr>
            </w:pPr>
          </w:p>
        </w:tc>
        <w:tc>
          <w:tcPr>
            <w:tcW w:w="6663"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组织开展民法典学习宣传，深入宣传与高质量发展、社会治理现代化以及与公安机关刑事、行政执法相关法律法规，对公安机关负责实施的青岛市地方性法规开展法治宣传。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959" w:type="dxa"/>
            <w:vMerge w:val="continue"/>
            <w:vAlign w:val="center"/>
          </w:tcPr>
          <w:p>
            <w:pPr>
              <w:widowControl w:val="0"/>
              <w:spacing w:line="240" w:lineRule="auto"/>
              <w:jc w:val="center"/>
              <w:rPr>
                <w:rFonts w:ascii="宋体" w:hAnsi="宋体" w:eastAsia="宋体"/>
                <w:sz w:val="24"/>
                <w:szCs w:val="24"/>
              </w:rPr>
            </w:pPr>
          </w:p>
        </w:tc>
        <w:tc>
          <w:tcPr>
            <w:tcW w:w="1593" w:type="dxa"/>
            <w:vMerge w:val="continue"/>
            <w:vAlign w:val="center"/>
          </w:tcPr>
          <w:p>
            <w:pPr>
              <w:widowControl w:val="0"/>
              <w:spacing w:line="240" w:lineRule="auto"/>
              <w:rPr>
                <w:rFonts w:ascii="宋体" w:hAnsi="宋体" w:eastAsia="宋体"/>
                <w:sz w:val="24"/>
                <w:szCs w:val="24"/>
              </w:rPr>
            </w:pPr>
          </w:p>
        </w:tc>
        <w:tc>
          <w:tcPr>
            <w:tcW w:w="6663"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深入宣传《中国共产党章程》《中国共产党政法工作条例》等党内法规，列入党组织“三会一课”内容，教育引导广大党员尊崇党章、遵守党章、贯彻党章、维护党章。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959" w:type="dxa"/>
            <w:vMerge w:val="restart"/>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2</w:t>
            </w:r>
          </w:p>
        </w:tc>
        <w:tc>
          <w:tcPr>
            <w:tcW w:w="1593" w:type="dxa"/>
            <w:vMerge w:val="restart"/>
            <w:vAlign w:val="center"/>
          </w:tcPr>
          <w:p>
            <w:pPr>
              <w:widowControl w:val="0"/>
              <w:spacing w:line="240" w:lineRule="auto"/>
              <w:rPr>
                <w:rFonts w:ascii="宋体" w:hAnsi="宋体" w:eastAsia="宋体"/>
                <w:sz w:val="24"/>
                <w:szCs w:val="24"/>
              </w:rPr>
            </w:pPr>
            <w:r>
              <w:rPr>
                <w:rFonts w:hint="eastAsia" w:ascii="宋体" w:hAnsi="宋体" w:eastAsia="宋体"/>
                <w:sz w:val="24"/>
                <w:szCs w:val="24"/>
              </w:rPr>
              <w:t>贯彻落实中央、省和市各级关于法治宣传教育的决策部署</w:t>
            </w:r>
          </w:p>
        </w:tc>
        <w:tc>
          <w:tcPr>
            <w:tcW w:w="6663"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结合公安工作实际，建立完善普法责任制清单制度和公开报备、工作台账、工作会议、报告总结、评价通报五项制度，明确普法工作的任务目标、重点对象、工作措施、考核标准。按照要求及时向市普法办汇报本部门（单位）法治宣传教育工作进展情况，每年第一季度向上级主管部门和市普法办抄送普法工作计划，年底前报告普法责任制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959" w:type="dxa"/>
            <w:vMerge w:val="continue"/>
            <w:vAlign w:val="center"/>
          </w:tcPr>
          <w:p>
            <w:pPr>
              <w:widowControl w:val="0"/>
              <w:spacing w:line="240" w:lineRule="auto"/>
              <w:jc w:val="center"/>
              <w:rPr>
                <w:rFonts w:ascii="宋体" w:hAnsi="宋体" w:eastAsia="宋体"/>
                <w:sz w:val="24"/>
                <w:szCs w:val="24"/>
              </w:rPr>
            </w:pPr>
          </w:p>
        </w:tc>
        <w:tc>
          <w:tcPr>
            <w:tcW w:w="1593" w:type="dxa"/>
            <w:vMerge w:val="continue"/>
            <w:vAlign w:val="center"/>
          </w:tcPr>
          <w:p>
            <w:pPr>
              <w:widowControl w:val="0"/>
              <w:spacing w:line="240" w:lineRule="auto"/>
              <w:rPr>
                <w:rFonts w:ascii="宋体" w:hAnsi="宋体" w:eastAsia="宋体"/>
                <w:sz w:val="24"/>
                <w:szCs w:val="24"/>
              </w:rPr>
            </w:pPr>
          </w:p>
        </w:tc>
        <w:tc>
          <w:tcPr>
            <w:tcW w:w="6663"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加强公安机关普法工作的组织领导，推进普法规划和人大决议的实施，将法治宣传教育工作与其他业务工作同部署、同检查、同落实、同考核。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959" w:type="dxa"/>
            <w:vMerge w:val="continue"/>
            <w:vAlign w:val="center"/>
          </w:tcPr>
          <w:p>
            <w:pPr>
              <w:widowControl w:val="0"/>
              <w:spacing w:line="240" w:lineRule="auto"/>
              <w:jc w:val="center"/>
              <w:rPr>
                <w:rFonts w:ascii="宋体" w:hAnsi="宋体" w:eastAsia="宋体"/>
                <w:sz w:val="24"/>
                <w:szCs w:val="24"/>
              </w:rPr>
            </w:pPr>
          </w:p>
        </w:tc>
        <w:tc>
          <w:tcPr>
            <w:tcW w:w="1593" w:type="dxa"/>
            <w:vMerge w:val="continue"/>
            <w:vAlign w:val="center"/>
          </w:tcPr>
          <w:p>
            <w:pPr>
              <w:widowControl w:val="0"/>
              <w:spacing w:line="240" w:lineRule="auto"/>
              <w:rPr>
                <w:rFonts w:ascii="宋体" w:hAnsi="宋体" w:eastAsia="宋体"/>
                <w:sz w:val="24"/>
                <w:szCs w:val="24"/>
              </w:rPr>
            </w:pPr>
          </w:p>
        </w:tc>
        <w:tc>
          <w:tcPr>
            <w:tcW w:w="6663"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积极参与全国、省、市各级守法普法协调机构和普法办组织开展的法治宣传教育活动和社会公益普法活动。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959" w:type="dxa"/>
            <w:vMerge w:val="continue"/>
            <w:vAlign w:val="center"/>
          </w:tcPr>
          <w:p>
            <w:pPr>
              <w:widowControl w:val="0"/>
              <w:spacing w:line="240" w:lineRule="auto"/>
              <w:jc w:val="center"/>
              <w:rPr>
                <w:rFonts w:ascii="宋体" w:hAnsi="宋体" w:eastAsia="宋体"/>
                <w:sz w:val="24"/>
                <w:szCs w:val="24"/>
              </w:rPr>
            </w:pPr>
          </w:p>
        </w:tc>
        <w:tc>
          <w:tcPr>
            <w:tcW w:w="1593" w:type="dxa"/>
            <w:vMerge w:val="continue"/>
            <w:vAlign w:val="center"/>
          </w:tcPr>
          <w:p>
            <w:pPr>
              <w:widowControl w:val="0"/>
              <w:spacing w:line="240" w:lineRule="auto"/>
              <w:rPr>
                <w:rFonts w:ascii="宋体" w:hAnsi="宋体" w:eastAsia="宋体"/>
                <w:sz w:val="24"/>
                <w:szCs w:val="24"/>
              </w:rPr>
            </w:pPr>
          </w:p>
        </w:tc>
        <w:tc>
          <w:tcPr>
            <w:tcW w:w="6663"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贯彻落实“谁执法谁普法、谁管理谁普法、谁服务谁普法”普法责任制，切实认真履行公安机关普法责任主体的职责。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59" w:type="dxa"/>
            <w:vMerge w:val="restart"/>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3</w:t>
            </w:r>
          </w:p>
        </w:tc>
        <w:tc>
          <w:tcPr>
            <w:tcW w:w="1593" w:type="dxa"/>
            <w:vMerge w:val="restart"/>
            <w:vAlign w:val="center"/>
          </w:tcPr>
          <w:p>
            <w:pPr>
              <w:widowControl w:val="0"/>
              <w:spacing w:line="240" w:lineRule="auto"/>
              <w:rPr>
                <w:rFonts w:ascii="宋体" w:hAnsi="宋体" w:eastAsia="宋体"/>
                <w:sz w:val="24"/>
                <w:szCs w:val="24"/>
              </w:rPr>
            </w:pPr>
            <w:r>
              <w:rPr>
                <w:rFonts w:hint="eastAsia" w:ascii="宋体" w:hAnsi="宋体" w:eastAsia="宋体"/>
                <w:sz w:val="24"/>
                <w:szCs w:val="24"/>
              </w:rPr>
              <w:t>做好本部门（单位）内部普法</w:t>
            </w:r>
          </w:p>
        </w:tc>
        <w:tc>
          <w:tcPr>
            <w:tcW w:w="6663"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加强组织机构建设，建立健全法治宣传教育工作机制。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959" w:type="dxa"/>
            <w:vMerge w:val="continue"/>
            <w:vAlign w:val="center"/>
          </w:tcPr>
          <w:p>
            <w:pPr>
              <w:widowControl w:val="0"/>
              <w:spacing w:line="240" w:lineRule="auto"/>
              <w:jc w:val="center"/>
              <w:rPr>
                <w:rFonts w:ascii="宋体" w:hAnsi="宋体" w:eastAsia="宋体"/>
                <w:sz w:val="24"/>
                <w:szCs w:val="24"/>
              </w:rPr>
            </w:pPr>
          </w:p>
        </w:tc>
        <w:tc>
          <w:tcPr>
            <w:tcW w:w="1593" w:type="dxa"/>
            <w:vMerge w:val="continue"/>
            <w:vAlign w:val="center"/>
          </w:tcPr>
          <w:p>
            <w:pPr>
              <w:widowControl w:val="0"/>
              <w:spacing w:line="240" w:lineRule="auto"/>
              <w:rPr>
                <w:rFonts w:ascii="宋体" w:hAnsi="宋体" w:eastAsia="宋体"/>
                <w:sz w:val="24"/>
                <w:szCs w:val="24"/>
              </w:rPr>
            </w:pPr>
          </w:p>
        </w:tc>
        <w:tc>
          <w:tcPr>
            <w:tcW w:w="6663"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健全完善党委（党组）理论学习中心组学法制度和国家工作人员学法考法制度、法治教育培训制度，每年至少举办1期法治专题培训。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959" w:type="dxa"/>
            <w:vMerge w:val="continue"/>
            <w:vAlign w:val="center"/>
          </w:tcPr>
          <w:p>
            <w:pPr>
              <w:widowControl w:val="0"/>
              <w:spacing w:line="240" w:lineRule="auto"/>
              <w:jc w:val="center"/>
              <w:rPr>
                <w:rFonts w:ascii="宋体" w:hAnsi="宋体" w:eastAsia="宋体"/>
                <w:sz w:val="24"/>
                <w:szCs w:val="24"/>
              </w:rPr>
            </w:pPr>
          </w:p>
        </w:tc>
        <w:tc>
          <w:tcPr>
            <w:tcW w:w="1593" w:type="dxa"/>
            <w:vMerge w:val="continue"/>
            <w:vAlign w:val="center"/>
          </w:tcPr>
          <w:p>
            <w:pPr>
              <w:widowControl w:val="0"/>
              <w:spacing w:line="240" w:lineRule="auto"/>
              <w:rPr>
                <w:rFonts w:ascii="宋体" w:hAnsi="宋体" w:eastAsia="宋体"/>
                <w:sz w:val="24"/>
                <w:szCs w:val="24"/>
              </w:rPr>
            </w:pPr>
          </w:p>
        </w:tc>
        <w:tc>
          <w:tcPr>
            <w:tcW w:w="6663"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推进本部门（单位）法治文化建设和机关法治文化建设，加强法治宣传阵地建设，建立健全“以案释法”制度。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959" w:type="dxa"/>
            <w:vMerge w:val="restart"/>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4</w:t>
            </w:r>
          </w:p>
        </w:tc>
        <w:tc>
          <w:tcPr>
            <w:tcW w:w="1593" w:type="dxa"/>
            <w:vMerge w:val="restart"/>
            <w:vAlign w:val="center"/>
          </w:tcPr>
          <w:p>
            <w:pPr>
              <w:widowControl w:val="0"/>
              <w:spacing w:line="240" w:lineRule="auto"/>
              <w:rPr>
                <w:rFonts w:ascii="宋体" w:hAnsi="宋体" w:eastAsia="宋体"/>
                <w:sz w:val="24"/>
                <w:szCs w:val="24"/>
              </w:rPr>
            </w:pPr>
            <w:r>
              <w:rPr>
                <w:rFonts w:hint="eastAsia" w:ascii="宋体" w:hAnsi="宋体" w:eastAsia="宋体"/>
                <w:sz w:val="24"/>
                <w:szCs w:val="24"/>
              </w:rPr>
              <w:t>做好面向社会公众的普法</w:t>
            </w:r>
          </w:p>
        </w:tc>
        <w:tc>
          <w:tcPr>
            <w:tcW w:w="6663"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深入开展在立法、司法、执法和管理、服务环节中的普法工作，整合法治宣传教育资源，促进执法、管理、服务工作与普法工作有机结合，扩大法治宣传教育覆盖面。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959" w:type="dxa"/>
            <w:vMerge w:val="continue"/>
          </w:tcPr>
          <w:p>
            <w:pPr>
              <w:widowControl w:val="0"/>
              <w:spacing w:line="240" w:lineRule="auto"/>
              <w:jc w:val="left"/>
              <w:rPr>
                <w:rFonts w:ascii="宋体" w:hAnsi="宋体" w:eastAsia="宋体"/>
                <w:sz w:val="24"/>
                <w:szCs w:val="24"/>
              </w:rPr>
            </w:pPr>
          </w:p>
        </w:tc>
        <w:tc>
          <w:tcPr>
            <w:tcW w:w="1593" w:type="dxa"/>
            <w:vMerge w:val="continue"/>
            <w:vAlign w:val="center"/>
          </w:tcPr>
          <w:p>
            <w:pPr>
              <w:widowControl w:val="0"/>
              <w:spacing w:line="240" w:lineRule="auto"/>
              <w:rPr>
                <w:rFonts w:ascii="宋体" w:hAnsi="宋体" w:eastAsia="宋体"/>
                <w:sz w:val="24"/>
                <w:szCs w:val="24"/>
              </w:rPr>
            </w:pPr>
          </w:p>
        </w:tc>
        <w:tc>
          <w:tcPr>
            <w:tcW w:w="6663"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结合每年各重要节庆日及本部门工作相关的重要法律法规的颁布日、施行日、纪念日及“12·4”国家宪法日等重要时间节点，有计划地组织开展面向社会的普法活动，深入开展“法律八进”活动。</w:t>
            </w:r>
          </w:p>
        </w:tc>
      </w:tr>
    </w:tbl>
    <w:p>
      <w:pPr>
        <w:widowControl w:val="0"/>
        <w:spacing w:line="240" w:lineRule="auto"/>
        <w:jc w:val="left"/>
        <w:rPr>
          <w:rFonts w:ascii="黑体" w:hAnsi="黑体" w:eastAsia="黑体"/>
          <w:b/>
          <w:sz w:val="21"/>
        </w:rPr>
      </w:pPr>
    </w:p>
    <w:p>
      <w:pPr>
        <w:widowControl w:val="0"/>
        <w:spacing w:line="240" w:lineRule="auto"/>
        <w:jc w:val="center"/>
        <w:rPr>
          <w:rFonts w:ascii="黑体" w:hAnsi="黑体" w:eastAsia="黑体"/>
          <w:szCs w:val="32"/>
        </w:rPr>
      </w:pPr>
    </w:p>
    <w:p>
      <w:pPr>
        <w:widowControl w:val="0"/>
        <w:spacing w:line="240" w:lineRule="auto"/>
        <w:jc w:val="center"/>
        <w:rPr>
          <w:rFonts w:ascii="黑体" w:hAnsi="黑体" w:eastAsia="黑体"/>
          <w:szCs w:val="32"/>
        </w:rPr>
      </w:pPr>
    </w:p>
    <w:p>
      <w:pPr>
        <w:widowControl w:val="0"/>
        <w:spacing w:line="240" w:lineRule="auto"/>
        <w:jc w:val="center"/>
        <w:rPr>
          <w:rFonts w:ascii="黑体" w:hAnsi="黑体" w:eastAsia="黑体"/>
          <w:szCs w:val="32"/>
        </w:rPr>
      </w:pPr>
    </w:p>
    <w:p>
      <w:pPr>
        <w:widowControl w:val="0"/>
        <w:spacing w:line="240" w:lineRule="auto"/>
        <w:jc w:val="center"/>
        <w:rPr>
          <w:rFonts w:ascii="黑体" w:hAnsi="黑体" w:eastAsia="黑体"/>
          <w:szCs w:val="32"/>
        </w:rPr>
      </w:pPr>
    </w:p>
    <w:p>
      <w:pPr>
        <w:widowControl w:val="0"/>
        <w:spacing w:line="240" w:lineRule="auto"/>
        <w:jc w:val="center"/>
        <w:rPr>
          <w:rFonts w:ascii="黑体" w:hAnsi="黑体" w:eastAsia="黑体"/>
          <w:szCs w:val="32"/>
        </w:rPr>
      </w:pPr>
    </w:p>
    <w:p>
      <w:pPr>
        <w:widowControl w:val="0"/>
        <w:spacing w:line="240" w:lineRule="auto"/>
        <w:jc w:val="center"/>
        <w:rPr>
          <w:rFonts w:ascii="黑体" w:hAnsi="黑体" w:eastAsia="黑体"/>
          <w:szCs w:val="32"/>
        </w:rPr>
      </w:pPr>
    </w:p>
    <w:p>
      <w:pPr>
        <w:widowControl w:val="0"/>
        <w:spacing w:line="240" w:lineRule="auto"/>
        <w:jc w:val="center"/>
        <w:rPr>
          <w:rFonts w:ascii="黑体" w:hAnsi="黑体" w:eastAsia="黑体"/>
          <w:szCs w:val="32"/>
        </w:rPr>
      </w:pPr>
    </w:p>
    <w:p>
      <w:pPr>
        <w:widowControl w:val="0"/>
        <w:spacing w:line="240" w:lineRule="auto"/>
        <w:jc w:val="center"/>
        <w:rPr>
          <w:rFonts w:ascii="黑体" w:hAnsi="黑体" w:eastAsia="黑体"/>
          <w:szCs w:val="32"/>
        </w:rPr>
      </w:pPr>
    </w:p>
    <w:p>
      <w:pPr>
        <w:widowControl w:val="0"/>
        <w:spacing w:line="240" w:lineRule="auto"/>
        <w:jc w:val="center"/>
        <w:rPr>
          <w:rFonts w:ascii="黑体" w:hAnsi="黑体" w:eastAsia="黑体"/>
          <w:szCs w:val="32"/>
        </w:rPr>
      </w:pPr>
    </w:p>
    <w:p>
      <w:pPr>
        <w:widowControl w:val="0"/>
        <w:spacing w:line="240" w:lineRule="auto"/>
        <w:jc w:val="center"/>
        <w:rPr>
          <w:rFonts w:ascii="黑体" w:hAnsi="黑体" w:eastAsia="黑体"/>
          <w:szCs w:val="32"/>
        </w:rPr>
      </w:pPr>
    </w:p>
    <w:p>
      <w:pPr>
        <w:widowControl w:val="0"/>
        <w:spacing w:line="240" w:lineRule="auto"/>
        <w:jc w:val="center"/>
        <w:rPr>
          <w:rFonts w:ascii="黑体" w:hAnsi="黑体" w:eastAsia="黑体"/>
          <w:szCs w:val="32"/>
        </w:rPr>
      </w:pPr>
    </w:p>
    <w:p>
      <w:pPr>
        <w:widowControl w:val="0"/>
        <w:spacing w:line="240" w:lineRule="auto"/>
        <w:jc w:val="center"/>
        <w:rPr>
          <w:rFonts w:ascii="黑体" w:hAnsi="黑体" w:eastAsia="黑体"/>
          <w:szCs w:val="32"/>
        </w:rPr>
      </w:pPr>
    </w:p>
    <w:p>
      <w:pPr>
        <w:widowControl w:val="0"/>
        <w:spacing w:line="240" w:lineRule="auto"/>
        <w:jc w:val="center"/>
        <w:rPr>
          <w:rFonts w:ascii="黑体" w:hAnsi="黑体" w:eastAsia="黑体"/>
          <w:szCs w:val="32"/>
        </w:rPr>
      </w:pPr>
      <w:r>
        <w:rPr>
          <w:rFonts w:hint="eastAsia" w:ascii="黑体" w:hAnsi="黑体" w:eastAsia="黑体"/>
          <w:szCs w:val="32"/>
        </w:rPr>
        <w:t>个性责任清单</w:t>
      </w:r>
    </w:p>
    <w:tbl>
      <w:tblPr>
        <w:tblStyle w:val="5"/>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268"/>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277" w:type="dxa"/>
            <w:vAlign w:val="center"/>
          </w:tcPr>
          <w:p>
            <w:pPr>
              <w:widowControl w:val="0"/>
              <w:spacing w:line="240" w:lineRule="auto"/>
              <w:jc w:val="center"/>
              <w:rPr>
                <w:rFonts w:ascii="宋体" w:hAnsi="宋体" w:eastAsia="宋体"/>
                <w:b/>
                <w:sz w:val="28"/>
                <w:szCs w:val="28"/>
              </w:rPr>
            </w:pPr>
            <w:r>
              <w:rPr>
                <w:rFonts w:hint="eastAsia" w:ascii="宋体" w:hAnsi="宋体" w:eastAsia="宋体"/>
                <w:b/>
                <w:sz w:val="28"/>
                <w:szCs w:val="28"/>
              </w:rPr>
              <w:t>序号</w:t>
            </w:r>
          </w:p>
        </w:tc>
        <w:tc>
          <w:tcPr>
            <w:tcW w:w="2268" w:type="dxa"/>
            <w:vAlign w:val="center"/>
          </w:tcPr>
          <w:p>
            <w:pPr>
              <w:widowControl w:val="0"/>
              <w:adjustRightInd w:val="0"/>
              <w:snapToGrid w:val="0"/>
              <w:spacing w:line="400" w:lineRule="exact"/>
              <w:jc w:val="center"/>
              <w:rPr>
                <w:rFonts w:ascii="宋体" w:hAnsi="宋体" w:eastAsia="宋体"/>
                <w:b/>
                <w:sz w:val="28"/>
                <w:szCs w:val="28"/>
              </w:rPr>
            </w:pPr>
            <w:r>
              <w:rPr>
                <w:rFonts w:hint="eastAsia" w:ascii="宋体" w:hAnsi="宋体" w:eastAsia="宋体"/>
                <w:b/>
                <w:sz w:val="28"/>
                <w:szCs w:val="28"/>
              </w:rPr>
              <w:t>普法单位</w:t>
            </w:r>
          </w:p>
          <w:p>
            <w:pPr>
              <w:widowControl w:val="0"/>
              <w:adjustRightInd w:val="0"/>
              <w:snapToGrid w:val="0"/>
              <w:spacing w:line="400" w:lineRule="exact"/>
              <w:jc w:val="center"/>
              <w:rPr>
                <w:rFonts w:ascii="宋体" w:hAnsi="宋体" w:eastAsia="宋体"/>
                <w:b/>
                <w:sz w:val="28"/>
                <w:szCs w:val="28"/>
              </w:rPr>
            </w:pPr>
            <w:r>
              <w:rPr>
                <w:rFonts w:hint="eastAsia" w:ascii="宋体" w:hAnsi="宋体" w:eastAsia="宋体"/>
                <w:b/>
                <w:sz w:val="28"/>
                <w:szCs w:val="28"/>
              </w:rPr>
              <w:t>（部门）</w:t>
            </w:r>
          </w:p>
        </w:tc>
        <w:tc>
          <w:tcPr>
            <w:tcW w:w="5670" w:type="dxa"/>
            <w:vAlign w:val="center"/>
          </w:tcPr>
          <w:p>
            <w:pPr>
              <w:widowControl w:val="0"/>
              <w:spacing w:line="240" w:lineRule="auto"/>
              <w:jc w:val="center"/>
              <w:rPr>
                <w:rFonts w:ascii="宋体" w:hAnsi="宋体" w:eastAsia="宋体"/>
                <w:b/>
                <w:sz w:val="28"/>
                <w:szCs w:val="28"/>
              </w:rPr>
            </w:pPr>
            <w:r>
              <w:rPr>
                <w:rFonts w:hint="eastAsia" w:ascii="宋体" w:hAnsi="宋体" w:eastAsia="宋体"/>
                <w:b/>
                <w:sz w:val="28"/>
                <w:szCs w:val="28"/>
              </w:rPr>
              <w:t>普法内容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277" w:type="dxa"/>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1</w:t>
            </w:r>
          </w:p>
        </w:tc>
        <w:tc>
          <w:tcPr>
            <w:tcW w:w="2268"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警务督察支队</w:t>
            </w:r>
          </w:p>
        </w:tc>
        <w:tc>
          <w:tcPr>
            <w:tcW w:w="5670"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公安机关督察条例，公安机关维护民警执法权威工作规定，公安机关督察条例实施办法，领导干部干预司法活动、插手具体案件处理的记录、通报和责任追究规定等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277" w:type="dxa"/>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2</w:t>
            </w:r>
          </w:p>
        </w:tc>
        <w:tc>
          <w:tcPr>
            <w:tcW w:w="2268"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法制支队</w:t>
            </w:r>
          </w:p>
        </w:tc>
        <w:tc>
          <w:tcPr>
            <w:tcW w:w="5670"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中华人民共和国人民警察法、中华人民共和国行政处罚法、中华人民共和国行政诉讼法、中华人民共和国行政强制法、中华人民共和国国家赔偿法、中华人民共和国人民警察使用警械和武器条例、行政执法机关移送涉嫌犯罪案件的规定、公安机关办理刑事案件程序规定、公安机关办理行政案件程序规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277" w:type="dxa"/>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3</w:t>
            </w:r>
          </w:p>
        </w:tc>
        <w:tc>
          <w:tcPr>
            <w:tcW w:w="2268"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科技处</w:t>
            </w:r>
          </w:p>
          <w:p>
            <w:pPr>
              <w:widowControl w:val="0"/>
              <w:spacing w:line="240" w:lineRule="auto"/>
              <w:rPr>
                <w:rFonts w:ascii="宋体" w:hAnsi="宋体" w:eastAsia="宋体"/>
                <w:sz w:val="24"/>
                <w:szCs w:val="24"/>
              </w:rPr>
            </w:pPr>
            <w:r>
              <w:rPr>
                <w:rFonts w:hint="eastAsia" w:ascii="宋体" w:hAnsi="宋体" w:eastAsia="宋体"/>
                <w:sz w:val="24"/>
                <w:szCs w:val="24"/>
              </w:rPr>
              <w:t>信息通信处</w:t>
            </w:r>
          </w:p>
        </w:tc>
        <w:tc>
          <w:tcPr>
            <w:tcW w:w="5670"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青岛市公共安全视频图像信息系统管理办法等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277" w:type="dxa"/>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4</w:t>
            </w:r>
          </w:p>
        </w:tc>
        <w:tc>
          <w:tcPr>
            <w:tcW w:w="2268"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反恐怖支队</w:t>
            </w:r>
          </w:p>
        </w:tc>
        <w:tc>
          <w:tcPr>
            <w:tcW w:w="5670"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中华人民共和国刑法、中华人民共和国反恐怖主义法等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277" w:type="dxa"/>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5</w:t>
            </w:r>
          </w:p>
        </w:tc>
        <w:tc>
          <w:tcPr>
            <w:tcW w:w="2268"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信访处</w:t>
            </w:r>
          </w:p>
        </w:tc>
        <w:tc>
          <w:tcPr>
            <w:tcW w:w="5670"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信访工作条例、公安机关信访工作规定等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277" w:type="dxa"/>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6</w:t>
            </w:r>
          </w:p>
        </w:tc>
        <w:tc>
          <w:tcPr>
            <w:tcW w:w="2268"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政治安全保卫支队</w:t>
            </w:r>
          </w:p>
        </w:tc>
        <w:tc>
          <w:tcPr>
            <w:tcW w:w="5670"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中华人民共和国刑法、中华人民共和国国家安全法、</w:t>
            </w:r>
            <w:bookmarkStart w:id="1" w:name="_GoBack"/>
            <w:r>
              <w:rPr>
                <w:rFonts w:hint="eastAsia" w:ascii="宋体" w:hAnsi="宋体" w:eastAsia="宋体"/>
                <w:sz w:val="24"/>
                <w:szCs w:val="24"/>
              </w:rPr>
              <w:t>反分裂</w:t>
            </w:r>
            <w:bookmarkEnd w:id="1"/>
            <w:r>
              <w:rPr>
                <w:rFonts w:hint="eastAsia" w:ascii="宋体" w:hAnsi="宋体" w:eastAsia="宋体"/>
                <w:sz w:val="24"/>
                <w:szCs w:val="24"/>
              </w:rPr>
              <w:t>国家法、中华人民共和国境外非政府组织境内活动管理法等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277" w:type="dxa"/>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7</w:t>
            </w:r>
          </w:p>
        </w:tc>
        <w:tc>
          <w:tcPr>
            <w:tcW w:w="2268"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经济犯罪侦查支队</w:t>
            </w:r>
          </w:p>
        </w:tc>
        <w:tc>
          <w:tcPr>
            <w:tcW w:w="5670"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中华人民共和国刑法、中华人民共和国中国人民银行法、禁止传销条例、防范和处置非法集资条例、中华人民共和国人民币管理条例等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277" w:type="dxa"/>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8</w:t>
            </w:r>
          </w:p>
        </w:tc>
        <w:tc>
          <w:tcPr>
            <w:tcW w:w="2268"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治安警察支队</w:t>
            </w:r>
          </w:p>
        </w:tc>
        <w:tc>
          <w:tcPr>
            <w:tcW w:w="5670"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中华人民共和国治安管理处罚法、中华人民共和国集会游行示威法、中华人民共和国枪支管理法、中华人民共和国环境噪声污染防治法、中华人民共和国未成年人保护法、中华人民共和国预防未成年人犯罪法、中华人民共和国反家庭暴力法、中华人民共和国消防法、企业事业单位内部治安保卫条例、大型群众性活动安全管理条例、民用爆炸物品安全管理条例、烟花爆竹安全管理条例、危险化学品安全管理条例、保安服务管理条例、娱乐场所管理条例、中华人民共和国集会游行示威法实施条例、废旧金属收购业治安管理办法、公安部对部分刀具实行管制的暂行规定、机动车修理业、报废机动车回收业治安管理办法、金融机构营业场所和金库安全防范设施建设许可实施办法、旅馆业治安管理办法、公安机关实施保安服务管理条例办法、公安机关监督检查企业事业单位内部治安保卫工作规定、娱乐场所治安管理办法、易制爆危险化学品治安管理办法、青岛市集会游行示威若干规定、青岛市养犬管理条例、青岛市禁止燃放烟花爆竹规定、青岛市旅馆业治安管理细则、青岛市刻字业治安管理规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277" w:type="dxa"/>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9</w:t>
            </w:r>
          </w:p>
        </w:tc>
        <w:tc>
          <w:tcPr>
            <w:tcW w:w="2268"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监所管理支队</w:t>
            </w:r>
          </w:p>
        </w:tc>
        <w:tc>
          <w:tcPr>
            <w:tcW w:w="5670"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中华人民共和国刑事诉讼法、中华人民共和国看守所条例、拘留所条例、拘留所条例实施办法等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277" w:type="dxa"/>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10</w:t>
            </w:r>
          </w:p>
        </w:tc>
        <w:tc>
          <w:tcPr>
            <w:tcW w:w="2268"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户政处</w:t>
            </w:r>
          </w:p>
        </w:tc>
        <w:tc>
          <w:tcPr>
            <w:tcW w:w="5670"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中华人民共和国户口登记条例、中华人民共和国居民身份证法、中华人民共和国临时居民身份证管理办法、居住证暂行条例、租赁房屋治安管理规定、山东省流动人口服务管理暂行办法等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277" w:type="dxa"/>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11</w:t>
            </w:r>
          </w:p>
        </w:tc>
        <w:tc>
          <w:tcPr>
            <w:tcW w:w="2268"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刑事警察支队</w:t>
            </w:r>
          </w:p>
        </w:tc>
        <w:tc>
          <w:tcPr>
            <w:tcW w:w="5670"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中华人民共和国刑法、中华人民共和国刑事诉讼法、中华人民共和国反有组织犯罪法、中华人民共和国反电信网络诈骗法、公安机关反有组织犯罪工作规定、公安机关办理刑事案件程序规定、公安机关鉴定机构登记管理办法、公安机关鉴定人登记管理办法、公安机关鉴定规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277" w:type="dxa"/>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12</w:t>
            </w:r>
          </w:p>
        </w:tc>
        <w:tc>
          <w:tcPr>
            <w:tcW w:w="2268"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交通警察支队</w:t>
            </w:r>
          </w:p>
        </w:tc>
        <w:tc>
          <w:tcPr>
            <w:tcW w:w="5670"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中华人民共和国道路交通安全法、中华人民共和国道路交通安全法实施条例、校车安全管理条例、山东省实施《道路交通安全法》办法、机动车登记规定、机动车驾驶证申领和使用规定、道路交通安全违法行为处理程序规定、道路交通事故处理程序规定、道路交通安全违法行为记分管理办法、青岛市停车场条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277" w:type="dxa"/>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13</w:t>
            </w:r>
          </w:p>
        </w:tc>
        <w:tc>
          <w:tcPr>
            <w:tcW w:w="2268"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出入境管理局</w:t>
            </w:r>
          </w:p>
        </w:tc>
        <w:tc>
          <w:tcPr>
            <w:tcW w:w="5670"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中华人民共和国出境入境管理法、中华人民共和国护照法、中华人民共和国国籍法、中国公民往来台湾地区管理办法、中国公民因私事往来香港地区或者澳门地区的暂行管理办法、中华人民共和国外国人入境出境管理条例、外国人在中国永久居留审批管理办法、中华人民共和国普通护照和出入境通行证签发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277" w:type="dxa"/>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14</w:t>
            </w:r>
          </w:p>
        </w:tc>
        <w:tc>
          <w:tcPr>
            <w:tcW w:w="2268"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网络警察支队</w:t>
            </w:r>
          </w:p>
        </w:tc>
        <w:tc>
          <w:tcPr>
            <w:tcW w:w="5670"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中华人民共和国网络安全法、中华人民共和国个人信息保护法、中华人民共和国计算机信息系统安全保护条例、未成年人网络保护条例、中华人民共和国计算机信息网络国际联网管理暂行规定、计算机信息网络国际联网安全保护管理办法、互联网上网服务营业场所管理条例、互联网安全保护技术措施规定、公安机关互联网安全监督检查规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277" w:type="dxa"/>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15</w:t>
            </w:r>
          </w:p>
        </w:tc>
        <w:tc>
          <w:tcPr>
            <w:tcW w:w="2268"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禁毒支队</w:t>
            </w:r>
          </w:p>
        </w:tc>
        <w:tc>
          <w:tcPr>
            <w:tcW w:w="5670"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中华人民共和国禁毒法、戒毒条例、易制毒化学品管理条例、吸毒检测程序规定、吸毒成瘾认定办法、山东省禁毒条例等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277" w:type="dxa"/>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16</w:t>
            </w:r>
          </w:p>
        </w:tc>
        <w:tc>
          <w:tcPr>
            <w:tcW w:w="2268"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森林警察支队</w:t>
            </w:r>
          </w:p>
        </w:tc>
        <w:tc>
          <w:tcPr>
            <w:tcW w:w="5670"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中华人民共和国刑法、中华人民共和国野生动物保护法、中华人民共和国陆生野生动物保护实施条例等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277" w:type="dxa"/>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17</w:t>
            </w:r>
          </w:p>
        </w:tc>
        <w:tc>
          <w:tcPr>
            <w:tcW w:w="2268"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食品药品与环境犯罪侦查支队</w:t>
            </w:r>
          </w:p>
        </w:tc>
        <w:tc>
          <w:tcPr>
            <w:tcW w:w="5670"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中华人民共和国刑法、中华人民共和国环境保护法、中华人民共和国食品安全法等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277" w:type="dxa"/>
            <w:vAlign w:val="center"/>
          </w:tcPr>
          <w:p>
            <w:pPr>
              <w:widowControl w:val="0"/>
              <w:spacing w:line="240" w:lineRule="auto"/>
              <w:jc w:val="center"/>
              <w:rPr>
                <w:rFonts w:ascii="宋体" w:hAnsi="宋体" w:eastAsia="宋体"/>
                <w:sz w:val="24"/>
                <w:szCs w:val="24"/>
              </w:rPr>
            </w:pPr>
            <w:r>
              <w:rPr>
                <w:rFonts w:hint="eastAsia" w:ascii="宋体" w:hAnsi="宋体" w:eastAsia="宋体"/>
                <w:sz w:val="24"/>
                <w:szCs w:val="24"/>
              </w:rPr>
              <w:t>18</w:t>
            </w:r>
          </w:p>
        </w:tc>
        <w:tc>
          <w:tcPr>
            <w:tcW w:w="2268"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海岸警察支队</w:t>
            </w:r>
          </w:p>
        </w:tc>
        <w:tc>
          <w:tcPr>
            <w:tcW w:w="5670" w:type="dxa"/>
            <w:vAlign w:val="center"/>
          </w:tcPr>
          <w:p>
            <w:pPr>
              <w:widowControl w:val="0"/>
              <w:spacing w:line="240" w:lineRule="auto"/>
              <w:rPr>
                <w:rFonts w:ascii="宋体" w:hAnsi="宋体" w:eastAsia="宋体"/>
                <w:sz w:val="24"/>
                <w:szCs w:val="24"/>
              </w:rPr>
            </w:pPr>
            <w:r>
              <w:rPr>
                <w:rFonts w:hint="eastAsia" w:ascii="宋体" w:hAnsi="宋体" w:eastAsia="宋体"/>
                <w:sz w:val="24"/>
                <w:szCs w:val="24"/>
              </w:rPr>
              <w:t>中华人民共和国刑法、中华人民共和国治安管理处罚法、沿海船舶边防治安管理规定、中华人民共和国边境管理区通行证管理办法、山东省沿海船舶边防治安管理条例等</w:t>
            </w:r>
          </w:p>
        </w:tc>
      </w:tr>
    </w:tbl>
    <w:p>
      <w:pPr>
        <w:widowControl w:val="0"/>
        <w:spacing w:line="240" w:lineRule="auto"/>
        <w:jc w:val="center"/>
        <w:rPr>
          <w:rFonts w:hAnsi="Times New Roman"/>
          <w:szCs w:val="32"/>
        </w:rPr>
      </w:pPr>
    </w:p>
    <w:p>
      <w:pPr>
        <w:adjustRightInd w:val="0"/>
        <w:snapToGrid w:val="0"/>
        <w:spacing w:line="640" w:lineRule="exact"/>
        <w:jc w:val="center"/>
        <w:rPr>
          <w:rFonts w:hAnsi="宋体"/>
          <w:sz w:val="28"/>
          <w:szCs w:val="28"/>
        </w:rPr>
      </w:pPr>
    </w:p>
    <w:p/>
    <w:sectPr>
      <w:headerReference r:id="rId5" w:type="default"/>
      <w:footerReference r:id="rId6" w:type="default"/>
      <w:footerReference r:id="rId7" w:type="even"/>
      <w:pgSz w:w="11906" w:h="16838"/>
      <w:pgMar w:top="2098" w:right="1474" w:bottom="1985" w:left="1588" w:header="851" w:footer="1588" w:gutter="0"/>
      <w:cols w:space="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AE3AB9-A963-429F-B8AB-AA04CFCBA1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675DABD-D33E-486F-8252-19CDCD537611}"/>
  </w:font>
  <w:font w:name="仿宋_GB2312">
    <w:panose1 w:val="02010609030101010101"/>
    <w:charset w:val="86"/>
    <w:family w:val="modern"/>
    <w:pitch w:val="default"/>
    <w:sig w:usb0="00000001" w:usb1="080E0000" w:usb2="00000000" w:usb3="00000000" w:csb0="00040000" w:csb1="00000000"/>
    <w:embedRegular r:id="rId3" w:fontKey="{7CAFB98E-B673-448F-8941-1715B7CAFE72}"/>
  </w:font>
  <w:font w:name="等线">
    <w:panose1 w:val="02010600030101010101"/>
    <w:charset w:val="86"/>
    <w:family w:val="auto"/>
    <w:pitch w:val="default"/>
    <w:sig w:usb0="A00002BF" w:usb1="38CF7CFA" w:usb2="00000016" w:usb3="00000000" w:csb0="0004000F" w:csb1="00000000"/>
    <w:embedRegular r:id="rId4" w:fontKey="{A4ADAB21-9E36-4798-95F9-D215A124EBEA}"/>
  </w:font>
  <w:font w:name="方正小标宋_GBK">
    <w:panose1 w:val="02000000000000000000"/>
    <w:charset w:val="86"/>
    <w:family w:val="auto"/>
    <w:pitch w:val="default"/>
    <w:sig w:usb0="00000001" w:usb1="080E0000" w:usb2="00000000" w:usb3="00000000" w:csb0="00040000" w:csb1="00000000"/>
    <w:embedRegular r:id="rId5" w:fontKey="{8118FD20-A6F8-4AD7-9853-4D4BAD0BDE0E}"/>
  </w:font>
  <w:font w:name="仿宋">
    <w:panose1 w:val="02010609060101010101"/>
    <w:charset w:val="86"/>
    <w:family w:val="modern"/>
    <w:pitch w:val="default"/>
    <w:sig w:usb0="800002BF" w:usb1="38CF7CFA" w:usb2="00000016" w:usb3="00000000" w:csb0="00040001" w:csb1="00000000"/>
    <w:embedRegular r:id="rId6" w:fontKey="{0A066D1B-2296-4FA4-9C89-6E726AF1A7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8926" w:y="-140"/>
      <w:rPr>
        <w:rStyle w:val="7"/>
        <w:rFonts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9</w:t>
    </w:r>
    <w:r>
      <w:rPr>
        <w:rFonts w:ascii="宋体" w:hAnsi="宋体"/>
        <w:sz w:val="28"/>
        <w:szCs w:val="28"/>
      </w:rPr>
      <w:fldChar w:fldCharType="end"/>
    </w:r>
    <w:r>
      <w:rPr>
        <w:rStyle w:val="7"/>
        <w:rFonts w:hint="eastAsia" w:ascii="宋体" w:hAnsi="宋体"/>
        <w:sz w:val="28"/>
        <w:szCs w:val="28"/>
      </w:rPr>
      <w:t xml:space="preserve"> —</w:t>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8</w:t>
    </w:r>
    <w:r>
      <w:rPr>
        <w:rFonts w:ascii="宋体" w:hAnsi="宋体" w:eastAsia="宋体"/>
        <w:sz w:val="28"/>
        <w:szCs w:val="28"/>
      </w:rPr>
      <w:fldChar w:fldCharType="end"/>
    </w:r>
    <w:r>
      <w:rPr>
        <w:rFonts w:hint="eastAsia" w:ascii="宋体" w:hAnsi="宋体" w:eastAsia="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ZWVmZTk5OGE0MjI4MjBhMTE5NjgzYzhlOTNlZTAifQ=="/>
  </w:docVars>
  <w:rsids>
    <w:rsidRoot w:val="09FE0D02"/>
    <w:rsid w:val="09FE0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jc w:val="both"/>
    </w:pPr>
    <w:rPr>
      <w:rFonts w:ascii="仿宋_GB2312" w:hAnsi="等线" w:eastAsia="仿宋_GB2312" w:cs="Times New Roman"/>
      <w:kern w:val="2"/>
      <w:sz w:val="32"/>
      <w:szCs w:val="22"/>
      <w:lang w:val="en-US" w:eastAsia="zh-CN" w:bidi="ar-SA"/>
    </w:rPr>
  </w:style>
  <w:style w:type="paragraph" w:styleId="2">
    <w:name w:val="heading 5"/>
    <w:basedOn w:val="1"/>
    <w:next w:val="1"/>
    <w:unhideWhenUsed/>
    <w:qFormat/>
    <w:uiPriority w:val="9"/>
    <w:pPr>
      <w:keepNext/>
      <w:keepLines/>
      <w:ind w:left="851" w:hanging="851"/>
      <w:outlineLvl w:val="4"/>
    </w:pPr>
    <w:rPr>
      <w:b/>
      <w:bCs/>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tLeast"/>
      <w:jc w:val="left"/>
    </w:pPr>
    <w:rPr>
      <w:rFonts w:hAnsiTheme="minorHAnsi" w:cstheme="minorBidi"/>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spacing w:line="240" w:lineRule="atLeast"/>
      <w:jc w:val="center"/>
    </w:pPr>
    <w:rPr>
      <w:rFonts w:hAnsiTheme="minorHAnsi" w:cstheme="minorBidi"/>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2024-04-22T07:56:00Z</dcterms:created>
  <dc:creator>鱼</dc:creator>
  <cp:lastModifiedBy>鱼</cp:lastModifiedBy>
  <dcterms:modified xsi:type="dcterms:W3CDTF">2024-04-22T07:58:58Z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C4BEB0AD8A6D4238B2F1DA63E71C3474_11</vt:lpwstr>
  </property>
</Properties>
</file>