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33"/>
        </w:tabs>
        <w:jc w:val="center"/>
        <w:rPr>
          <w:rFonts w:hint="eastAsia" w:ascii="方正小标宋_GBK" w:hAnsi="宋体" w:eastAsia="方正小标宋_GBK"/>
          <w:spacing w:val="-20"/>
          <w:kern w:val="10"/>
          <w:sz w:val="84"/>
          <w:szCs w:val="84"/>
        </w:rPr>
      </w:pPr>
      <w:bookmarkStart w:id="1" w:name="_GoBack"/>
      <w:bookmarkEnd w:id="1"/>
    </w:p>
    <w:p>
      <w:pPr>
        <w:tabs>
          <w:tab w:val="left" w:pos="3733"/>
        </w:tabs>
        <w:jc w:val="center"/>
        <w:rPr>
          <w:rFonts w:hint="eastAsia" w:ascii="方正小标宋_GBK" w:hAnsi="宋体" w:eastAsia="方正小标宋_GBK"/>
          <w:spacing w:val="-20"/>
          <w:kern w:val="10"/>
          <w:sz w:val="84"/>
          <w:szCs w:val="84"/>
        </w:rPr>
      </w:pPr>
    </w:p>
    <w:p>
      <w:pPr>
        <w:tabs>
          <w:tab w:val="left" w:pos="3733"/>
        </w:tabs>
        <w:jc w:val="center"/>
        <w:rPr>
          <w:rFonts w:hint="eastAsia" w:ascii="方正小标宋_GBK" w:hAnsi="宋体" w:eastAsia="方正小标宋_GBK"/>
          <w:spacing w:val="-20"/>
          <w:kern w:val="10"/>
          <w:sz w:val="84"/>
          <w:szCs w:val="84"/>
        </w:rPr>
      </w:pPr>
    </w:p>
    <w:p>
      <w:pPr>
        <w:tabs>
          <w:tab w:val="left" w:pos="3733"/>
        </w:tabs>
        <w:jc w:val="center"/>
        <w:rPr>
          <w:rFonts w:hint="eastAsia" w:ascii="方正小标宋_GBK" w:hAnsi="宋体" w:eastAsia="方正小标宋_GBK"/>
          <w:spacing w:val="-20"/>
          <w:kern w:val="10"/>
          <w:sz w:val="84"/>
          <w:szCs w:val="84"/>
          <w:lang w:val="en-US" w:eastAsia="zh-CN"/>
        </w:rPr>
      </w:pPr>
      <w:r>
        <w:rPr>
          <w:rFonts w:hint="eastAsia" w:ascii="方正小标宋_GBK" w:hAnsi="宋体" w:eastAsia="方正小标宋_GBK"/>
          <w:spacing w:val="-20"/>
          <w:kern w:val="10"/>
          <w:sz w:val="84"/>
          <w:szCs w:val="84"/>
        </w:rPr>
        <w:t>2023年</w:t>
      </w:r>
      <w:r>
        <w:rPr>
          <w:rFonts w:hint="eastAsia" w:ascii="方正小标宋_GBK" w:hAnsi="宋体" w:eastAsia="方正小标宋_GBK"/>
          <w:spacing w:val="-20"/>
          <w:kern w:val="10"/>
          <w:sz w:val="84"/>
          <w:szCs w:val="84"/>
          <w:lang w:val="en-US" w:eastAsia="zh-CN"/>
        </w:rPr>
        <w:t>重大政策和重点</w:t>
      </w:r>
    </w:p>
    <w:p>
      <w:pPr>
        <w:tabs>
          <w:tab w:val="left" w:pos="3733"/>
        </w:tabs>
        <w:jc w:val="center"/>
        <w:rPr>
          <w:rFonts w:hint="eastAsia" w:ascii="方正小标宋_GBK" w:hAnsi="方正小标宋_GBK" w:eastAsia="方正小标宋_GBK" w:cs="方正小标宋_GBK"/>
          <w:sz w:val="52"/>
          <w:lang w:eastAsia="zh-CN"/>
        </w:rPr>
        <w:sectPr>
          <w:footerReference r:id="rId3" w:type="default"/>
          <w:pgSz w:w="11900" w:h="16840"/>
          <w:pgMar w:top="1984" w:right="1304" w:bottom="1134" w:left="1304" w:header="720" w:footer="720" w:gutter="0"/>
          <w:pgNumType w:fmt="numberInDash" w:start="1"/>
          <w:cols w:space="720" w:num="1"/>
        </w:sectPr>
      </w:pPr>
      <w:r>
        <w:rPr>
          <w:rFonts w:hint="eastAsia" w:ascii="方正小标宋_GBK" w:hAnsi="宋体" w:eastAsia="方正小标宋_GBK"/>
          <w:spacing w:val="-20"/>
          <w:kern w:val="10"/>
          <w:sz w:val="84"/>
          <w:szCs w:val="84"/>
          <w:lang w:val="en-US" w:eastAsia="zh-CN"/>
        </w:rPr>
        <w:t>项目</w:t>
      </w:r>
      <w:r>
        <w:rPr>
          <w:rFonts w:hint="eastAsia" w:ascii="方正小标宋_GBK" w:hAnsi="宋体" w:eastAsia="方正小标宋_GBK"/>
          <w:spacing w:val="-20"/>
          <w:kern w:val="10"/>
          <w:sz w:val="84"/>
          <w:szCs w:val="84"/>
        </w:rPr>
        <w:t>绩效目标</w:t>
      </w:r>
    </w:p>
    <w:p>
      <w:pPr>
        <w:tabs>
          <w:tab w:val="left" w:pos="3733"/>
        </w:tabs>
        <w:jc w:val="center"/>
        <w:rPr>
          <w:rFonts w:hint="eastAsia" w:ascii="方正小标宋_GBK" w:hAnsi="方正小标宋_GBK" w:eastAsia="方正小标宋_GBK" w:cs="方正小标宋_GBK"/>
          <w:sz w:val="52"/>
          <w:lang w:eastAsia="zh-CN"/>
        </w:rPr>
      </w:pPr>
      <w:r>
        <w:rPr>
          <w:rFonts w:hint="eastAsia" w:ascii="方正小标宋_GBK" w:hAnsi="方正小标宋_GBK" w:eastAsia="方正小标宋_GBK" w:cs="方正小标宋_GBK"/>
          <w:sz w:val="52"/>
          <w:lang w:eastAsia="zh-CN"/>
        </w:rPr>
        <w:t>目  录</w:t>
      </w:r>
    </w:p>
    <w:p>
      <w:pPr>
        <w:tabs>
          <w:tab w:val="left" w:pos="3733"/>
        </w:tabs>
        <w:spacing w:before="120"/>
        <w:rPr>
          <w:rFonts w:hint="eastAsia" w:ascii="黑体" w:hAnsi="黑体" w:eastAsia="黑体" w:cs="黑体"/>
          <w:sz w:val="28"/>
          <w:szCs w:val="28"/>
          <w:lang w:eastAsia="zh-CN"/>
        </w:rPr>
      </w:pPr>
    </w:p>
    <w:p>
      <w:pPr>
        <w:pStyle w:val="4"/>
        <w:tabs>
          <w:tab w:val="right" w:leader="dot" w:pos="9292"/>
        </w:tabs>
        <w:rPr>
          <w:rFonts w:hint="eastAsia" w:ascii="黑体" w:hAnsi="黑体" w:eastAsia="黑体" w:cs="黑体"/>
          <w:color w:val="auto"/>
          <w:lang w:eastAsia="zh-CN"/>
        </w:rPr>
      </w:pPr>
    </w:p>
    <w:p>
      <w:pPr>
        <w:pStyle w:val="4"/>
        <w:tabs>
          <w:tab w:val="right" w:leader="dot" w:pos="9292"/>
        </w:tabs>
        <w:rPr>
          <w:rFonts w:hint="eastAsia" w:ascii="宋体" w:hAnsi="宋体" w:eastAsia="宋体" w:cs="宋体"/>
          <w:color w:val="auto"/>
        </w:rPr>
      </w:pPr>
      <w:r>
        <w:rPr>
          <w:rFonts w:hint="eastAsia" w:ascii="方正小标宋_GBK" w:hAnsi="方正小标宋_GBK" w:eastAsia="方正小标宋_GBK" w:cs="方正小标宋_GBK"/>
          <w:color w:val="auto"/>
          <w:sz w:val="52"/>
          <w:lang w:eastAsia="zh-CN"/>
        </w:rPr>
        <w:fldChar w:fldCharType="begin"/>
      </w:r>
      <w:r>
        <w:rPr>
          <w:rFonts w:hint="eastAsia" w:ascii="方正小标宋_GBK" w:hAnsi="方正小标宋_GBK" w:eastAsia="方正小标宋_GBK" w:cs="方正小标宋_GBK"/>
          <w:color w:val="auto"/>
          <w:sz w:val="52"/>
          <w:lang w:eastAsia="zh-CN"/>
        </w:rPr>
        <w:instrText xml:space="preserve">TOC \o "1-1" \h \u </w:instrText>
      </w:r>
      <w:r>
        <w:rPr>
          <w:rFonts w:hint="eastAsia" w:ascii="方正小标宋_GBK" w:hAnsi="方正小标宋_GBK" w:eastAsia="方正小标宋_GBK" w:cs="方正小标宋_GBK"/>
          <w:color w:val="auto"/>
          <w:sz w:val="52"/>
          <w:lang w:eastAsia="zh-CN"/>
        </w:rPr>
        <w:fldChar w:fldCharType="separate"/>
      </w:r>
      <w:r>
        <w:rPr>
          <w:rFonts w:hint="eastAsia" w:ascii="黑体" w:hAnsi="黑体" w:eastAsia="黑体" w:cs="黑体"/>
          <w:color w:val="auto"/>
          <w:sz w:val="32"/>
          <w:szCs w:val="32"/>
          <w:lang w:eastAsia="zh-CN"/>
        </w:rPr>
        <w:fldChar w:fldCharType="begin"/>
      </w:r>
      <w:r>
        <w:rPr>
          <w:rFonts w:hint="eastAsia" w:ascii="黑体" w:hAnsi="黑体" w:eastAsia="黑体" w:cs="黑体"/>
          <w:color w:val="auto"/>
          <w:sz w:val="32"/>
          <w:szCs w:val="32"/>
          <w:lang w:eastAsia="zh-CN"/>
        </w:rPr>
        <w:instrText xml:space="preserve"> HYPERLINK \l _Toc28181 </w:instrText>
      </w:r>
      <w:r>
        <w:rPr>
          <w:rFonts w:hint="eastAsia" w:ascii="黑体" w:hAnsi="黑体" w:eastAsia="黑体" w:cs="黑体"/>
          <w:color w:val="auto"/>
          <w:sz w:val="32"/>
          <w:szCs w:val="32"/>
          <w:lang w:eastAsia="zh-CN"/>
        </w:rPr>
        <w:fldChar w:fldCharType="separate"/>
      </w:r>
      <w:r>
        <w:rPr>
          <w:rFonts w:hint="eastAsia" w:ascii="黑体" w:hAnsi="黑体" w:eastAsia="黑体" w:cs="黑体"/>
          <w:color w:val="auto"/>
          <w:sz w:val="32"/>
          <w:szCs w:val="32"/>
          <w:lang w:val="en-US" w:eastAsia="zh-CN"/>
        </w:rPr>
        <w:t>一、支持农业农村发展类</w:t>
      </w:r>
      <w:r>
        <w:rPr>
          <w:rFonts w:hint="eastAsia" w:ascii="黑体" w:hAnsi="黑体" w:eastAsia="黑体" w:cs="黑体"/>
          <w:color w:val="auto"/>
          <w:sz w:val="32"/>
          <w:szCs w:val="32"/>
        </w:rPr>
        <w:tab/>
      </w:r>
      <w:r>
        <w:rPr>
          <w:rFonts w:hint="eastAsia" w:ascii="黑体" w:hAnsi="黑体" w:eastAsia="黑体" w:cs="黑体"/>
          <w:color w:val="auto"/>
          <w:sz w:val="32"/>
          <w:szCs w:val="32"/>
          <w:lang w:val="en-US" w:eastAsia="zh-CN"/>
        </w:rPr>
        <w:t>1</w:t>
      </w:r>
      <w:r>
        <w:rPr>
          <w:rFonts w:hint="eastAsia" w:ascii="黑体" w:hAnsi="黑体" w:eastAsia="黑体" w:cs="黑体"/>
          <w:color w:val="auto"/>
          <w:sz w:val="32"/>
          <w:szCs w:val="32"/>
          <w:lang w:eastAsia="zh-CN"/>
        </w:rPr>
        <w:fldChar w:fldCharType="end"/>
      </w:r>
    </w:p>
    <w:p>
      <w:pPr>
        <w:pStyle w:val="4"/>
        <w:tabs>
          <w:tab w:val="right" w:leader="dot" w:pos="9292"/>
        </w:tabs>
        <w:rPr>
          <w:rFonts w:hint="eastAsia" w:ascii="宋体" w:hAnsi="宋体" w:eastAsia="宋体" w:cs="宋体"/>
          <w:color w:val="auto"/>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_Toc206 </w:instrText>
      </w:r>
      <w:r>
        <w:rPr>
          <w:rFonts w:hint="eastAsia" w:ascii="宋体" w:hAnsi="宋体" w:eastAsia="宋体" w:cs="宋体"/>
          <w:color w:val="auto"/>
          <w:lang w:eastAsia="zh-CN"/>
        </w:rPr>
        <w:fldChar w:fldCharType="separate"/>
      </w:r>
      <w:r>
        <w:rPr>
          <w:rFonts w:hint="eastAsia" w:ascii="宋体" w:hAnsi="宋体" w:eastAsia="宋体" w:cs="宋体"/>
          <w:color w:val="auto"/>
          <w:lang w:val="en-US" w:eastAsia="zh-CN"/>
        </w:rPr>
        <w:t>1</w:t>
      </w:r>
      <w:r>
        <w:rPr>
          <w:rFonts w:hint="eastAsia" w:ascii="宋体" w:hAnsi="宋体" w:eastAsia="宋体" w:cs="宋体"/>
          <w:color w:val="auto"/>
          <w:lang w:eastAsia="zh-CN"/>
        </w:rPr>
        <w:t>.</w:t>
      </w:r>
      <w:r>
        <w:rPr>
          <w:rFonts w:hint="eastAsia" w:ascii="宋体" w:hAnsi="宋体" w:eastAsia="宋体" w:cs="宋体"/>
          <w:color w:val="auto"/>
          <w:lang w:val="en-US" w:eastAsia="zh-CN"/>
        </w:rPr>
        <w:t>农业生产发展资金</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_Toc206 \h </w:instrText>
      </w:r>
      <w:r>
        <w:rPr>
          <w:rFonts w:hint="eastAsia" w:ascii="宋体" w:hAnsi="宋体" w:eastAsia="宋体" w:cs="宋体"/>
          <w:color w:val="auto"/>
        </w:rPr>
        <w:fldChar w:fldCharType="separate"/>
      </w:r>
      <w:r>
        <w:rPr>
          <w:rFonts w:hint="eastAsia" w:ascii="宋体" w:hAnsi="宋体" w:eastAsia="宋体" w:cs="宋体"/>
          <w:color w:val="auto"/>
        </w:rPr>
        <w:t>1</w:t>
      </w:r>
      <w:r>
        <w:rPr>
          <w:rFonts w:hint="eastAsia" w:ascii="宋体" w:hAnsi="宋体" w:eastAsia="宋体" w:cs="宋体"/>
          <w:color w:val="auto"/>
        </w:rPr>
        <w:fldChar w:fldCharType="end"/>
      </w:r>
      <w:r>
        <w:rPr>
          <w:rFonts w:hint="eastAsia" w:ascii="宋体" w:hAnsi="宋体" w:eastAsia="宋体" w:cs="宋体"/>
          <w:color w:val="auto"/>
          <w:lang w:eastAsia="zh-CN"/>
        </w:rPr>
        <w:fldChar w:fldCharType="end"/>
      </w:r>
    </w:p>
    <w:p>
      <w:pPr>
        <w:pStyle w:val="4"/>
        <w:tabs>
          <w:tab w:val="right" w:leader="dot" w:pos="9292"/>
        </w:tabs>
        <w:rPr>
          <w:rFonts w:hint="eastAsia" w:ascii="宋体" w:hAnsi="宋体" w:eastAsia="宋体" w:cs="宋体"/>
          <w:color w:val="auto"/>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_Toc11852 </w:instrText>
      </w:r>
      <w:r>
        <w:rPr>
          <w:rFonts w:hint="eastAsia" w:ascii="宋体" w:hAnsi="宋体" w:eastAsia="宋体" w:cs="宋体"/>
          <w:color w:val="auto"/>
          <w:lang w:eastAsia="zh-CN"/>
        </w:rPr>
        <w:fldChar w:fldCharType="separate"/>
      </w:r>
      <w:r>
        <w:rPr>
          <w:rFonts w:hint="eastAsia" w:ascii="宋体" w:hAnsi="宋体" w:eastAsia="宋体" w:cs="宋体"/>
          <w:color w:val="auto"/>
          <w:lang w:val="en-US" w:eastAsia="zh-CN"/>
        </w:rPr>
        <w:t>2</w:t>
      </w:r>
      <w:r>
        <w:rPr>
          <w:rFonts w:hint="eastAsia" w:ascii="宋体" w:hAnsi="宋体" w:eastAsia="宋体" w:cs="宋体"/>
          <w:color w:val="auto"/>
          <w:lang w:eastAsia="zh-CN"/>
        </w:rPr>
        <w:t>.</w:t>
      </w:r>
      <w:r>
        <w:rPr>
          <w:rFonts w:hint="eastAsia" w:ascii="宋体" w:hAnsi="宋体" w:eastAsia="宋体" w:cs="宋体"/>
          <w:color w:val="auto"/>
          <w:lang w:val="en-US" w:eastAsia="zh-CN"/>
        </w:rPr>
        <w:t>林业资金</w:t>
      </w:r>
      <w:r>
        <w:rPr>
          <w:rFonts w:hint="eastAsia" w:ascii="宋体" w:hAnsi="宋体" w:eastAsia="宋体" w:cs="宋体"/>
          <w:color w:val="auto"/>
        </w:rPr>
        <w:tab/>
      </w:r>
      <w:r>
        <w:rPr>
          <w:rFonts w:hint="eastAsia" w:ascii="宋体" w:hAnsi="宋体" w:eastAsia="宋体" w:cs="宋体"/>
          <w:color w:val="auto"/>
          <w:lang w:val="en-US" w:eastAsia="zh-CN"/>
        </w:rPr>
        <w:t>5</w:t>
      </w:r>
      <w:r>
        <w:rPr>
          <w:rFonts w:hint="eastAsia" w:ascii="宋体" w:hAnsi="宋体" w:eastAsia="宋体" w:cs="宋体"/>
          <w:color w:val="auto"/>
          <w:lang w:eastAsia="zh-CN"/>
        </w:rPr>
        <w:fldChar w:fldCharType="end"/>
      </w:r>
    </w:p>
    <w:p>
      <w:pPr>
        <w:pStyle w:val="4"/>
        <w:tabs>
          <w:tab w:val="right" w:leader="dot" w:pos="9292"/>
        </w:tabs>
        <w:rPr>
          <w:rFonts w:hint="default" w:ascii="宋体" w:hAnsi="宋体" w:eastAsia="宋体" w:cs="宋体"/>
          <w:color w:val="auto"/>
          <w:lang w:val="en-US"/>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_Toc24709 </w:instrText>
      </w:r>
      <w:r>
        <w:rPr>
          <w:rFonts w:hint="eastAsia" w:ascii="宋体" w:hAnsi="宋体" w:eastAsia="宋体" w:cs="宋体"/>
          <w:color w:val="auto"/>
          <w:lang w:eastAsia="zh-CN"/>
        </w:rPr>
        <w:fldChar w:fldCharType="separate"/>
      </w:r>
      <w:r>
        <w:rPr>
          <w:rFonts w:hint="eastAsia" w:ascii="宋体" w:hAnsi="宋体" w:eastAsia="宋体" w:cs="宋体"/>
          <w:color w:val="auto"/>
          <w:lang w:val="en-US" w:eastAsia="zh-CN"/>
        </w:rPr>
        <w:t>3</w:t>
      </w:r>
      <w:r>
        <w:rPr>
          <w:rFonts w:hint="eastAsia" w:ascii="宋体" w:hAnsi="宋体" w:eastAsia="宋体" w:cs="宋体"/>
          <w:color w:val="auto"/>
          <w:lang w:eastAsia="zh-CN"/>
        </w:rPr>
        <w:t>.</w:t>
      </w:r>
      <w:r>
        <w:rPr>
          <w:rFonts w:hint="eastAsia" w:ascii="宋体" w:hAnsi="宋体" w:eastAsia="宋体" w:cs="宋体"/>
          <w:color w:val="auto"/>
          <w:lang w:val="en-US" w:eastAsia="zh-CN"/>
        </w:rPr>
        <w:t>海洋与渔业发展资金</w:t>
      </w:r>
      <w:r>
        <w:rPr>
          <w:rFonts w:hint="eastAsia" w:ascii="宋体" w:hAnsi="宋体" w:eastAsia="宋体" w:cs="宋体"/>
          <w:color w:val="auto"/>
        </w:rPr>
        <w:tab/>
      </w:r>
      <w:r>
        <w:rPr>
          <w:rFonts w:hint="eastAsia" w:ascii="宋体" w:hAnsi="宋体" w:eastAsia="宋体" w:cs="宋体"/>
          <w:color w:val="auto"/>
          <w:lang w:val="en-US" w:eastAsia="zh-CN"/>
        </w:rPr>
        <w:t>1</w:t>
      </w:r>
      <w:r>
        <w:rPr>
          <w:rFonts w:hint="eastAsia" w:ascii="宋体" w:hAnsi="宋体" w:eastAsia="宋体" w:cs="宋体"/>
          <w:color w:val="auto"/>
          <w:lang w:eastAsia="zh-CN"/>
        </w:rPr>
        <w:fldChar w:fldCharType="end"/>
      </w:r>
      <w:r>
        <w:rPr>
          <w:rFonts w:hint="eastAsia" w:ascii="宋体" w:hAnsi="宋体" w:eastAsia="宋体" w:cs="宋体"/>
          <w:color w:val="auto"/>
          <w:lang w:val="en-US" w:eastAsia="zh-CN"/>
        </w:rPr>
        <w:t>0</w:t>
      </w:r>
    </w:p>
    <w:p>
      <w:pPr>
        <w:pStyle w:val="4"/>
        <w:tabs>
          <w:tab w:val="right" w:leader="dot" w:pos="9292"/>
        </w:tabs>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fldChar w:fldCharType="begin"/>
      </w:r>
      <w:r>
        <w:rPr>
          <w:rFonts w:hint="eastAsia" w:ascii="黑体" w:hAnsi="黑体" w:eastAsia="黑体" w:cs="黑体"/>
          <w:color w:val="auto"/>
          <w:sz w:val="32"/>
          <w:szCs w:val="32"/>
          <w:lang w:val="en-US" w:eastAsia="zh-CN"/>
        </w:rPr>
        <w:instrText xml:space="preserve"> HYPERLINK \l _Toc17318 </w:instrText>
      </w:r>
      <w:r>
        <w:rPr>
          <w:rFonts w:hint="eastAsia" w:ascii="黑体" w:hAnsi="黑体" w:eastAsia="黑体" w:cs="黑体"/>
          <w:color w:val="auto"/>
          <w:sz w:val="32"/>
          <w:szCs w:val="32"/>
          <w:lang w:val="en-US" w:eastAsia="zh-CN"/>
        </w:rPr>
        <w:fldChar w:fldCharType="separate"/>
      </w:r>
      <w:r>
        <w:rPr>
          <w:rFonts w:hint="eastAsia" w:ascii="黑体" w:hAnsi="黑体" w:eastAsia="黑体" w:cs="黑体"/>
          <w:color w:val="auto"/>
          <w:sz w:val="32"/>
          <w:szCs w:val="32"/>
          <w:lang w:val="en-US" w:eastAsia="zh-CN"/>
        </w:rPr>
        <w:t>二、支持经济发展类</w:t>
      </w:r>
      <w:r>
        <w:rPr>
          <w:rFonts w:hint="eastAsia" w:ascii="黑体" w:hAnsi="黑体" w:eastAsia="黑体" w:cs="黑体"/>
          <w:color w:val="auto"/>
          <w:sz w:val="32"/>
          <w:szCs w:val="32"/>
          <w:lang w:val="en-US" w:eastAsia="zh-CN"/>
        </w:rPr>
        <w:tab/>
      </w:r>
      <w:r>
        <w:rPr>
          <w:rFonts w:hint="eastAsia" w:ascii="黑体" w:hAnsi="黑体" w:eastAsia="黑体" w:cs="黑体"/>
          <w:color w:val="auto"/>
          <w:sz w:val="32"/>
          <w:szCs w:val="32"/>
          <w:lang w:val="en-US" w:eastAsia="zh-CN"/>
        </w:rPr>
        <w:t>1</w:t>
      </w:r>
      <w:r>
        <w:rPr>
          <w:rFonts w:hint="eastAsia" w:ascii="黑体" w:hAnsi="黑体" w:eastAsia="黑体" w:cs="黑体"/>
          <w:color w:val="auto"/>
          <w:sz w:val="32"/>
          <w:szCs w:val="32"/>
          <w:lang w:val="en-US" w:eastAsia="zh-CN"/>
        </w:rPr>
        <w:fldChar w:fldCharType="end"/>
      </w:r>
      <w:r>
        <w:rPr>
          <w:rFonts w:hint="eastAsia" w:ascii="黑体" w:hAnsi="黑体" w:eastAsia="黑体" w:cs="黑体"/>
          <w:color w:val="auto"/>
          <w:sz w:val="32"/>
          <w:szCs w:val="32"/>
          <w:lang w:val="en-US" w:eastAsia="zh-CN"/>
        </w:rPr>
        <w:t>4</w:t>
      </w:r>
    </w:p>
    <w:p>
      <w:pPr>
        <w:pStyle w:val="4"/>
        <w:tabs>
          <w:tab w:val="right" w:leader="dot" w:pos="9292"/>
        </w:tabs>
        <w:rPr>
          <w:rFonts w:hint="default" w:ascii="宋体" w:hAnsi="宋体" w:eastAsia="宋体" w:cs="宋体"/>
          <w:color w:val="auto"/>
          <w:lang w:val="en-US"/>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_Toc22292 </w:instrText>
      </w:r>
      <w:r>
        <w:rPr>
          <w:rFonts w:hint="eastAsia" w:ascii="宋体" w:hAnsi="宋体" w:eastAsia="宋体" w:cs="宋体"/>
          <w:color w:val="auto"/>
          <w:lang w:eastAsia="zh-CN"/>
        </w:rPr>
        <w:fldChar w:fldCharType="separate"/>
      </w:r>
      <w:r>
        <w:rPr>
          <w:rFonts w:hint="eastAsia" w:ascii="宋体" w:hAnsi="宋体" w:eastAsia="宋体" w:cs="宋体"/>
          <w:color w:val="auto"/>
          <w:lang w:val="en-US" w:eastAsia="zh-CN"/>
        </w:rPr>
        <w:t>1</w:t>
      </w:r>
      <w:r>
        <w:rPr>
          <w:rFonts w:hint="eastAsia" w:ascii="宋体" w:hAnsi="宋体" w:eastAsia="宋体" w:cs="宋体"/>
          <w:color w:val="auto"/>
          <w:lang w:eastAsia="zh-CN"/>
        </w:rPr>
        <w:t>.</w:t>
      </w:r>
      <w:r>
        <w:rPr>
          <w:rFonts w:hint="eastAsia" w:ascii="宋体" w:hAnsi="宋体" w:eastAsia="宋体" w:cs="宋体"/>
          <w:color w:val="auto"/>
          <w:lang w:val="en-US" w:eastAsia="zh-CN"/>
        </w:rPr>
        <w:t>科技资金</w:t>
      </w:r>
      <w:r>
        <w:rPr>
          <w:rFonts w:hint="eastAsia" w:ascii="宋体" w:hAnsi="宋体" w:eastAsia="宋体" w:cs="宋体"/>
          <w:color w:val="auto"/>
        </w:rPr>
        <w:tab/>
      </w:r>
      <w:r>
        <w:rPr>
          <w:rFonts w:hint="eastAsia" w:ascii="宋体" w:hAnsi="宋体" w:eastAsia="宋体" w:cs="宋体"/>
          <w:color w:val="auto"/>
          <w:lang w:val="en-US" w:eastAsia="zh-CN"/>
        </w:rPr>
        <w:t>1</w:t>
      </w:r>
      <w:r>
        <w:rPr>
          <w:rFonts w:hint="eastAsia" w:ascii="宋体" w:hAnsi="宋体" w:eastAsia="宋体" w:cs="宋体"/>
          <w:color w:val="auto"/>
          <w:lang w:eastAsia="zh-CN"/>
        </w:rPr>
        <w:fldChar w:fldCharType="end"/>
      </w:r>
      <w:r>
        <w:rPr>
          <w:rFonts w:hint="eastAsia" w:ascii="宋体" w:hAnsi="宋体" w:eastAsia="宋体" w:cs="宋体"/>
          <w:color w:val="auto"/>
          <w:lang w:val="en-US" w:eastAsia="zh-CN"/>
        </w:rPr>
        <w:t>4</w:t>
      </w:r>
    </w:p>
    <w:p>
      <w:pPr>
        <w:pStyle w:val="4"/>
        <w:tabs>
          <w:tab w:val="right" w:leader="dot" w:pos="9292"/>
        </w:tabs>
        <w:rPr>
          <w:rFonts w:hint="default" w:ascii="宋体" w:hAnsi="宋体" w:eastAsia="宋体" w:cs="宋体"/>
          <w:color w:val="auto"/>
          <w:lang w:val="en-US"/>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_Toc4290 </w:instrText>
      </w:r>
      <w:r>
        <w:rPr>
          <w:rFonts w:hint="eastAsia" w:ascii="宋体" w:hAnsi="宋体" w:eastAsia="宋体" w:cs="宋体"/>
          <w:color w:val="auto"/>
          <w:lang w:eastAsia="zh-CN"/>
        </w:rPr>
        <w:fldChar w:fldCharType="separate"/>
      </w:r>
      <w:r>
        <w:rPr>
          <w:rFonts w:hint="eastAsia" w:ascii="宋体" w:hAnsi="宋体" w:eastAsia="宋体" w:cs="宋体"/>
          <w:color w:val="auto"/>
          <w:lang w:val="en-US" w:eastAsia="zh-CN"/>
        </w:rPr>
        <w:t>2</w:t>
      </w:r>
      <w:r>
        <w:rPr>
          <w:rFonts w:hint="eastAsia" w:ascii="宋体" w:hAnsi="宋体" w:eastAsia="宋体" w:cs="宋体"/>
          <w:color w:val="auto"/>
          <w:lang w:eastAsia="zh-CN"/>
        </w:rPr>
        <w:t>.</w:t>
      </w:r>
      <w:r>
        <w:rPr>
          <w:rFonts w:hint="eastAsia" w:ascii="宋体" w:hAnsi="宋体" w:eastAsia="宋体" w:cs="宋体"/>
          <w:color w:val="auto"/>
          <w:lang w:val="en-US" w:eastAsia="zh-CN"/>
        </w:rPr>
        <w:t>人才资金</w:t>
      </w:r>
      <w:r>
        <w:rPr>
          <w:rFonts w:hint="eastAsia" w:ascii="宋体" w:hAnsi="宋体" w:eastAsia="宋体" w:cs="宋体"/>
          <w:color w:val="auto"/>
        </w:rPr>
        <w:tab/>
      </w:r>
      <w:r>
        <w:rPr>
          <w:rFonts w:hint="eastAsia" w:ascii="宋体" w:hAnsi="宋体" w:eastAsia="宋体" w:cs="宋体"/>
          <w:color w:val="auto"/>
          <w:lang w:val="en-US" w:eastAsia="zh-CN"/>
        </w:rPr>
        <w:t>2</w:t>
      </w:r>
      <w:r>
        <w:rPr>
          <w:rFonts w:hint="eastAsia" w:ascii="宋体" w:hAnsi="宋体" w:eastAsia="宋体" w:cs="宋体"/>
          <w:color w:val="auto"/>
          <w:lang w:eastAsia="zh-CN"/>
        </w:rPr>
        <w:fldChar w:fldCharType="end"/>
      </w:r>
      <w:r>
        <w:rPr>
          <w:rFonts w:hint="eastAsia" w:ascii="宋体" w:hAnsi="宋体" w:eastAsia="宋体" w:cs="宋体"/>
          <w:color w:val="auto"/>
          <w:lang w:val="en-US" w:eastAsia="zh-CN"/>
        </w:rPr>
        <w:t>3</w:t>
      </w:r>
    </w:p>
    <w:p>
      <w:pPr>
        <w:pStyle w:val="4"/>
        <w:tabs>
          <w:tab w:val="right" w:leader="dot" w:pos="9292"/>
        </w:tabs>
        <w:rPr>
          <w:rFonts w:hint="default" w:ascii="宋体" w:hAnsi="宋体" w:eastAsia="宋体" w:cs="宋体"/>
          <w:color w:val="auto"/>
          <w:lang w:val="en-US"/>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_Toc20278 </w:instrText>
      </w:r>
      <w:r>
        <w:rPr>
          <w:rFonts w:hint="eastAsia" w:ascii="宋体" w:hAnsi="宋体" w:eastAsia="宋体" w:cs="宋体"/>
          <w:color w:val="auto"/>
          <w:lang w:eastAsia="zh-CN"/>
        </w:rPr>
        <w:fldChar w:fldCharType="separate"/>
      </w:r>
      <w:r>
        <w:rPr>
          <w:rFonts w:hint="eastAsia" w:ascii="宋体" w:hAnsi="宋体" w:eastAsia="宋体" w:cs="宋体"/>
          <w:color w:val="auto"/>
          <w:lang w:val="en-US" w:eastAsia="zh-CN"/>
        </w:rPr>
        <w:t>3</w:t>
      </w:r>
      <w:r>
        <w:rPr>
          <w:rFonts w:hint="eastAsia" w:ascii="宋体" w:hAnsi="宋体" w:eastAsia="宋体" w:cs="宋体"/>
          <w:color w:val="auto"/>
          <w:lang w:eastAsia="zh-CN"/>
        </w:rPr>
        <w:t>.</w:t>
      </w:r>
      <w:r>
        <w:rPr>
          <w:rFonts w:hint="eastAsia" w:ascii="宋体" w:hAnsi="宋体" w:eastAsia="宋体" w:cs="宋体"/>
          <w:color w:val="auto"/>
          <w:lang w:val="en-US" w:eastAsia="zh-CN"/>
        </w:rPr>
        <w:t>民航业发展资金</w:t>
      </w:r>
      <w:r>
        <w:rPr>
          <w:rFonts w:hint="eastAsia" w:ascii="宋体" w:hAnsi="宋体" w:eastAsia="宋体" w:cs="宋体"/>
          <w:color w:val="auto"/>
        </w:rPr>
        <w:tab/>
      </w:r>
      <w:r>
        <w:rPr>
          <w:rFonts w:hint="eastAsia" w:ascii="宋体" w:hAnsi="宋体" w:eastAsia="宋体" w:cs="宋体"/>
          <w:color w:val="auto"/>
          <w:lang w:val="en-US" w:eastAsia="zh-CN"/>
        </w:rPr>
        <w:t>3</w:t>
      </w:r>
      <w:r>
        <w:rPr>
          <w:rFonts w:hint="eastAsia" w:ascii="宋体" w:hAnsi="宋体" w:eastAsia="宋体" w:cs="宋体"/>
          <w:color w:val="auto"/>
          <w:lang w:eastAsia="zh-CN"/>
        </w:rPr>
        <w:fldChar w:fldCharType="end"/>
      </w:r>
      <w:r>
        <w:rPr>
          <w:rFonts w:hint="eastAsia" w:ascii="宋体" w:hAnsi="宋体" w:eastAsia="宋体" w:cs="宋体"/>
          <w:color w:val="auto"/>
          <w:lang w:val="en-US" w:eastAsia="zh-CN"/>
        </w:rPr>
        <w:t>3</w:t>
      </w:r>
    </w:p>
    <w:p>
      <w:pPr>
        <w:pStyle w:val="4"/>
        <w:tabs>
          <w:tab w:val="right" w:leader="dot" w:pos="9292"/>
        </w:tabs>
        <w:rPr>
          <w:rFonts w:hint="default" w:ascii="宋体" w:hAnsi="宋体" w:eastAsia="宋体" w:cs="宋体"/>
          <w:color w:val="auto"/>
          <w:lang w:val="en-US"/>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_Toc14173 </w:instrText>
      </w:r>
      <w:r>
        <w:rPr>
          <w:rFonts w:hint="eastAsia" w:ascii="宋体" w:hAnsi="宋体" w:eastAsia="宋体" w:cs="宋体"/>
          <w:color w:val="auto"/>
          <w:lang w:eastAsia="zh-CN"/>
        </w:rPr>
        <w:fldChar w:fldCharType="separate"/>
      </w:r>
      <w:r>
        <w:rPr>
          <w:rFonts w:hint="eastAsia" w:ascii="宋体" w:hAnsi="宋体" w:eastAsia="宋体" w:cs="宋体"/>
          <w:color w:val="auto"/>
          <w:lang w:val="en-US" w:eastAsia="zh-CN"/>
        </w:rPr>
        <w:t>4</w:t>
      </w:r>
      <w:r>
        <w:rPr>
          <w:rFonts w:hint="eastAsia" w:ascii="宋体" w:hAnsi="宋体" w:eastAsia="宋体" w:cs="宋体"/>
          <w:color w:val="auto"/>
          <w:lang w:eastAsia="zh-CN"/>
        </w:rPr>
        <w:t>.</w:t>
      </w:r>
      <w:r>
        <w:rPr>
          <w:rFonts w:hint="eastAsia" w:ascii="宋体" w:hAnsi="宋体" w:eastAsia="宋体" w:cs="宋体"/>
          <w:color w:val="auto"/>
          <w:lang w:val="en-US" w:eastAsia="zh-CN"/>
        </w:rPr>
        <w:t>金融业发展资金</w:t>
      </w:r>
      <w:r>
        <w:rPr>
          <w:rFonts w:hint="eastAsia" w:ascii="宋体" w:hAnsi="宋体" w:eastAsia="宋体" w:cs="宋体"/>
          <w:color w:val="auto"/>
        </w:rPr>
        <w:tab/>
      </w:r>
      <w:r>
        <w:rPr>
          <w:rFonts w:hint="eastAsia" w:ascii="宋体" w:hAnsi="宋体" w:eastAsia="宋体" w:cs="宋体"/>
          <w:color w:val="auto"/>
          <w:lang w:val="en-US" w:eastAsia="zh-CN"/>
        </w:rPr>
        <w:t>3</w:t>
      </w:r>
      <w:r>
        <w:rPr>
          <w:rFonts w:hint="eastAsia" w:ascii="宋体" w:hAnsi="宋体" w:eastAsia="宋体" w:cs="宋体"/>
          <w:color w:val="auto"/>
          <w:lang w:eastAsia="zh-CN"/>
        </w:rPr>
        <w:fldChar w:fldCharType="end"/>
      </w:r>
      <w:r>
        <w:rPr>
          <w:rFonts w:hint="eastAsia" w:ascii="宋体" w:hAnsi="宋体" w:eastAsia="宋体" w:cs="宋体"/>
          <w:color w:val="auto"/>
          <w:lang w:val="en-US" w:eastAsia="zh-CN"/>
        </w:rPr>
        <w:t>4</w:t>
      </w:r>
    </w:p>
    <w:p>
      <w:pPr>
        <w:pStyle w:val="4"/>
        <w:tabs>
          <w:tab w:val="right" w:leader="dot" w:pos="9292"/>
        </w:tabs>
        <w:rPr>
          <w:rFonts w:hint="default" w:ascii="宋体" w:hAnsi="宋体" w:eastAsia="宋体" w:cs="宋体"/>
          <w:color w:val="auto"/>
          <w:lang w:val="en-US"/>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_Toc4934 </w:instrText>
      </w:r>
      <w:r>
        <w:rPr>
          <w:rFonts w:hint="eastAsia" w:ascii="宋体" w:hAnsi="宋体" w:eastAsia="宋体" w:cs="宋体"/>
          <w:color w:val="auto"/>
          <w:lang w:eastAsia="zh-CN"/>
        </w:rPr>
        <w:fldChar w:fldCharType="separate"/>
      </w:r>
      <w:r>
        <w:rPr>
          <w:rFonts w:hint="eastAsia" w:ascii="宋体" w:hAnsi="宋体" w:eastAsia="宋体" w:cs="宋体"/>
          <w:color w:val="auto"/>
          <w:lang w:val="en-US" w:eastAsia="zh-CN"/>
        </w:rPr>
        <w:t>5</w:t>
      </w:r>
      <w:r>
        <w:rPr>
          <w:rFonts w:hint="eastAsia" w:ascii="宋体" w:hAnsi="宋体" w:eastAsia="宋体" w:cs="宋体"/>
          <w:color w:val="auto"/>
          <w:lang w:eastAsia="zh-CN"/>
        </w:rPr>
        <w:t>.</w:t>
      </w:r>
      <w:r>
        <w:rPr>
          <w:rFonts w:hint="eastAsia" w:ascii="宋体" w:hAnsi="宋体" w:eastAsia="宋体" w:cs="宋体"/>
          <w:color w:val="auto"/>
          <w:lang w:val="en-US" w:eastAsia="zh-CN"/>
        </w:rPr>
        <w:t>会展业发展资金</w:t>
      </w:r>
      <w:r>
        <w:rPr>
          <w:rFonts w:hint="eastAsia" w:ascii="宋体" w:hAnsi="宋体" w:eastAsia="宋体" w:cs="宋体"/>
          <w:color w:val="auto"/>
        </w:rPr>
        <w:tab/>
      </w:r>
      <w:r>
        <w:rPr>
          <w:rFonts w:hint="eastAsia" w:ascii="宋体" w:hAnsi="宋体" w:eastAsia="宋体" w:cs="宋体"/>
          <w:color w:val="auto"/>
          <w:lang w:val="en-US" w:eastAsia="zh-CN"/>
        </w:rPr>
        <w:t>3</w:t>
      </w:r>
      <w:r>
        <w:rPr>
          <w:rFonts w:hint="eastAsia" w:ascii="宋体" w:hAnsi="宋体" w:eastAsia="宋体" w:cs="宋体"/>
          <w:color w:val="auto"/>
          <w:lang w:eastAsia="zh-CN"/>
        </w:rPr>
        <w:fldChar w:fldCharType="end"/>
      </w:r>
      <w:r>
        <w:rPr>
          <w:rFonts w:hint="eastAsia" w:ascii="宋体" w:hAnsi="宋体" w:eastAsia="宋体" w:cs="宋体"/>
          <w:color w:val="auto"/>
          <w:lang w:val="en-US" w:eastAsia="zh-CN"/>
        </w:rPr>
        <w:t>5</w:t>
      </w:r>
    </w:p>
    <w:p>
      <w:pPr>
        <w:pStyle w:val="4"/>
        <w:tabs>
          <w:tab w:val="right" w:leader="dot" w:pos="9292"/>
        </w:tabs>
        <w:rPr>
          <w:rFonts w:hint="default" w:ascii="宋体" w:hAnsi="宋体" w:eastAsia="宋体" w:cs="宋体"/>
          <w:color w:val="auto"/>
          <w:lang w:val="en-US"/>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_Toc24698 </w:instrText>
      </w:r>
      <w:r>
        <w:rPr>
          <w:rFonts w:hint="eastAsia" w:ascii="宋体" w:hAnsi="宋体" w:eastAsia="宋体" w:cs="宋体"/>
          <w:color w:val="auto"/>
          <w:lang w:eastAsia="zh-CN"/>
        </w:rPr>
        <w:fldChar w:fldCharType="separate"/>
      </w:r>
      <w:r>
        <w:rPr>
          <w:rFonts w:hint="eastAsia" w:ascii="宋体" w:hAnsi="宋体" w:eastAsia="宋体" w:cs="宋体"/>
          <w:color w:val="auto"/>
          <w:lang w:val="en-US" w:eastAsia="zh-CN"/>
        </w:rPr>
        <w:t>6</w:t>
      </w:r>
      <w:r>
        <w:rPr>
          <w:rFonts w:hint="eastAsia" w:ascii="宋体" w:hAnsi="宋体" w:eastAsia="宋体" w:cs="宋体"/>
          <w:color w:val="auto"/>
          <w:lang w:eastAsia="zh-CN"/>
        </w:rPr>
        <w:t>.</w:t>
      </w:r>
      <w:r>
        <w:rPr>
          <w:rFonts w:hint="eastAsia" w:ascii="宋体" w:hAnsi="宋体" w:eastAsia="宋体" w:cs="宋体"/>
          <w:color w:val="auto"/>
          <w:lang w:val="en-US" w:eastAsia="zh-CN"/>
        </w:rPr>
        <w:t>先进制造业发展资金</w:t>
      </w:r>
      <w:r>
        <w:rPr>
          <w:rFonts w:hint="eastAsia" w:ascii="宋体" w:hAnsi="宋体" w:eastAsia="宋体" w:cs="宋体"/>
          <w:color w:val="auto"/>
        </w:rPr>
        <w:tab/>
      </w:r>
      <w:r>
        <w:rPr>
          <w:rFonts w:hint="eastAsia" w:ascii="宋体" w:hAnsi="宋体" w:eastAsia="宋体" w:cs="宋体"/>
          <w:color w:val="auto"/>
          <w:lang w:val="en-US" w:eastAsia="zh-CN"/>
        </w:rPr>
        <w:t>4</w:t>
      </w:r>
      <w:r>
        <w:rPr>
          <w:rFonts w:hint="eastAsia" w:ascii="宋体" w:hAnsi="宋体" w:eastAsia="宋体" w:cs="宋体"/>
          <w:color w:val="auto"/>
          <w:lang w:eastAsia="zh-CN"/>
        </w:rPr>
        <w:fldChar w:fldCharType="end"/>
      </w:r>
      <w:r>
        <w:rPr>
          <w:rFonts w:hint="eastAsia" w:ascii="宋体" w:hAnsi="宋体" w:eastAsia="宋体" w:cs="宋体"/>
          <w:color w:val="auto"/>
          <w:lang w:val="en-US" w:eastAsia="zh-CN"/>
        </w:rPr>
        <w:t>0</w:t>
      </w:r>
    </w:p>
    <w:p>
      <w:pPr>
        <w:pStyle w:val="4"/>
        <w:tabs>
          <w:tab w:val="right" w:leader="dot" w:pos="9292"/>
        </w:tabs>
        <w:rPr>
          <w:rFonts w:hint="default" w:ascii="宋体" w:hAnsi="宋体" w:eastAsia="宋体" w:cs="宋体"/>
          <w:color w:val="auto"/>
          <w:lang w:val="en-US"/>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_Toc1094 </w:instrText>
      </w:r>
      <w:r>
        <w:rPr>
          <w:rFonts w:hint="eastAsia" w:ascii="宋体" w:hAnsi="宋体" w:eastAsia="宋体" w:cs="宋体"/>
          <w:color w:val="auto"/>
          <w:lang w:eastAsia="zh-CN"/>
        </w:rPr>
        <w:fldChar w:fldCharType="separate"/>
      </w:r>
      <w:r>
        <w:rPr>
          <w:rFonts w:hint="eastAsia" w:ascii="宋体" w:hAnsi="宋体" w:eastAsia="宋体" w:cs="宋体"/>
          <w:color w:val="auto"/>
          <w:lang w:val="en-US" w:eastAsia="zh-CN"/>
        </w:rPr>
        <w:t>7</w:t>
      </w:r>
      <w:r>
        <w:rPr>
          <w:rFonts w:hint="eastAsia" w:ascii="宋体" w:hAnsi="宋体" w:eastAsia="宋体" w:cs="宋体"/>
          <w:color w:val="auto"/>
          <w:lang w:eastAsia="zh-CN"/>
        </w:rPr>
        <w:t>.</w:t>
      </w:r>
      <w:r>
        <w:rPr>
          <w:rFonts w:hint="eastAsia" w:ascii="宋体" w:hAnsi="宋体" w:eastAsia="宋体" w:cs="宋体"/>
          <w:color w:val="auto"/>
          <w:lang w:val="en-US" w:eastAsia="zh-CN"/>
        </w:rPr>
        <w:t>支持和引导高质量发展资金</w:t>
      </w:r>
      <w:r>
        <w:rPr>
          <w:rFonts w:hint="eastAsia" w:ascii="宋体" w:hAnsi="宋体" w:eastAsia="宋体" w:cs="宋体"/>
          <w:color w:val="auto"/>
        </w:rPr>
        <w:tab/>
      </w:r>
      <w:r>
        <w:rPr>
          <w:rFonts w:hint="eastAsia" w:ascii="宋体" w:hAnsi="宋体" w:eastAsia="宋体" w:cs="宋体"/>
          <w:color w:val="auto"/>
          <w:lang w:val="en-US" w:eastAsia="zh-CN"/>
        </w:rPr>
        <w:t>4</w:t>
      </w:r>
      <w:r>
        <w:rPr>
          <w:rFonts w:hint="eastAsia" w:ascii="宋体" w:hAnsi="宋体" w:eastAsia="宋体" w:cs="宋体"/>
          <w:color w:val="auto"/>
          <w:lang w:eastAsia="zh-CN"/>
        </w:rPr>
        <w:fldChar w:fldCharType="end"/>
      </w:r>
      <w:r>
        <w:rPr>
          <w:rFonts w:hint="eastAsia" w:ascii="宋体" w:hAnsi="宋体" w:eastAsia="宋体" w:cs="宋体"/>
          <w:color w:val="auto"/>
          <w:lang w:val="en-US" w:eastAsia="zh-CN"/>
        </w:rPr>
        <w:t>4</w:t>
      </w:r>
    </w:p>
    <w:p>
      <w:pPr>
        <w:pStyle w:val="4"/>
        <w:tabs>
          <w:tab w:val="right" w:leader="dot" w:pos="9292"/>
        </w:tabs>
        <w:rPr>
          <w:rFonts w:hint="default" w:ascii="宋体" w:hAnsi="宋体" w:eastAsia="宋体" w:cs="宋体"/>
          <w:color w:val="auto"/>
          <w:lang w:val="en-US"/>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_Toc4476 </w:instrText>
      </w:r>
      <w:r>
        <w:rPr>
          <w:rFonts w:hint="eastAsia" w:ascii="宋体" w:hAnsi="宋体" w:eastAsia="宋体" w:cs="宋体"/>
          <w:color w:val="auto"/>
          <w:lang w:eastAsia="zh-CN"/>
        </w:rPr>
        <w:fldChar w:fldCharType="separate"/>
      </w:r>
      <w:r>
        <w:rPr>
          <w:rFonts w:hint="eastAsia" w:ascii="宋体" w:hAnsi="宋体" w:eastAsia="宋体" w:cs="宋体"/>
          <w:color w:val="auto"/>
          <w:lang w:val="en-US" w:eastAsia="zh-CN"/>
        </w:rPr>
        <w:t>8</w:t>
      </w:r>
      <w:r>
        <w:rPr>
          <w:rFonts w:hint="eastAsia" w:ascii="宋体" w:hAnsi="宋体" w:eastAsia="宋体" w:cs="宋体"/>
          <w:color w:val="auto"/>
          <w:lang w:eastAsia="zh-CN"/>
        </w:rPr>
        <w:t>.</w:t>
      </w:r>
      <w:r>
        <w:rPr>
          <w:rFonts w:hint="eastAsia" w:ascii="宋体" w:hAnsi="宋体" w:eastAsia="宋体" w:cs="宋体"/>
          <w:color w:val="auto"/>
          <w:lang w:val="en-US" w:eastAsia="zh-CN"/>
        </w:rPr>
        <w:t>国有企业改革资金</w:t>
      </w:r>
      <w:r>
        <w:rPr>
          <w:rFonts w:hint="eastAsia" w:ascii="宋体" w:hAnsi="宋体" w:eastAsia="宋体" w:cs="宋体"/>
          <w:color w:val="auto"/>
        </w:rPr>
        <w:tab/>
      </w:r>
      <w:r>
        <w:rPr>
          <w:rFonts w:hint="eastAsia" w:ascii="宋体" w:hAnsi="宋体" w:eastAsia="宋体" w:cs="宋体"/>
          <w:color w:val="auto"/>
          <w:lang w:val="en-US" w:eastAsia="zh-CN"/>
        </w:rPr>
        <w:t>4</w:t>
      </w:r>
      <w:r>
        <w:rPr>
          <w:rFonts w:hint="eastAsia" w:ascii="宋体" w:hAnsi="宋体" w:eastAsia="宋体" w:cs="宋体"/>
          <w:color w:val="auto"/>
          <w:lang w:eastAsia="zh-CN"/>
        </w:rPr>
        <w:fldChar w:fldCharType="end"/>
      </w:r>
      <w:r>
        <w:rPr>
          <w:rFonts w:hint="eastAsia" w:ascii="宋体" w:hAnsi="宋体" w:eastAsia="宋体" w:cs="宋体"/>
          <w:color w:val="auto"/>
          <w:lang w:val="en-US" w:eastAsia="zh-CN"/>
        </w:rPr>
        <w:t>9</w:t>
      </w:r>
    </w:p>
    <w:p>
      <w:pPr>
        <w:pStyle w:val="4"/>
        <w:tabs>
          <w:tab w:val="right" w:leader="dot" w:pos="9292"/>
        </w:tabs>
        <w:rPr>
          <w:rFonts w:hint="default" w:ascii="宋体" w:hAnsi="宋体" w:eastAsia="宋体" w:cs="宋体"/>
          <w:color w:val="auto"/>
          <w:lang w:val="en-US"/>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_Toc9089 </w:instrText>
      </w:r>
      <w:r>
        <w:rPr>
          <w:rFonts w:hint="eastAsia" w:ascii="宋体" w:hAnsi="宋体" w:eastAsia="宋体" w:cs="宋体"/>
          <w:color w:val="auto"/>
          <w:lang w:eastAsia="zh-CN"/>
        </w:rPr>
        <w:fldChar w:fldCharType="separate"/>
      </w:r>
      <w:r>
        <w:rPr>
          <w:rFonts w:hint="eastAsia" w:ascii="宋体" w:hAnsi="宋体" w:eastAsia="宋体" w:cs="宋体"/>
          <w:color w:val="auto"/>
          <w:lang w:val="en-US" w:eastAsia="zh-CN"/>
        </w:rPr>
        <w:t>9</w:t>
      </w:r>
      <w:r>
        <w:rPr>
          <w:rFonts w:hint="eastAsia" w:ascii="宋体" w:hAnsi="宋体" w:eastAsia="宋体" w:cs="宋体"/>
          <w:color w:val="auto"/>
          <w:lang w:eastAsia="zh-CN"/>
        </w:rPr>
        <w:t>.</w:t>
      </w:r>
      <w:r>
        <w:rPr>
          <w:rFonts w:hint="eastAsia" w:ascii="宋体" w:hAnsi="宋体" w:eastAsia="宋体" w:cs="宋体"/>
          <w:color w:val="auto"/>
          <w:lang w:val="en-US" w:eastAsia="zh-CN"/>
        </w:rPr>
        <w:t>应急安全保障</w:t>
      </w:r>
      <w:r>
        <w:rPr>
          <w:rFonts w:hint="eastAsia" w:ascii="宋体" w:hAnsi="宋体" w:eastAsia="宋体" w:cs="宋体"/>
          <w:color w:val="auto"/>
        </w:rPr>
        <w:tab/>
      </w:r>
      <w:r>
        <w:rPr>
          <w:rFonts w:hint="eastAsia" w:ascii="宋体" w:hAnsi="宋体" w:eastAsia="宋体" w:cs="宋体"/>
          <w:color w:val="auto"/>
          <w:lang w:val="en-US" w:eastAsia="zh-CN"/>
        </w:rPr>
        <w:t>5</w:t>
      </w:r>
      <w:r>
        <w:rPr>
          <w:rFonts w:hint="eastAsia" w:ascii="宋体" w:hAnsi="宋体" w:eastAsia="宋体" w:cs="宋体"/>
          <w:color w:val="auto"/>
          <w:lang w:eastAsia="zh-CN"/>
        </w:rPr>
        <w:fldChar w:fldCharType="end"/>
      </w:r>
      <w:r>
        <w:rPr>
          <w:rFonts w:hint="eastAsia" w:ascii="宋体" w:hAnsi="宋体" w:eastAsia="宋体" w:cs="宋体"/>
          <w:color w:val="auto"/>
          <w:lang w:val="en-US" w:eastAsia="zh-CN"/>
        </w:rPr>
        <w:t>2</w:t>
      </w:r>
    </w:p>
    <w:p>
      <w:pPr>
        <w:pStyle w:val="4"/>
        <w:tabs>
          <w:tab w:val="right" w:leader="dot" w:pos="9292"/>
        </w:tabs>
        <w:rPr>
          <w:rFonts w:hint="default" w:ascii="宋体" w:hAnsi="宋体" w:eastAsia="宋体" w:cs="宋体"/>
          <w:color w:val="auto"/>
          <w:lang w:val="en-US"/>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_Toc10302 </w:instrText>
      </w:r>
      <w:r>
        <w:rPr>
          <w:rFonts w:hint="eastAsia" w:ascii="宋体" w:hAnsi="宋体" w:eastAsia="宋体" w:cs="宋体"/>
          <w:color w:val="auto"/>
          <w:lang w:eastAsia="zh-CN"/>
        </w:rPr>
        <w:fldChar w:fldCharType="separate"/>
      </w:r>
      <w:r>
        <w:rPr>
          <w:rFonts w:hint="eastAsia" w:ascii="宋体" w:hAnsi="宋体" w:eastAsia="宋体" w:cs="宋体"/>
          <w:color w:val="auto"/>
          <w:lang w:val="en-US" w:eastAsia="zh-CN"/>
        </w:rPr>
        <w:t>10</w:t>
      </w:r>
      <w:r>
        <w:rPr>
          <w:rFonts w:hint="eastAsia" w:ascii="宋体" w:hAnsi="宋体" w:eastAsia="宋体" w:cs="宋体"/>
          <w:color w:val="auto"/>
          <w:lang w:eastAsia="zh-CN"/>
        </w:rPr>
        <w:t>.</w:t>
      </w:r>
      <w:r>
        <w:rPr>
          <w:rFonts w:hint="eastAsia" w:ascii="宋体" w:hAnsi="宋体" w:eastAsia="宋体" w:cs="宋体"/>
          <w:color w:val="auto"/>
          <w:lang w:val="en-US" w:eastAsia="zh-CN"/>
        </w:rPr>
        <w:t>食品药品安全</w:t>
      </w:r>
      <w:r>
        <w:rPr>
          <w:rFonts w:hint="eastAsia" w:ascii="宋体" w:hAnsi="宋体" w:eastAsia="宋体" w:cs="宋体"/>
          <w:color w:val="auto"/>
        </w:rPr>
        <w:tab/>
      </w:r>
      <w:r>
        <w:rPr>
          <w:rFonts w:hint="eastAsia" w:ascii="宋体" w:hAnsi="宋体" w:eastAsia="宋体" w:cs="宋体"/>
          <w:color w:val="auto"/>
          <w:lang w:val="en-US" w:eastAsia="zh-CN"/>
        </w:rPr>
        <w:t>5</w:t>
      </w:r>
      <w:r>
        <w:rPr>
          <w:rFonts w:hint="eastAsia" w:ascii="宋体" w:hAnsi="宋体" w:eastAsia="宋体" w:cs="宋体"/>
          <w:color w:val="auto"/>
          <w:lang w:eastAsia="zh-CN"/>
        </w:rPr>
        <w:fldChar w:fldCharType="end"/>
      </w:r>
      <w:r>
        <w:rPr>
          <w:rFonts w:hint="eastAsia" w:ascii="宋体" w:hAnsi="宋体" w:eastAsia="宋体" w:cs="宋体"/>
          <w:color w:val="auto"/>
          <w:lang w:val="en-US" w:eastAsia="zh-CN"/>
        </w:rPr>
        <w:t>3</w:t>
      </w:r>
    </w:p>
    <w:p>
      <w:pPr>
        <w:pStyle w:val="4"/>
        <w:tabs>
          <w:tab w:val="right" w:leader="dot" w:pos="9292"/>
        </w:tabs>
        <w:rPr>
          <w:rFonts w:hint="default" w:ascii="宋体" w:hAnsi="宋体" w:eastAsia="宋体" w:cs="宋体"/>
          <w:color w:val="auto"/>
          <w:lang w:val="en-US"/>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_Toc16405 </w:instrText>
      </w:r>
      <w:r>
        <w:rPr>
          <w:rFonts w:hint="eastAsia" w:ascii="宋体" w:hAnsi="宋体" w:eastAsia="宋体" w:cs="宋体"/>
          <w:color w:val="auto"/>
          <w:lang w:eastAsia="zh-CN"/>
        </w:rPr>
        <w:fldChar w:fldCharType="separate"/>
      </w:r>
      <w:r>
        <w:rPr>
          <w:rFonts w:hint="eastAsia" w:ascii="宋体" w:hAnsi="宋体" w:eastAsia="宋体" w:cs="宋体"/>
          <w:color w:val="auto"/>
          <w:lang w:val="en-US" w:eastAsia="zh-CN"/>
        </w:rPr>
        <w:t>11</w:t>
      </w:r>
      <w:r>
        <w:rPr>
          <w:rFonts w:hint="eastAsia" w:ascii="宋体" w:hAnsi="宋体" w:eastAsia="宋体" w:cs="宋体"/>
          <w:color w:val="auto"/>
          <w:lang w:eastAsia="zh-CN"/>
        </w:rPr>
        <w:t>.</w:t>
      </w:r>
      <w:r>
        <w:rPr>
          <w:rFonts w:hint="eastAsia" w:ascii="宋体" w:hAnsi="宋体" w:eastAsia="宋体" w:cs="宋体"/>
          <w:color w:val="auto"/>
          <w:lang w:val="en-US" w:eastAsia="zh-CN"/>
        </w:rPr>
        <w:t>质量与标准化发展资金</w:t>
      </w:r>
      <w:r>
        <w:rPr>
          <w:rFonts w:hint="eastAsia" w:ascii="宋体" w:hAnsi="宋体" w:eastAsia="宋体" w:cs="宋体"/>
          <w:color w:val="auto"/>
        </w:rPr>
        <w:tab/>
      </w:r>
      <w:r>
        <w:rPr>
          <w:rFonts w:hint="eastAsia" w:ascii="宋体" w:hAnsi="宋体" w:eastAsia="宋体" w:cs="宋体"/>
          <w:color w:val="auto"/>
          <w:lang w:val="en-US" w:eastAsia="zh-CN"/>
        </w:rPr>
        <w:t>5</w:t>
      </w:r>
      <w:r>
        <w:rPr>
          <w:rFonts w:hint="eastAsia" w:ascii="宋体" w:hAnsi="宋体" w:eastAsia="宋体" w:cs="宋体"/>
          <w:color w:val="auto"/>
          <w:lang w:eastAsia="zh-CN"/>
        </w:rPr>
        <w:fldChar w:fldCharType="end"/>
      </w:r>
      <w:r>
        <w:rPr>
          <w:rFonts w:hint="eastAsia" w:ascii="宋体" w:hAnsi="宋体" w:eastAsia="宋体" w:cs="宋体"/>
          <w:color w:val="auto"/>
          <w:lang w:val="en-US" w:eastAsia="zh-CN"/>
        </w:rPr>
        <w:t>6</w:t>
      </w:r>
    </w:p>
    <w:p>
      <w:pPr>
        <w:pStyle w:val="4"/>
        <w:tabs>
          <w:tab w:val="right" w:leader="dot" w:pos="9292"/>
        </w:tabs>
        <w:rPr>
          <w:rFonts w:hint="default" w:ascii="宋体" w:hAnsi="宋体" w:eastAsia="宋体" w:cs="宋体"/>
          <w:color w:val="auto"/>
          <w:lang w:val="en-US"/>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_Toc3512 </w:instrText>
      </w:r>
      <w:r>
        <w:rPr>
          <w:rFonts w:hint="eastAsia" w:ascii="宋体" w:hAnsi="宋体" w:eastAsia="宋体" w:cs="宋体"/>
          <w:color w:val="auto"/>
          <w:lang w:eastAsia="zh-CN"/>
        </w:rPr>
        <w:fldChar w:fldCharType="separate"/>
      </w:r>
      <w:r>
        <w:rPr>
          <w:rFonts w:hint="eastAsia" w:ascii="宋体" w:hAnsi="宋体" w:eastAsia="宋体" w:cs="宋体"/>
          <w:color w:val="auto"/>
          <w:lang w:eastAsia="zh-CN"/>
        </w:rPr>
        <w:t>1</w:t>
      </w:r>
      <w:r>
        <w:rPr>
          <w:rFonts w:hint="eastAsia" w:ascii="宋体" w:hAnsi="宋体" w:eastAsia="宋体" w:cs="宋体"/>
          <w:color w:val="auto"/>
          <w:lang w:val="en-US" w:eastAsia="zh-CN"/>
        </w:rPr>
        <w:t>2</w:t>
      </w:r>
      <w:r>
        <w:rPr>
          <w:rFonts w:hint="eastAsia" w:ascii="宋体" w:hAnsi="宋体" w:eastAsia="宋体" w:cs="宋体"/>
          <w:color w:val="auto"/>
          <w:lang w:eastAsia="zh-CN"/>
        </w:rPr>
        <w:t>.</w:t>
      </w:r>
      <w:r>
        <w:rPr>
          <w:rFonts w:hint="eastAsia" w:ascii="宋体" w:hAnsi="宋体" w:eastAsia="宋体" w:cs="宋体"/>
          <w:color w:val="auto"/>
          <w:lang w:val="en-US" w:eastAsia="zh-CN"/>
        </w:rPr>
        <w:t>口岸通关补助资金</w:t>
      </w:r>
      <w:r>
        <w:rPr>
          <w:rFonts w:hint="eastAsia" w:ascii="宋体" w:hAnsi="宋体" w:eastAsia="宋体" w:cs="宋体"/>
          <w:color w:val="auto"/>
        </w:rPr>
        <w:tab/>
      </w:r>
      <w:r>
        <w:rPr>
          <w:rFonts w:hint="eastAsia" w:ascii="宋体" w:hAnsi="宋体" w:eastAsia="宋体" w:cs="宋体"/>
          <w:color w:val="auto"/>
          <w:lang w:val="en-US" w:eastAsia="zh-CN"/>
        </w:rPr>
        <w:t>6</w:t>
      </w:r>
      <w:r>
        <w:rPr>
          <w:rFonts w:hint="eastAsia" w:ascii="宋体" w:hAnsi="宋体" w:eastAsia="宋体" w:cs="宋体"/>
          <w:color w:val="auto"/>
          <w:lang w:eastAsia="zh-CN"/>
        </w:rPr>
        <w:fldChar w:fldCharType="end"/>
      </w:r>
      <w:r>
        <w:rPr>
          <w:rFonts w:hint="eastAsia" w:ascii="宋体" w:hAnsi="宋体" w:eastAsia="宋体" w:cs="宋体"/>
          <w:color w:val="auto"/>
          <w:lang w:val="en-US" w:eastAsia="zh-CN"/>
        </w:rPr>
        <w:t>2</w:t>
      </w:r>
    </w:p>
    <w:p>
      <w:pPr>
        <w:pStyle w:val="4"/>
        <w:tabs>
          <w:tab w:val="right" w:leader="dot" w:pos="9292"/>
        </w:tabs>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fldChar w:fldCharType="begin"/>
      </w:r>
      <w:r>
        <w:rPr>
          <w:rFonts w:hint="eastAsia" w:ascii="黑体" w:hAnsi="黑体" w:eastAsia="黑体" w:cs="黑体"/>
          <w:color w:val="auto"/>
          <w:sz w:val="32"/>
          <w:szCs w:val="32"/>
          <w:lang w:val="en-US" w:eastAsia="zh-CN"/>
        </w:rPr>
        <w:instrText xml:space="preserve"> HYPERLINK \l _Toc12755 </w:instrText>
      </w:r>
      <w:r>
        <w:rPr>
          <w:rFonts w:hint="eastAsia" w:ascii="黑体" w:hAnsi="黑体" w:eastAsia="黑体" w:cs="黑体"/>
          <w:color w:val="auto"/>
          <w:sz w:val="32"/>
          <w:szCs w:val="32"/>
          <w:lang w:val="en-US" w:eastAsia="zh-CN"/>
        </w:rPr>
        <w:fldChar w:fldCharType="separate"/>
      </w:r>
      <w:r>
        <w:rPr>
          <w:rFonts w:hint="eastAsia" w:ascii="黑体" w:hAnsi="黑体" w:eastAsia="黑体" w:cs="黑体"/>
          <w:color w:val="auto"/>
          <w:sz w:val="32"/>
          <w:szCs w:val="32"/>
          <w:lang w:val="en-US" w:eastAsia="zh-CN"/>
        </w:rPr>
        <w:t>三、支持社会事业发展类</w:t>
      </w:r>
      <w:r>
        <w:rPr>
          <w:rFonts w:hint="eastAsia" w:ascii="黑体" w:hAnsi="黑体" w:eastAsia="黑体" w:cs="黑体"/>
          <w:color w:val="auto"/>
          <w:sz w:val="32"/>
          <w:szCs w:val="32"/>
          <w:lang w:val="en-US" w:eastAsia="zh-CN"/>
        </w:rPr>
        <w:tab/>
      </w:r>
      <w:r>
        <w:rPr>
          <w:rFonts w:hint="eastAsia" w:ascii="黑体" w:hAnsi="黑体" w:eastAsia="黑体" w:cs="黑体"/>
          <w:color w:val="auto"/>
          <w:sz w:val="32"/>
          <w:szCs w:val="32"/>
          <w:lang w:val="en-US" w:eastAsia="zh-CN"/>
        </w:rPr>
        <w:t>6</w:t>
      </w:r>
      <w:r>
        <w:rPr>
          <w:rFonts w:hint="eastAsia" w:ascii="黑体" w:hAnsi="黑体" w:eastAsia="黑体" w:cs="黑体"/>
          <w:color w:val="auto"/>
          <w:sz w:val="32"/>
          <w:szCs w:val="32"/>
          <w:lang w:val="en-US" w:eastAsia="zh-CN"/>
        </w:rPr>
        <w:fldChar w:fldCharType="end"/>
      </w:r>
      <w:r>
        <w:rPr>
          <w:rFonts w:hint="eastAsia" w:ascii="黑体" w:hAnsi="黑体" w:eastAsia="黑体" w:cs="黑体"/>
          <w:color w:val="auto"/>
          <w:sz w:val="32"/>
          <w:szCs w:val="32"/>
          <w:lang w:val="en-US" w:eastAsia="zh-CN"/>
        </w:rPr>
        <w:t>4</w:t>
      </w:r>
    </w:p>
    <w:p>
      <w:pPr>
        <w:pStyle w:val="4"/>
        <w:tabs>
          <w:tab w:val="right" w:leader="dot" w:pos="9292"/>
        </w:tabs>
        <w:rPr>
          <w:rFonts w:hint="default" w:ascii="宋体" w:hAnsi="宋体" w:eastAsia="宋体" w:cs="宋体"/>
          <w:color w:val="auto"/>
          <w:lang w:val="en-US"/>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_Toc17677 </w:instrText>
      </w:r>
      <w:r>
        <w:rPr>
          <w:rFonts w:hint="eastAsia" w:ascii="宋体" w:hAnsi="宋体" w:eastAsia="宋体" w:cs="宋体"/>
          <w:color w:val="auto"/>
          <w:lang w:eastAsia="zh-CN"/>
        </w:rPr>
        <w:fldChar w:fldCharType="separate"/>
      </w:r>
      <w:r>
        <w:rPr>
          <w:rFonts w:hint="eastAsia" w:ascii="宋体" w:hAnsi="宋体" w:eastAsia="宋体" w:cs="宋体"/>
          <w:color w:val="auto"/>
          <w:lang w:val="en-US" w:eastAsia="zh-CN"/>
        </w:rPr>
        <w:t>1</w:t>
      </w:r>
      <w:r>
        <w:rPr>
          <w:rFonts w:hint="eastAsia" w:ascii="宋体" w:hAnsi="宋体" w:eastAsia="宋体" w:cs="宋体"/>
          <w:color w:val="auto"/>
          <w:lang w:eastAsia="zh-CN"/>
        </w:rPr>
        <w:t>.</w:t>
      </w:r>
      <w:r>
        <w:rPr>
          <w:rFonts w:hint="eastAsia" w:ascii="宋体" w:hAnsi="宋体" w:eastAsia="宋体" w:cs="宋体"/>
          <w:color w:val="auto"/>
          <w:lang w:val="en-US" w:eastAsia="zh-CN"/>
        </w:rPr>
        <w:t>支持教育事业发展资金</w:t>
      </w:r>
      <w:r>
        <w:rPr>
          <w:rFonts w:hint="eastAsia" w:ascii="宋体" w:hAnsi="宋体" w:eastAsia="宋体" w:cs="宋体"/>
          <w:color w:val="auto"/>
        </w:rPr>
        <w:tab/>
      </w:r>
      <w:r>
        <w:rPr>
          <w:rFonts w:hint="eastAsia" w:ascii="宋体" w:hAnsi="宋体" w:eastAsia="宋体" w:cs="宋体"/>
          <w:color w:val="auto"/>
          <w:lang w:val="en-US" w:eastAsia="zh-CN"/>
        </w:rPr>
        <w:t>6</w:t>
      </w:r>
      <w:r>
        <w:rPr>
          <w:rFonts w:hint="eastAsia" w:ascii="宋体" w:hAnsi="宋体" w:eastAsia="宋体" w:cs="宋体"/>
          <w:color w:val="auto"/>
          <w:lang w:eastAsia="zh-CN"/>
        </w:rPr>
        <w:fldChar w:fldCharType="end"/>
      </w:r>
      <w:r>
        <w:rPr>
          <w:rFonts w:hint="eastAsia" w:ascii="宋体" w:hAnsi="宋体" w:eastAsia="宋体" w:cs="宋体"/>
          <w:color w:val="auto"/>
          <w:lang w:val="en-US" w:eastAsia="zh-CN"/>
        </w:rPr>
        <w:t>4</w:t>
      </w:r>
    </w:p>
    <w:p>
      <w:pPr>
        <w:pStyle w:val="4"/>
        <w:tabs>
          <w:tab w:val="right" w:leader="dot" w:pos="9292"/>
        </w:tabs>
        <w:rPr>
          <w:rFonts w:hint="default" w:ascii="宋体" w:hAnsi="宋体" w:eastAsia="宋体" w:cs="宋体"/>
          <w:color w:val="auto"/>
          <w:lang w:val="en-US"/>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_Toc16280 </w:instrText>
      </w:r>
      <w:r>
        <w:rPr>
          <w:rFonts w:hint="eastAsia" w:ascii="宋体" w:hAnsi="宋体" w:eastAsia="宋体" w:cs="宋体"/>
          <w:color w:val="auto"/>
          <w:lang w:eastAsia="zh-CN"/>
        </w:rPr>
        <w:fldChar w:fldCharType="separate"/>
      </w:r>
      <w:r>
        <w:rPr>
          <w:rFonts w:hint="eastAsia" w:ascii="宋体" w:hAnsi="宋体" w:eastAsia="宋体" w:cs="宋体"/>
          <w:color w:val="auto"/>
          <w:lang w:eastAsia="zh-CN"/>
        </w:rPr>
        <w:t>2.</w:t>
      </w:r>
      <w:r>
        <w:rPr>
          <w:rFonts w:hint="eastAsia" w:ascii="宋体" w:hAnsi="宋体" w:eastAsia="宋体" w:cs="宋体"/>
          <w:color w:val="auto"/>
          <w:lang w:val="en-US" w:eastAsia="zh-CN"/>
        </w:rPr>
        <w:t>支持科教文化事业发展资金</w:t>
      </w:r>
      <w:r>
        <w:rPr>
          <w:rFonts w:hint="eastAsia" w:ascii="宋体" w:hAnsi="宋体" w:eastAsia="宋体" w:cs="宋体"/>
          <w:color w:val="auto"/>
        </w:rPr>
        <w:tab/>
      </w:r>
      <w:r>
        <w:rPr>
          <w:rFonts w:hint="eastAsia" w:ascii="宋体" w:hAnsi="宋体" w:eastAsia="宋体" w:cs="宋体"/>
          <w:color w:val="auto"/>
          <w:lang w:val="en-US" w:eastAsia="zh-CN"/>
        </w:rPr>
        <w:t>6</w:t>
      </w:r>
      <w:r>
        <w:rPr>
          <w:rFonts w:hint="eastAsia" w:ascii="宋体" w:hAnsi="宋体" w:eastAsia="宋体" w:cs="宋体"/>
          <w:color w:val="auto"/>
          <w:lang w:eastAsia="zh-CN"/>
        </w:rPr>
        <w:fldChar w:fldCharType="end"/>
      </w:r>
      <w:r>
        <w:rPr>
          <w:rFonts w:hint="eastAsia" w:ascii="宋体" w:hAnsi="宋体" w:eastAsia="宋体" w:cs="宋体"/>
          <w:color w:val="auto"/>
          <w:lang w:val="en-US" w:eastAsia="zh-CN"/>
        </w:rPr>
        <w:t>6</w:t>
      </w:r>
    </w:p>
    <w:p>
      <w:pPr>
        <w:pStyle w:val="4"/>
        <w:tabs>
          <w:tab w:val="right" w:leader="dot" w:pos="9292"/>
        </w:tabs>
        <w:rPr>
          <w:rFonts w:hint="default" w:ascii="宋体" w:hAnsi="宋体" w:eastAsia="宋体" w:cs="宋体"/>
          <w:color w:val="auto"/>
          <w:lang w:val="en-US"/>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_Toc31466 </w:instrText>
      </w:r>
      <w:r>
        <w:rPr>
          <w:rFonts w:hint="eastAsia" w:ascii="宋体" w:hAnsi="宋体" w:eastAsia="宋体" w:cs="宋体"/>
          <w:color w:val="auto"/>
          <w:lang w:eastAsia="zh-CN"/>
        </w:rPr>
        <w:fldChar w:fldCharType="separate"/>
      </w:r>
      <w:r>
        <w:rPr>
          <w:rFonts w:hint="eastAsia" w:ascii="宋体" w:hAnsi="宋体" w:eastAsia="宋体" w:cs="宋体"/>
          <w:color w:val="auto"/>
          <w:lang w:val="en-US" w:eastAsia="zh-CN"/>
        </w:rPr>
        <w:t>3</w:t>
      </w:r>
      <w:r>
        <w:rPr>
          <w:rFonts w:hint="eastAsia" w:ascii="宋体" w:hAnsi="宋体" w:eastAsia="宋体" w:cs="宋体"/>
          <w:color w:val="auto"/>
          <w:lang w:eastAsia="zh-CN"/>
        </w:rPr>
        <w:t>.</w:t>
      </w:r>
      <w:r>
        <w:rPr>
          <w:rFonts w:hint="eastAsia" w:ascii="宋体" w:hAnsi="宋体" w:eastAsia="宋体" w:cs="宋体"/>
          <w:color w:val="auto"/>
          <w:lang w:val="en-US" w:eastAsia="zh-CN"/>
        </w:rPr>
        <w:t>支持卫生事业发展资金</w:t>
      </w:r>
      <w:r>
        <w:rPr>
          <w:rFonts w:hint="eastAsia" w:ascii="宋体" w:hAnsi="宋体" w:eastAsia="宋体" w:cs="宋体"/>
          <w:color w:val="auto"/>
        </w:rPr>
        <w:tab/>
      </w:r>
      <w:r>
        <w:rPr>
          <w:rFonts w:hint="eastAsia" w:ascii="宋体" w:hAnsi="宋体" w:eastAsia="宋体" w:cs="宋体"/>
          <w:color w:val="auto"/>
          <w:lang w:eastAsia="zh-CN"/>
        </w:rPr>
        <w:fldChar w:fldCharType="end"/>
      </w:r>
      <w:r>
        <w:rPr>
          <w:rFonts w:hint="eastAsia" w:ascii="宋体" w:hAnsi="宋体" w:eastAsia="宋体" w:cs="宋体"/>
          <w:color w:val="auto"/>
          <w:lang w:val="en-US" w:eastAsia="zh-CN"/>
        </w:rPr>
        <w:t>74</w:t>
      </w:r>
    </w:p>
    <w:p>
      <w:pPr>
        <w:pStyle w:val="4"/>
        <w:tabs>
          <w:tab w:val="right" w:leader="dot" w:pos="9292"/>
        </w:tabs>
        <w:rPr>
          <w:rFonts w:hint="default" w:ascii="宋体" w:hAnsi="宋体" w:eastAsia="宋体" w:cs="宋体"/>
          <w:color w:val="auto"/>
          <w:lang w:val="en-US"/>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_Toc31682 </w:instrText>
      </w:r>
      <w:r>
        <w:rPr>
          <w:rFonts w:hint="eastAsia" w:ascii="宋体" w:hAnsi="宋体" w:eastAsia="宋体" w:cs="宋体"/>
          <w:color w:val="auto"/>
          <w:lang w:eastAsia="zh-CN"/>
        </w:rPr>
        <w:fldChar w:fldCharType="separate"/>
      </w:r>
      <w:r>
        <w:rPr>
          <w:rFonts w:hint="eastAsia" w:ascii="宋体" w:hAnsi="宋体" w:eastAsia="宋体" w:cs="宋体"/>
          <w:color w:val="auto"/>
          <w:lang w:val="en-US" w:eastAsia="zh-CN"/>
        </w:rPr>
        <w:t>4</w:t>
      </w:r>
      <w:r>
        <w:rPr>
          <w:rFonts w:hint="eastAsia" w:ascii="宋体" w:hAnsi="宋体" w:eastAsia="宋体" w:cs="宋体"/>
          <w:color w:val="auto"/>
          <w:lang w:eastAsia="zh-CN"/>
        </w:rPr>
        <w:t>.</w:t>
      </w:r>
      <w:r>
        <w:rPr>
          <w:rFonts w:hint="eastAsia" w:ascii="宋体" w:hAnsi="宋体" w:eastAsia="宋体" w:cs="宋体"/>
          <w:color w:val="auto"/>
          <w:lang w:val="en-US" w:eastAsia="zh-CN"/>
        </w:rPr>
        <w:t>支持体育事业发展资金</w:t>
      </w:r>
      <w:r>
        <w:rPr>
          <w:rFonts w:hint="eastAsia" w:ascii="宋体" w:hAnsi="宋体" w:eastAsia="宋体" w:cs="宋体"/>
          <w:color w:val="auto"/>
        </w:rPr>
        <w:tab/>
      </w:r>
      <w:r>
        <w:rPr>
          <w:rFonts w:hint="eastAsia" w:ascii="宋体" w:hAnsi="宋体" w:eastAsia="宋体" w:cs="宋体"/>
          <w:color w:val="auto"/>
          <w:lang w:val="en-US" w:eastAsia="zh-CN"/>
        </w:rPr>
        <w:t>8</w:t>
      </w:r>
      <w:r>
        <w:rPr>
          <w:rFonts w:hint="eastAsia" w:ascii="宋体" w:hAnsi="宋体" w:eastAsia="宋体" w:cs="宋体"/>
          <w:color w:val="auto"/>
          <w:lang w:eastAsia="zh-CN"/>
        </w:rPr>
        <w:fldChar w:fldCharType="end"/>
      </w:r>
      <w:r>
        <w:rPr>
          <w:rFonts w:hint="eastAsia" w:ascii="宋体" w:hAnsi="宋体" w:eastAsia="宋体" w:cs="宋体"/>
          <w:color w:val="auto"/>
          <w:lang w:val="en-US" w:eastAsia="zh-CN"/>
        </w:rPr>
        <w:t>0</w:t>
      </w:r>
    </w:p>
    <w:p>
      <w:pPr>
        <w:pStyle w:val="4"/>
        <w:tabs>
          <w:tab w:val="right" w:leader="dot" w:pos="9292"/>
        </w:tabs>
        <w:rPr>
          <w:rFonts w:hint="default" w:ascii="宋体" w:hAnsi="宋体" w:eastAsia="宋体" w:cs="宋体"/>
          <w:color w:val="auto"/>
          <w:lang w:val="en-US"/>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_Toc32273 </w:instrText>
      </w:r>
      <w:r>
        <w:rPr>
          <w:rFonts w:hint="eastAsia" w:ascii="宋体" w:hAnsi="宋体" w:eastAsia="宋体" w:cs="宋体"/>
          <w:color w:val="auto"/>
          <w:lang w:eastAsia="zh-CN"/>
        </w:rPr>
        <w:fldChar w:fldCharType="separate"/>
      </w:r>
      <w:r>
        <w:rPr>
          <w:rFonts w:hint="eastAsia" w:ascii="宋体" w:hAnsi="宋体" w:eastAsia="宋体" w:cs="宋体"/>
          <w:color w:val="auto"/>
          <w:lang w:val="en-US" w:eastAsia="zh-CN"/>
        </w:rPr>
        <w:t>5</w:t>
      </w:r>
      <w:r>
        <w:rPr>
          <w:rFonts w:hint="eastAsia" w:ascii="宋体" w:hAnsi="宋体" w:eastAsia="宋体" w:cs="宋体"/>
          <w:color w:val="auto"/>
          <w:lang w:eastAsia="zh-CN"/>
        </w:rPr>
        <w:t>.</w:t>
      </w:r>
      <w:r>
        <w:rPr>
          <w:rFonts w:hint="eastAsia" w:ascii="宋体" w:hAnsi="宋体" w:eastAsia="宋体" w:cs="宋体"/>
          <w:color w:val="auto"/>
          <w:lang w:val="en-US" w:eastAsia="zh-CN"/>
        </w:rPr>
        <w:t>福彩资金</w:t>
      </w:r>
      <w:r>
        <w:rPr>
          <w:rFonts w:hint="eastAsia" w:ascii="宋体" w:hAnsi="宋体" w:eastAsia="宋体" w:cs="宋体"/>
          <w:color w:val="auto"/>
        </w:rPr>
        <w:tab/>
      </w:r>
      <w:r>
        <w:rPr>
          <w:rFonts w:hint="eastAsia" w:ascii="宋体" w:hAnsi="宋体" w:eastAsia="宋体" w:cs="宋体"/>
          <w:color w:val="auto"/>
          <w:lang w:val="en-US" w:eastAsia="zh-CN"/>
        </w:rPr>
        <w:t>8</w:t>
      </w:r>
      <w:r>
        <w:rPr>
          <w:rFonts w:hint="eastAsia" w:ascii="宋体" w:hAnsi="宋体" w:eastAsia="宋体" w:cs="宋体"/>
          <w:color w:val="auto"/>
          <w:lang w:eastAsia="zh-CN"/>
        </w:rPr>
        <w:fldChar w:fldCharType="end"/>
      </w:r>
      <w:r>
        <w:rPr>
          <w:rFonts w:hint="eastAsia" w:ascii="宋体" w:hAnsi="宋体" w:eastAsia="宋体" w:cs="宋体"/>
          <w:color w:val="auto"/>
          <w:lang w:val="en-US" w:eastAsia="zh-CN"/>
        </w:rPr>
        <w:t>5</w:t>
      </w:r>
    </w:p>
    <w:p>
      <w:pPr>
        <w:pStyle w:val="4"/>
        <w:tabs>
          <w:tab w:val="right" w:leader="dot" w:pos="9292"/>
        </w:tabs>
        <w:rPr>
          <w:rFonts w:hint="default" w:ascii="宋体" w:hAnsi="宋体" w:eastAsia="宋体" w:cs="宋体"/>
          <w:color w:val="auto"/>
          <w:lang w:val="en-US"/>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_Toc18702 </w:instrText>
      </w:r>
      <w:r>
        <w:rPr>
          <w:rFonts w:hint="eastAsia" w:ascii="宋体" w:hAnsi="宋体" w:eastAsia="宋体" w:cs="宋体"/>
          <w:color w:val="auto"/>
          <w:lang w:eastAsia="zh-CN"/>
        </w:rPr>
        <w:fldChar w:fldCharType="separate"/>
      </w:r>
      <w:r>
        <w:rPr>
          <w:rFonts w:hint="eastAsia" w:ascii="宋体" w:hAnsi="宋体" w:eastAsia="宋体" w:cs="宋体"/>
          <w:color w:val="auto"/>
          <w:lang w:val="en-US" w:eastAsia="zh-CN"/>
        </w:rPr>
        <w:t>6</w:t>
      </w:r>
      <w:r>
        <w:rPr>
          <w:rFonts w:hint="eastAsia" w:ascii="宋体" w:hAnsi="宋体" w:eastAsia="宋体" w:cs="宋体"/>
          <w:color w:val="auto"/>
          <w:lang w:eastAsia="zh-CN"/>
        </w:rPr>
        <w:t>.</w:t>
      </w:r>
      <w:r>
        <w:rPr>
          <w:rFonts w:hint="eastAsia" w:ascii="宋体" w:hAnsi="宋体" w:eastAsia="宋体" w:cs="宋体"/>
          <w:color w:val="auto"/>
          <w:lang w:val="en-US" w:eastAsia="zh-CN"/>
        </w:rPr>
        <w:t>社会福利及救助资金</w:t>
      </w:r>
      <w:r>
        <w:rPr>
          <w:rFonts w:hint="eastAsia" w:ascii="宋体" w:hAnsi="宋体" w:eastAsia="宋体" w:cs="宋体"/>
          <w:color w:val="auto"/>
        </w:rPr>
        <w:tab/>
      </w:r>
      <w:r>
        <w:rPr>
          <w:rFonts w:hint="eastAsia" w:ascii="宋体" w:hAnsi="宋体" w:eastAsia="宋体" w:cs="宋体"/>
          <w:color w:val="auto"/>
          <w:lang w:val="en-US" w:eastAsia="zh-CN"/>
        </w:rPr>
        <w:t>8</w:t>
      </w:r>
      <w:r>
        <w:rPr>
          <w:rFonts w:hint="eastAsia" w:ascii="宋体" w:hAnsi="宋体" w:eastAsia="宋体" w:cs="宋体"/>
          <w:color w:val="auto"/>
          <w:lang w:eastAsia="zh-CN"/>
        </w:rPr>
        <w:fldChar w:fldCharType="end"/>
      </w:r>
      <w:r>
        <w:rPr>
          <w:rFonts w:hint="eastAsia" w:ascii="宋体" w:hAnsi="宋体" w:eastAsia="宋体" w:cs="宋体"/>
          <w:color w:val="auto"/>
          <w:lang w:val="en-US" w:eastAsia="zh-CN"/>
        </w:rPr>
        <w:t>1</w:t>
      </w:r>
    </w:p>
    <w:p>
      <w:pPr>
        <w:pStyle w:val="4"/>
        <w:tabs>
          <w:tab w:val="right" w:leader="dot" w:pos="9292"/>
        </w:tabs>
        <w:rPr>
          <w:rFonts w:hint="eastAsia" w:ascii="宋体" w:hAnsi="宋体" w:eastAsia="宋体" w:cs="宋体"/>
          <w:color w:val="auto"/>
        </w:rPr>
        <w:sectPr>
          <w:footerReference r:id="rId4" w:type="default"/>
          <w:pgSz w:w="11900" w:h="16840"/>
          <w:pgMar w:top="1984" w:right="1304" w:bottom="1134" w:left="1304" w:header="720" w:footer="720" w:gutter="0"/>
          <w:pgNumType w:fmt="numberInDash" w:start="1"/>
          <w:cols w:space="720" w:num="1"/>
        </w:sectPr>
      </w:pPr>
    </w:p>
    <w:p>
      <w:pPr>
        <w:pStyle w:val="4"/>
        <w:tabs>
          <w:tab w:val="right" w:leader="dot" w:pos="9292"/>
        </w:tabs>
        <w:rPr>
          <w:rFonts w:hint="default" w:ascii="宋体" w:hAnsi="宋体" w:eastAsia="宋体" w:cs="宋体"/>
          <w:color w:val="auto"/>
          <w:lang w:val="en-US"/>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_Toc28181 </w:instrText>
      </w:r>
      <w:r>
        <w:rPr>
          <w:rFonts w:hint="eastAsia" w:ascii="宋体" w:hAnsi="宋体" w:eastAsia="宋体" w:cs="宋体"/>
          <w:color w:val="auto"/>
          <w:lang w:eastAsia="zh-CN"/>
        </w:rPr>
        <w:fldChar w:fldCharType="separate"/>
      </w:r>
      <w:r>
        <w:rPr>
          <w:rFonts w:hint="eastAsia" w:ascii="宋体" w:hAnsi="宋体" w:eastAsia="宋体" w:cs="宋体"/>
          <w:color w:val="auto"/>
          <w:lang w:val="en-US" w:eastAsia="zh-CN"/>
        </w:rPr>
        <w:t>7.就业创业资金</w:t>
      </w:r>
      <w:r>
        <w:rPr>
          <w:rFonts w:hint="eastAsia" w:ascii="宋体" w:hAnsi="宋体" w:eastAsia="宋体" w:cs="宋体"/>
          <w:color w:val="auto"/>
        </w:rPr>
        <w:tab/>
      </w:r>
      <w:r>
        <w:rPr>
          <w:rFonts w:hint="eastAsia" w:ascii="宋体" w:hAnsi="宋体" w:eastAsia="宋体" w:cs="宋体"/>
          <w:color w:val="auto"/>
          <w:lang w:val="en-US" w:eastAsia="zh-CN"/>
        </w:rPr>
        <w:t>9</w:t>
      </w:r>
      <w:r>
        <w:rPr>
          <w:rFonts w:hint="eastAsia" w:ascii="宋体" w:hAnsi="宋体" w:eastAsia="宋体" w:cs="宋体"/>
          <w:color w:val="auto"/>
          <w:lang w:eastAsia="zh-CN"/>
        </w:rPr>
        <w:fldChar w:fldCharType="end"/>
      </w:r>
      <w:r>
        <w:rPr>
          <w:rFonts w:hint="eastAsia" w:ascii="宋体" w:hAnsi="宋体" w:eastAsia="宋体" w:cs="宋体"/>
          <w:color w:val="auto"/>
          <w:lang w:val="en-US" w:eastAsia="zh-CN"/>
        </w:rPr>
        <w:t>3</w:t>
      </w:r>
    </w:p>
    <w:p>
      <w:pPr>
        <w:pStyle w:val="4"/>
        <w:tabs>
          <w:tab w:val="right" w:leader="dot" w:pos="9292"/>
        </w:tabs>
        <w:rPr>
          <w:rFonts w:hint="default" w:ascii="宋体" w:hAnsi="宋体" w:eastAsia="宋体" w:cs="宋体"/>
          <w:color w:val="auto"/>
          <w:lang w:val="en-US"/>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_Toc206 </w:instrText>
      </w:r>
      <w:r>
        <w:rPr>
          <w:rFonts w:hint="eastAsia" w:ascii="宋体" w:hAnsi="宋体" w:eastAsia="宋体" w:cs="宋体"/>
          <w:color w:val="auto"/>
          <w:lang w:eastAsia="zh-CN"/>
        </w:rPr>
        <w:fldChar w:fldCharType="separate"/>
      </w:r>
      <w:r>
        <w:rPr>
          <w:rFonts w:hint="eastAsia" w:ascii="宋体" w:hAnsi="宋体" w:eastAsia="宋体" w:cs="宋体"/>
          <w:color w:val="auto"/>
          <w:lang w:val="en-US" w:eastAsia="zh-CN"/>
        </w:rPr>
        <w:t>8</w:t>
      </w:r>
      <w:r>
        <w:rPr>
          <w:rFonts w:hint="eastAsia" w:ascii="宋体" w:hAnsi="宋体" w:eastAsia="宋体" w:cs="宋体"/>
          <w:color w:val="auto"/>
          <w:lang w:eastAsia="zh-CN"/>
        </w:rPr>
        <w:t>.</w:t>
      </w:r>
      <w:r>
        <w:rPr>
          <w:rFonts w:hint="eastAsia" w:ascii="宋体" w:hAnsi="宋体" w:eastAsia="宋体" w:cs="宋体"/>
          <w:color w:val="auto"/>
          <w:lang w:val="en-US" w:eastAsia="zh-CN"/>
        </w:rPr>
        <w:t>保障性安居工程</w:t>
      </w:r>
      <w:r>
        <w:rPr>
          <w:rFonts w:hint="eastAsia" w:ascii="宋体" w:hAnsi="宋体" w:eastAsia="宋体" w:cs="宋体"/>
          <w:color w:val="auto"/>
        </w:rPr>
        <w:tab/>
      </w:r>
      <w:r>
        <w:rPr>
          <w:rFonts w:hint="eastAsia" w:ascii="宋体" w:hAnsi="宋体" w:eastAsia="宋体" w:cs="宋体"/>
          <w:color w:val="auto"/>
          <w:lang w:val="en-US" w:eastAsia="zh-CN"/>
        </w:rPr>
        <w:t>9</w:t>
      </w:r>
      <w:r>
        <w:rPr>
          <w:rFonts w:hint="eastAsia" w:ascii="宋体" w:hAnsi="宋体" w:eastAsia="宋体" w:cs="宋体"/>
          <w:color w:val="auto"/>
          <w:lang w:eastAsia="zh-CN"/>
        </w:rPr>
        <w:fldChar w:fldCharType="end"/>
      </w:r>
      <w:r>
        <w:rPr>
          <w:rFonts w:hint="eastAsia" w:ascii="宋体" w:hAnsi="宋体" w:eastAsia="宋体" w:cs="宋体"/>
          <w:color w:val="auto"/>
          <w:lang w:val="en-US" w:eastAsia="zh-CN"/>
        </w:rPr>
        <w:t>9</w:t>
      </w:r>
    </w:p>
    <w:p>
      <w:pPr>
        <w:pStyle w:val="4"/>
        <w:tabs>
          <w:tab w:val="right" w:leader="dot" w:pos="9292"/>
        </w:tabs>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fldChar w:fldCharType="begin"/>
      </w:r>
      <w:r>
        <w:rPr>
          <w:rFonts w:hint="eastAsia" w:ascii="黑体" w:hAnsi="黑体" w:eastAsia="黑体" w:cs="黑体"/>
          <w:color w:val="auto"/>
          <w:sz w:val="32"/>
          <w:szCs w:val="32"/>
          <w:lang w:val="en-US" w:eastAsia="zh-CN"/>
        </w:rPr>
        <w:instrText xml:space="preserve"> HYPERLINK \l _Toc17318 </w:instrText>
      </w:r>
      <w:r>
        <w:rPr>
          <w:rFonts w:hint="eastAsia" w:ascii="黑体" w:hAnsi="黑体" w:eastAsia="黑体" w:cs="黑体"/>
          <w:color w:val="auto"/>
          <w:sz w:val="32"/>
          <w:szCs w:val="32"/>
          <w:lang w:val="en-US" w:eastAsia="zh-CN"/>
        </w:rPr>
        <w:fldChar w:fldCharType="separate"/>
      </w:r>
      <w:r>
        <w:rPr>
          <w:rFonts w:hint="eastAsia" w:ascii="黑体" w:hAnsi="黑体" w:eastAsia="黑体" w:cs="黑体"/>
          <w:color w:val="auto"/>
          <w:sz w:val="32"/>
          <w:szCs w:val="32"/>
          <w:lang w:val="en-US" w:eastAsia="zh-CN"/>
        </w:rPr>
        <w:t>四、支持城乡建设运行、环境提升类</w:t>
      </w:r>
      <w:r>
        <w:rPr>
          <w:rFonts w:hint="eastAsia" w:ascii="黑体" w:hAnsi="黑体" w:eastAsia="黑体" w:cs="黑体"/>
          <w:color w:val="auto"/>
          <w:sz w:val="32"/>
          <w:szCs w:val="32"/>
          <w:lang w:val="en-US" w:eastAsia="zh-CN"/>
        </w:rPr>
        <w:tab/>
      </w:r>
      <w:r>
        <w:rPr>
          <w:rFonts w:hint="eastAsia" w:ascii="黑体" w:hAnsi="黑体" w:eastAsia="黑体" w:cs="黑体"/>
          <w:color w:val="auto"/>
          <w:sz w:val="32"/>
          <w:szCs w:val="32"/>
          <w:lang w:val="en-US" w:eastAsia="zh-CN"/>
        </w:rPr>
        <w:t>1</w:t>
      </w:r>
      <w:r>
        <w:rPr>
          <w:rFonts w:hint="eastAsia" w:ascii="黑体" w:hAnsi="黑体" w:eastAsia="黑体" w:cs="黑体"/>
          <w:color w:val="auto"/>
          <w:sz w:val="32"/>
          <w:szCs w:val="32"/>
          <w:lang w:val="en-US" w:eastAsia="zh-CN"/>
        </w:rPr>
        <w:fldChar w:fldCharType="end"/>
      </w:r>
      <w:r>
        <w:rPr>
          <w:rFonts w:hint="eastAsia" w:ascii="黑体" w:hAnsi="黑体" w:eastAsia="黑体" w:cs="黑体"/>
          <w:color w:val="auto"/>
          <w:sz w:val="32"/>
          <w:szCs w:val="32"/>
          <w:lang w:val="en-US" w:eastAsia="zh-CN"/>
        </w:rPr>
        <w:t>01</w:t>
      </w:r>
    </w:p>
    <w:p>
      <w:pPr>
        <w:pStyle w:val="4"/>
        <w:tabs>
          <w:tab w:val="right" w:leader="dot" w:pos="9292"/>
        </w:tabs>
        <w:rPr>
          <w:rFonts w:hint="default" w:ascii="宋体" w:hAnsi="宋体" w:eastAsia="宋体" w:cs="宋体"/>
          <w:color w:val="auto"/>
          <w:lang w:val="en-US"/>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_Toc22292 </w:instrText>
      </w:r>
      <w:r>
        <w:rPr>
          <w:rFonts w:hint="eastAsia" w:ascii="宋体" w:hAnsi="宋体" w:eastAsia="宋体" w:cs="宋体"/>
          <w:color w:val="auto"/>
          <w:lang w:eastAsia="zh-CN"/>
        </w:rPr>
        <w:fldChar w:fldCharType="separate"/>
      </w:r>
      <w:r>
        <w:rPr>
          <w:rFonts w:hint="eastAsia" w:ascii="宋体" w:hAnsi="宋体" w:eastAsia="宋体" w:cs="宋体"/>
          <w:color w:val="auto"/>
          <w:lang w:val="en-US" w:eastAsia="zh-CN"/>
        </w:rPr>
        <w:t>1</w:t>
      </w:r>
      <w:r>
        <w:rPr>
          <w:rFonts w:hint="eastAsia" w:ascii="宋体" w:hAnsi="宋体" w:eastAsia="宋体" w:cs="宋体"/>
          <w:color w:val="auto"/>
          <w:lang w:eastAsia="zh-CN"/>
        </w:rPr>
        <w:t>.</w:t>
      </w:r>
      <w:r>
        <w:rPr>
          <w:rFonts w:hint="eastAsia" w:ascii="宋体" w:hAnsi="宋体" w:eastAsia="宋体" w:cs="宋体"/>
          <w:color w:val="auto"/>
          <w:lang w:val="en-US" w:eastAsia="zh-CN"/>
        </w:rPr>
        <w:t>环保资金</w:t>
      </w:r>
      <w:r>
        <w:rPr>
          <w:rFonts w:hint="eastAsia" w:ascii="宋体" w:hAnsi="宋体" w:eastAsia="宋体" w:cs="宋体"/>
          <w:color w:val="auto"/>
        </w:rPr>
        <w:tab/>
      </w:r>
      <w:r>
        <w:rPr>
          <w:rFonts w:hint="eastAsia" w:ascii="宋体" w:hAnsi="宋体" w:eastAsia="宋体" w:cs="宋体"/>
          <w:color w:val="auto"/>
          <w:lang w:val="en-US" w:eastAsia="zh-CN"/>
        </w:rPr>
        <w:t>1</w:t>
      </w:r>
      <w:r>
        <w:rPr>
          <w:rFonts w:hint="eastAsia" w:ascii="宋体" w:hAnsi="宋体" w:eastAsia="宋体" w:cs="宋体"/>
          <w:color w:val="auto"/>
          <w:lang w:eastAsia="zh-CN"/>
        </w:rPr>
        <w:fldChar w:fldCharType="end"/>
      </w:r>
      <w:r>
        <w:rPr>
          <w:rFonts w:hint="eastAsia" w:ascii="宋体" w:hAnsi="宋体" w:eastAsia="宋体" w:cs="宋体"/>
          <w:color w:val="auto"/>
          <w:lang w:val="en-US" w:eastAsia="zh-CN"/>
        </w:rPr>
        <w:t>01</w:t>
      </w:r>
    </w:p>
    <w:p>
      <w:pPr>
        <w:pStyle w:val="4"/>
        <w:tabs>
          <w:tab w:val="right" w:leader="dot" w:pos="9292"/>
        </w:tabs>
        <w:rPr>
          <w:rFonts w:hint="default" w:ascii="宋体" w:hAnsi="宋体" w:eastAsia="宋体" w:cs="宋体"/>
          <w:color w:val="auto"/>
          <w:lang w:val="en-US"/>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_Toc4290 </w:instrText>
      </w:r>
      <w:r>
        <w:rPr>
          <w:rFonts w:hint="eastAsia" w:ascii="宋体" w:hAnsi="宋体" w:eastAsia="宋体" w:cs="宋体"/>
          <w:color w:val="auto"/>
          <w:lang w:eastAsia="zh-CN"/>
        </w:rPr>
        <w:fldChar w:fldCharType="separate"/>
      </w:r>
      <w:r>
        <w:rPr>
          <w:rFonts w:hint="eastAsia" w:ascii="宋体" w:hAnsi="宋体" w:eastAsia="宋体" w:cs="宋体"/>
          <w:color w:val="auto"/>
          <w:lang w:val="en-US" w:eastAsia="zh-CN"/>
        </w:rPr>
        <w:t>2</w:t>
      </w:r>
      <w:r>
        <w:rPr>
          <w:rFonts w:hint="eastAsia" w:ascii="宋体" w:hAnsi="宋体" w:eastAsia="宋体" w:cs="宋体"/>
          <w:color w:val="auto"/>
          <w:lang w:eastAsia="zh-CN"/>
        </w:rPr>
        <w:t>.</w:t>
      </w:r>
      <w:r>
        <w:rPr>
          <w:rFonts w:hint="eastAsia" w:ascii="宋体" w:hAnsi="宋体" w:eastAsia="宋体" w:cs="宋体"/>
          <w:color w:val="auto"/>
          <w:lang w:val="en-US" w:eastAsia="zh-CN"/>
        </w:rPr>
        <w:t>资源勘探资金</w:t>
      </w:r>
      <w:r>
        <w:rPr>
          <w:rFonts w:hint="eastAsia" w:ascii="宋体" w:hAnsi="宋体" w:eastAsia="宋体" w:cs="宋体"/>
          <w:color w:val="auto"/>
        </w:rPr>
        <w:tab/>
      </w:r>
      <w:r>
        <w:rPr>
          <w:rFonts w:hint="eastAsia" w:ascii="宋体" w:hAnsi="宋体" w:eastAsia="宋体" w:cs="宋体"/>
          <w:color w:val="auto"/>
          <w:lang w:val="en-US" w:eastAsia="zh-CN"/>
        </w:rPr>
        <w:t>102</w:t>
      </w:r>
      <w:r>
        <w:rPr>
          <w:rFonts w:hint="eastAsia" w:ascii="宋体" w:hAnsi="宋体" w:eastAsia="宋体" w:cs="宋体"/>
          <w:color w:val="auto"/>
          <w:lang w:eastAsia="zh-CN"/>
        </w:rPr>
        <w:fldChar w:fldCharType="end"/>
      </w:r>
    </w:p>
    <w:p>
      <w:pPr>
        <w:pStyle w:val="4"/>
        <w:tabs>
          <w:tab w:val="right" w:leader="dot" w:pos="9292"/>
        </w:tabs>
        <w:rPr>
          <w:rFonts w:hint="default" w:ascii="宋体" w:hAnsi="宋体" w:eastAsia="宋体" w:cs="宋体"/>
          <w:color w:val="auto"/>
          <w:lang w:val="en-US"/>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_Toc20278 </w:instrText>
      </w:r>
      <w:r>
        <w:rPr>
          <w:rFonts w:hint="eastAsia" w:ascii="宋体" w:hAnsi="宋体" w:eastAsia="宋体" w:cs="宋体"/>
          <w:color w:val="auto"/>
          <w:lang w:eastAsia="zh-CN"/>
        </w:rPr>
        <w:fldChar w:fldCharType="separate"/>
      </w:r>
      <w:r>
        <w:rPr>
          <w:rFonts w:hint="eastAsia" w:ascii="宋体" w:hAnsi="宋体" w:eastAsia="宋体" w:cs="宋体"/>
          <w:color w:val="auto"/>
          <w:lang w:val="en-US" w:eastAsia="zh-CN"/>
        </w:rPr>
        <w:t>3</w:t>
      </w:r>
      <w:r>
        <w:rPr>
          <w:rFonts w:hint="eastAsia" w:ascii="宋体" w:hAnsi="宋体" w:eastAsia="宋体" w:cs="宋体"/>
          <w:color w:val="auto"/>
          <w:lang w:eastAsia="zh-CN"/>
        </w:rPr>
        <w:t>.</w:t>
      </w:r>
      <w:r>
        <w:rPr>
          <w:rFonts w:hint="eastAsia" w:ascii="宋体" w:hAnsi="宋体" w:eastAsia="宋体" w:cs="宋体"/>
          <w:color w:val="auto"/>
          <w:lang w:val="en-US" w:eastAsia="zh-CN"/>
        </w:rPr>
        <w:t>污水处理资金</w:t>
      </w:r>
      <w:r>
        <w:rPr>
          <w:rFonts w:hint="eastAsia" w:ascii="宋体" w:hAnsi="宋体" w:eastAsia="宋体" w:cs="宋体"/>
          <w:color w:val="auto"/>
        </w:rPr>
        <w:tab/>
      </w:r>
      <w:r>
        <w:rPr>
          <w:rFonts w:hint="eastAsia" w:ascii="宋体" w:hAnsi="宋体" w:eastAsia="宋体" w:cs="宋体"/>
          <w:color w:val="auto"/>
          <w:lang w:val="en-US" w:eastAsia="zh-CN"/>
        </w:rPr>
        <w:t>1</w:t>
      </w:r>
      <w:r>
        <w:rPr>
          <w:rFonts w:hint="eastAsia" w:ascii="宋体" w:hAnsi="宋体" w:eastAsia="宋体" w:cs="宋体"/>
          <w:color w:val="auto"/>
          <w:lang w:eastAsia="zh-CN"/>
        </w:rPr>
        <w:fldChar w:fldCharType="end"/>
      </w:r>
      <w:r>
        <w:rPr>
          <w:rFonts w:hint="eastAsia" w:ascii="宋体" w:hAnsi="宋体" w:eastAsia="宋体" w:cs="宋体"/>
          <w:color w:val="auto"/>
          <w:lang w:val="en-US" w:eastAsia="zh-CN"/>
        </w:rPr>
        <w:t>12</w:t>
      </w:r>
    </w:p>
    <w:p>
      <w:pPr>
        <w:pStyle w:val="4"/>
        <w:tabs>
          <w:tab w:val="right" w:leader="dot" w:pos="9292"/>
        </w:tabs>
        <w:rPr>
          <w:rFonts w:hint="default" w:ascii="宋体" w:hAnsi="宋体" w:eastAsia="宋体" w:cs="宋体"/>
          <w:color w:val="auto"/>
          <w:lang w:val="en-US"/>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_Toc14173 </w:instrText>
      </w:r>
      <w:r>
        <w:rPr>
          <w:rFonts w:hint="eastAsia" w:ascii="宋体" w:hAnsi="宋体" w:eastAsia="宋体" w:cs="宋体"/>
          <w:color w:val="auto"/>
          <w:lang w:eastAsia="zh-CN"/>
        </w:rPr>
        <w:fldChar w:fldCharType="separate"/>
      </w:r>
      <w:r>
        <w:rPr>
          <w:rFonts w:hint="eastAsia" w:ascii="宋体" w:hAnsi="宋体" w:eastAsia="宋体" w:cs="宋体"/>
          <w:color w:val="auto"/>
          <w:lang w:val="en-US" w:eastAsia="zh-CN"/>
        </w:rPr>
        <w:t>4</w:t>
      </w:r>
      <w:r>
        <w:rPr>
          <w:rFonts w:hint="eastAsia" w:ascii="宋体" w:hAnsi="宋体" w:eastAsia="宋体" w:cs="宋体"/>
          <w:color w:val="auto"/>
          <w:lang w:eastAsia="zh-CN"/>
        </w:rPr>
        <w:t>.</w:t>
      </w:r>
      <w:r>
        <w:rPr>
          <w:rFonts w:hint="eastAsia" w:ascii="宋体" w:hAnsi="宋体" w:eastAsia="宋体" w:cs="宋体"/>
          <w:color w:val="auto"/>
          <w:lang w:val="en-US" w:eastAsia="zh-CN"/>
        </w:rPr>
        <w:t>垃圾处理资金</w:t>
      </w:r>
      <w:r>
        <w:rPr>
          <w:rFonts w:hint="eastAsia" w:ascii="宋体" w:hAnsi="宋体" w:eastAsia="宋体" w:cs="宋体"/>
          <w:color w:val="auto"/>
        </w:rPr>
        <w:tab/>
      </w:r>
      <w:r>
        <w:rPr>
          <w:rFonts w:hint="eastAsia" w:ascii="宋体" w:hAnsi="宋体" w:eastAsia="宋体" w:cs="宋体"/>
          <w:color w:val="auto"/>
          <w:lang w:val="en-US" w:eastAsia="zh-CN"/>
        </w:rPr>
        <w:t>1</w:t>
      </w:r>
      <w:r>
        <w:rPr>
          <w:rFonts w:hint="eastAsia" w:ascii="宋体" w:hAnsi="宋体" w:eastAsia="宋体" w:cs="宋体"/>
          <w:color w:val="auto"/>
          <w:lang w:eastAsia="zh-CN"/>
        </w:rPr>
        <w:fldChar w:fldCharType="end"/>
      </w:r>
      <w:r>
        <w:rPr>
          <w:rFonts w:hint="eastAsia" w:ascii="宋体" w:hAnsi="宋体" w:eastAsia="宋体" w:cs="宋体"/>
          <w:color w:val="auto"/>
          <w:lang w:val="en-US" w:eastAsia="zh-CN"/>
        </w:rPr>
        <w:t>22</w:t>
      </w:r>
    </w:p>
    <w:p>
      <w:pPr>
        <w:pStyle w:val="4"/>
        <w:tabs>
          <w:tab w:val="right" w:leader="dot" w:pos="9292"/>
        </w:tabs>
        <w:rPr>
          <w:rFonts w:hint="default" w:ascii="宋体" w:hAnsi="宋体" w:eastAsia="宋体" w:cs="宋体"/>
          <w:color w:val="auto"/>
          <w:lang w:val="en-US"/>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_Toc4934 </w:instrText>
      </w:r>
      <w:r>
        <w:rPr>
          <w:rFonts w:hint="eastAsia" w:ascii="宋体" w:hAnsi="宋体" w:eastAsia="宋体" w:cs="宋体"/>
          <w:color w:val="auto"/>
          <w:lang w:eastAsia="zh-CN"/>
        </w:rPr>
        <w:fldChar w:fldCharType="separate"/>
      </w:r>
      <w:r>
        <w:rPr>
          <w:rFonts w:hint="eastAsia" w:ascii="宋体" w:hAnsi="宋体" w:eastAsia="宋体" w:cs="宋体"/>
          <w:color w:val="auto"/>
          <w:lang w:val="en-US" w:eastAsia="zh-CN"/>
        </w:rPr>
        <w:t>5</w:t>
      </w:r>
      <w:r>
        <w:rPr>
          <w:rFonts w:hint="eastAsia" w:ascii="宋体" w:hAnsi="宋体" w:eastAsia="宋体" w:cs="宋体"/>
          <w:color w:val="auto"/>
          <w:lang w:eastAsia="zh-CN"/>
        </w:rPr>
        <w:t>.</w:t>
      </w:r>
      <w:r>
        <w:rPr>
          <w:rFonts w:hint="eastAsia" w:ascii="宋体" w:hAnsi="宋体" w:eastAsia="宋体" w:cs="宋体"/>
          <w:color w:val="auto"/>
          <w:lang w:val="en-US" w:eastAsia="zh-CN"/>
        </w:rPr>
        <w:t>公共事业运营补贴资金</w:t>
      </w:r>
      <w:r>
        <w:rPr>
          <w:rFonts w:hint="eastAsia" w:ascii="宋体" w:hAnsi="宋体" w:eastAsia="宋体" w:cs="宋体"/>
          <w:color w:val="auto"/>
        </w:rPr>
        <w:tab/>
      </w:r>
      <w:r>
        <w:rPr>
          <w:rFonts w:hint="eastAsia" w:ascii="宋体" w:hAnsi="宋体" w:eastAsia="宋体" w:cs="宋体"/>
          <w:color w:val="auto"/>
          <w:lang w:val="en-US" w:eastAsia="zh-CN"/>
        </w:rPr>
        <w:t>1</w:t>
      </w:r>
      <w:r>
        <w:rPr>
          <w:rFonts w:hint="eastAsia" w:ascii="宋体" w:hAnsi="宋体" w:eastAsia="宋体" w:cs="宋体"/>
          <w:color w:val="auto"/>
          <w:lang w:eastAsia="zh-CN"/>
        </w:rPr>
        <w:fldChar w:fldCharType="end"/>
      </w:r>
      <w:r>
        <w:rPr>
          <w:rFonts w:hint="eastAsia" w:ascii="宋体" w:hAnsi="宋体" w:eastAsia="宋体" w:cs="宋体"/>
          <w:color w:val="auto"/>
          <w:lang w:val="en-US" w:eastAsia="zh-CN"/>
        </w:rPr>
        <w:t>28</w:t>
      </w:r>
    </w:p>
    <w:p>
      <w:pPr>
        <w:pStyle w:val="4"/>
        <w:tabs>
          <w:tab w:val="right" w:leader="dot" w:pos="9292"/>
        </w:tabs>
        <w:rPr>
          <w:rFonts w:hint="default" w:ascii="宋体" w:hAnsi="宋体" w:eastAsia="宋体" w:cs="宋体"/>
          <w:color w:val="auto"/>
          <w:lang w:val="en-US"/>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_Toc24698 </w:instrText>
      </w:r>
      <w:r>
        <w:rPr>
          <w:rFonts w:hint="eastAsia" w:ascii="宋体" w:hAnsi="宋体" w:eastAsia="宋体" w:cs="宋体"/>
          <w:color w:val="auto"/>
          <w:lang w:eastAsia="zh-CN"/>
        </w:rPr>
        <w:fldChar w:fldCharType="separate"/>
      </w:r>
      <w:r>
        <w:rPr>
          <w:rFonts w:hint="eastAsia" w:ascii="宋体" w:hAnsi="宋体" w:eastAsia="宋体" w:cs="宋体"/>
          <w:color w:val="auto"/>
          <w:lang w:val="en-US" w:eastAsia="zh-CN"/>
        </w:rPr>
        <w:t>6</w:t>
      </w:r>
      <w:r>
        <w:rPr>
          <w:rFonts w:hint="eastAsia" w:ascii="宋体" w:hAnsi="宋体" w:eastAsia="宋体" w:cs="宋体"/>
          <w:color w:val="auto"/>
          <w:lang w:eastAsia="zh-CN"/>
        </w:rPr>
        <w:t>.</w:t>
      </w:r>
      <w:r>
        <w:rPr>
          <w:rFonts w:hint="eastAsia" w:ascii="宋体" w:hAnsi="宋体" w:eastAsia="宋体" w:cs="宋体"/>
          <w:color w:val="auto"/>
          <w:lang w:val="en-US" w:eastAsia="zh-CN"/>
        </w:rPr>
        <w:t>交通事业维护</w:t>
      </w:r>
      <w:r>
        <w:rPr>
          <w:rFonts w:hint="eastAsia" w:ascii="宋体" w:hAnsi="宋体" w:eastAsia="宋体" w:cs="宋体"/>
          <w:color w:val="auto"/>
        </w:rPr>
        <w:tab/>
      </w:r>
      <w:r>
        <w:rPr>
          <w:rFonts w:hint="eastAsia" w:ascii="宋体" w:hAnsi="宋体" w:eastAsia="宋体" w:cs="宋体"/>
          <w:color w:val="auto"/>
          <w:lang w:val="en-US" w:eastAsia="zh-CN"/>
        </w:rPr>
        <w:t>1</w:t>
      </w:r>
      <w:r>
        <w:rPr>
          <w:rFonts w:hint="eastAsia" w:ascii="宋体" w:hAnsi="宋体" w:eastAsia="宋体" w:cs="宋体"/>
          <w:color w:val="auto"/>
          <w:lang w:eastAsia="zh-CN"/>
        </w:rPr>
        <w:fldChar w:fldCharType="end"/>
      </w:r>
      <w:r>
        <w:rPr>
          <w:rFonts w:hint="eastAsia" w:ascii="宋体" w:hAnsi="宋体" w:eastAsia="宋体" w:cs="宋体"/>
          <w:color w:val="auto"/>
          <w:lang w:val="en-US" w:eastAsia="zh-CN"/>
        </w:rPr>
        <w:t>31</w:t>
      </w:r>
    </w:p>
    <w:p>
      <w:pPr>
        <w:pStyle w:val="4"/>
        <w:tabs>
          <w:tab w:val="right" w:leader="dot" w:pos="9292"/>
        </w:tabs>
        <w:rPr>
          <w:rFonts w:hint="default" w:ascii="宋体" w:hAnsi="宋体" w:eastAsia="宋体" w:cs="宋体"/>
          <w:color w:val="auto"/>
          <w:lang w:val="en-US"/>
        </w:rPr>
      </w:pPr>
      <w:r>
        <w:rPr>
          <w:rFonts w:hint="eastAsia" w:ascii="宋体" w:hAnsi="宋体" w:eastAsia="宋体" w:cs="宋体"/>
          <w:color w:val="auto"/>
          <w:lang w:eastAsia="zh-CN"/>
        </w:rPr>
        <w:fldChar w:fldCharType="begin"/>
      </w:r>
      <w:r>
        <w:rPr>
          <w:rFonts w:hint="eastAsia" w:ascii="宋体" w:hAnsi="宋体" w:eastAsia="宋体" w:cs="宋体"/>
          <w:color w:val="auto"/>
          <w:lang w:eastAsia="zh-CN"/>
        </w:rPr>
        <w:instrText xml:space="preserve"> HYPERLINK \l _Toc1094 </w:instrText>
      </w:r>
      <w:r>
        <w:rPr>
          <w:rFonts w:hint="eastAsia" w:ascii="宋体" w:hAnsi="宋体" w:eastAsia="宋体" w:cs="宋体"/>
          <w:color w:val="auto"/>
          <w:lang w:eastAsia="zh-CN"/>
        </w:rPr>
        <w:fldChar w:fldCharType="separate"/>
      </w:r>
      <w:r>
        <w:rPr>
          <w:rFonts w:hint="eastAsia" w:ascii="宋体" w:hAnsi="宋体" w:eastAsia="宋体" w:cs="宋体"/>
          <w:color w:val="auto"/>
          <w:lang w:val="en-US" w:eastAsia="zh-CN"/>
        </w:rPr>
        <w:t>7</w:t>
      </w:r>
      <w:r>
        <w:rPr>
          <w:rFonts w:hint="eastAsia" w:ascii="宋体" w:hAnsi="宋体" w:eastAsia="宋体" w:cs="宋体"/>
          <w:color w:val="auto"/>
          <w:lang w:eastAsia="zh-CN"/>
        </w:rPr>
        <w:t>.</w:t>
      </w:r>
      <w:r>
        <w:rPr>
          <w:rFonts w:hint="eastAsia" w:ascii="宋体" w:hAnsi="宋体" w:eastAsia="宋体" w:cs="宋体"/>
          <w:color w:val="auto"/>
          <w:lang w:val="en-US" w:eastAsia="zh-CN"/>
        </w:rPr>
        <w:t>城乡建设维护资金</w:t>
      </w:r>
      <w:r>
        <w:rPr>
          <w:rFonts w:hint="eastAsia" w:ascii="宋体" w:hAnsi="宋体" w:eastAsia="宋体" w:cs="宋体"/>
          <w:color w:val="auto"/>
        </w:rPr>
        <w:tab/>
      </w:r>
      <w:r>
        <w:rPr>
          <w:rFonts w:hint="eastAsia" w:ascii="宋体" w:hAnsi="宋体" w:eastAsia="宋体" w:cs="宋体"/>
          <w:color w:val="auto"/>
          <w:lang w:val="en-US" w:eastAsia="zh-CN"/>
        </w:rPr>
        <w:t>1</w:t>
      </w:r>
      <w:r>
        <w:rPr>
          <w:rFonts w:hint="eastAsia" w:ascii="宋体" w:hAnsi="宋体" w:eastAsia="宋体" w:cs="宋体"/>
          <w:color w:val="auto"/>
          <w:lang w:eastAsia="zh-CN"/>
        </w:rPr>
        <w:fldChar w:fldCharType="end"/>
      </w:r>
      <w:r>
        <w:rPr>
          <w:rFonts w:hint="eastAsia" w:ascii="宋体" w:hAnsi="宋体" w:eastAsia="宋体" w:cs="宋体"/>
          <w:color w:val="auto"/>
          <w:lang w:val="en-US" w:eastAsia="zh-CN"/>
        </w:rPr>
        <w:t>37</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sectPr>
          <w:footerReference r:id="rId5" w:type="default"/>
          <w:pgSz w:w="11900" w:h="16840"/>
          <w:pgMar w:top="1984" w:right="1304" w:bottom="1134" w:left="1304" w:header="720" w:footer="720" w:gutter="0"/>
          <w:pgNumType w:fmt="numberInDash" w:start="1"/>
          <w:cols w:space="720" w:num="1"/>
        </w:sectPr>
      </w:pPr>
    </w:p>
    <w:p>
      <w:pPr>
        <w:rPr>
          <w:rFonts w:hint="eastAsia"/>
        </w:rPr>
      </w:pPr>
    </w:p>
    <w:p>
      <w:pPr>
        <w:numPr>
          <w:ilvl w:val="0"/>
          <w:numId w:val="1"/>
        </w:numPr>
        <w:rPr>
          <w:rFonts w:hint="eastAsia" w:ascii="黑体" w:hAnsi="黑体" w:eastAsia="黑体" w:cs="黑体"/>
          <w:sz w:val="32"/>
          <w:szCs w:val="32"/>
          <w:lang w:val="en-US" w:eastAsia="zh-CN"/>
        </w:rPr>
      </w:pPr>
      <w:r>
        <w:rPr>
          <w:rFonts w:hint="eastAsia" w:ascii="方正小标宋_GBK" w:hAnsi="方正小标宋_GBK" w:eastAsia="方正小标宋_GBK" w:cs="方正小标宋_GBK"/>
          <w:lang w:eastAsia="zh-CN"/>
        </w:rPr>
        <w:fldChar w:fldCharType="end"/>
      </w:r>
      <w:r>
        <w:rPr>
          <w:rFonts w:hint="eastAsia" w:ascii="黑体" w:hAnsi="黑体" w:eastAsia="黑体" w:cs="黑体"/>
          <w:sz w:val="32"/>
          <w:szCs w:val="32"/>
          <w:lang w:val="en-US" w:eastAsia="zh-CN"/>
        </w:rPr>
        <w:t>支持农业农村发展类</w:t>
      </w:r>
    </w:p>
    <w:p>
      <w:pPr>
        <w:pStyle w:val="7"/>
      </w:pPr>
      <w:r>
        <w:rPr>
          <w:rFonts w:hint="eastAsia" w:ascii="黑体" w:hAnsi="黑体" w:eastAsia="黑体" w:cs="黑体"/>
          <w:b w:val="0"/>
          <w:kern w:val="2"/>
          <w:sz w:val="32"/>
          <w:szCs w:val="32"/>
          <w:lang w:val="en-US" w:eastAsia="zh-CN" w:bidi="ar-SA"/>
        </w:rPr>
        <w:t>1.农业生产发展资金</w:t>
      </w:r>
      <w:r>
        <w:rPr>
          <w:rFonts w:ascii="方正小标宋_GBK" w:hAnsi="方正小标宋_GBK" w:eastAsia="方正小标宋_GBK" w:cs="方正小标宋_GBK"/>
          <w:color w:val="000000"/>
          <w:sz w:val="52"/>
        </w:rPr>
        <w:t xml:space="preserve"> </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802001青岛市农业农村局本级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37020023P48000410004X</w:t>
            </w:r>
          </w:p>
        </w:tc>
        <w:tc>
          <w:tcPr>
            <w:tcW w:w="1587" w:type="dxa"/>
            <w:vAlign w:val="center"/>
          </w:tcPr>
          <w:p>
            <w:pPr>
              <w:pStyle w:val="9"/>
            </w:pPr>
            <w:r>
              <w:t>项目名称</w:t>
            </w:r>
          </w:p>
        </w:tc>
        <w:tc>
          <w:tcPr>
            <w:tcW w:w="4422" w:type="dxa"/>
            <w:gridSpan w:val="3"/>
            <w:vAlign w:val="center"/>
          </w:tcPr>
          <w:p>
            <w:pPr>
              <w:pStyle w:val="10"/>
            </w:pPr>
            <w:r>
              <w:t>东西部协作和对口支援项目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46940.00</w:t>
            </w:r>
          </w:p>
        </w:tc>
        <w:tc>
          <w:tcPr>
            <w:tcW w:w="1587" w:type="dxa"/>
            <w:vAlign w:val="center"/>
          </w:tcPr>
          <w:p>
            <w:pPr>
              <w:pStyle w:val="9"/>
            </w:pPr>
            <w:r>
              <w:t>其中：财政    资金</w:t>
            </w:r>
          </w:p>
        </w:tc>
        <w:tc>
          <w:tcPr>
            <w:tcW w:w="1304" w:type="dxa"/>
            <w:vAlign w:val="center"/>
          </w:tcPr>
          <w:p>
            <w:pPr>
              <w:pStyle w:val="10"/>
            </w:pPr>
            <w:r>
              <w:t>46940.00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定西、陇南帮扶资金：主要用于巩固提升协作地农村地区基础设施，推动乡村振兴，开展科教文卫交流合作，提升教育医疗水平，持续推动消费协作，巩固协作地脱贫攻坚成果等。</w:t>
            </w:r>
          </w:p>
          <w:p>
            <w:pPr>
              <w:pStyle w:val="10"/>
            </w:pPr>
            <w:r>
              <w:t>对口支援夷陵区资金：主要用于加快库区产业结构调整和发展，移民小区基础设施完善，生态环境保护和治理，提升库区移民安居乐业和生活环境等。</w:t>
            </w:r>
          </w:p>
          <w:p>
            <w:pPr>
              <w:pStyle w:val="10"/>
            </w:pPr>
            <w:r>
              <w:t>对口支援博兴县资金：主要用于土地整理及基础设施建设，人力资源培训及农村剩余劳动力转移就业，村庄道路维修维护、排水沟清理、绿化等。</w:t>
            </w:r>
          </w:p>
          <w:p>
            <w:pPr>
              <w:pStyle w:val="10"/>
            </w:pPr>
            <w:r>
              <w:t>挂职干部工作经费：主要用于青岛援藏、援甘挂职干部日常工作开展及招商引资活动等。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46940.00</w:t>
            </w:r>
          </w:p>
        </w:tc>
        <w:tc>
          <w:tcPr>
            <w:tcW w:w="1304" w:type="dxa"/>
            <w:vAlign w:val="center"/>
          </w:tcPr>
          <w:p>
            <w:pPr>
              <w:pStyle w:val="11"/>
            </w:pPr>
            <w:r>
              <w:t>46940.00</w:t>
            </w:r>
          </w:p>
        </w:tc>
        <w:tc>
          <w:tcPr>
            <w:tcW w:w="3118" w:type="dxa"/>
            <w:gridSpan w:val="2"/>
            <w:vAlign w:val="center"/>
          </w:tcPr>
          <w:p>
            <w:pPr>
              <w:pStyle w:val="11"/>
            </w:pPr>
            <w:r>
              <w:t>46940.00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援助定西陇南资金拨付到位后，由协作地研究确定，资金使用项目主要用于助力协作地全面推进乡村振兴，巩固脱贫攻坚成果，打造乡村示范村、基础设施建设、产业发展、劳务协作、人才培训等方面</w:t>
            </w:r>
          </w:p>
          <w:p>
            <w:pPr>
              <w:pStyle w:val="10"/>
            </w:pPr>
            <w:r>
              <w:t>夷陵区、博兴县研究确定项目后，安排资金，项目主要用于助推当地产业发展、人才培训、基础设施建设等</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东西部协作和对口支援项目成本控制额</w:t>
            </w:r>
          </w:p>
        </w:tc>
        <w:tc>
          <w:tcPr>
            <w:tcW w:w="2891" w:type="dxa"/>
            <w:vAlign w:val="center"/>
          </w:tcPr>
          <w:p>
            <w:pPr>
              <w:pStyle w:val="10"/>
              <w:rPr>
                <w:rFonts w:asciiTheme="minorHAnsi" w:hAnsiTheme="minorHAnsi"/>
                <w:lang w:val="uk-UA"/>
              </w:rPr>
            </w:pPr>
            <w:r>
              <w:t>东西部协作和对口支援项目成本控制</w:t>
            </w:r>
            <w:r>
              <w:rPr>
                <w:rFonts w:hint="eastAsia"/>
                <w:lang w:eastAsia="zh-CN"/>
              </w:rPr>
              <w:t>数</w:t>
            </w:r>
          </w:p>
        </w:tc>
        <w:tc>
          <w:tcPr>
            <w:tcW w:w="1276" w:type="dxa"/>
            <w:vAlign w:val="center"/>
          </w:tcPr>
          <w:p>
            <w:pPr>
              <w:pStyle w:val="10"/>
            </w:pPr>
            <w:r>
              <w:t>≤46940万元</w:t>
            </w:r>
          </w:p>
        </w:tc>
        <w:tc>
          <w:tcPr>
            <w:tcW w:w="1843" w:type="dxa"/>
            <w:vAlign w:val="center"/>
          </w:tcPr>
          <w:p>
            <w:pPr>
              <w:pStyle w:val="10"/>
            </w:pPr>
            <w:r>
              <w:t>省、市重点工作完成要求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rPr>
                <w:rFonts w:hint="eastAsia"/>
                <w:lang w:eastAsia="zh-CN"/>
              </w:rPr>
              <w:t>帮扶项目完成率</w:t>
            </w:r>
          </w:p>
        </w:tc>
        <w:tc>
          <w:tcPr>
            <w:tcW w:w="2891" w:type="dxa"/>
            <w:vAlign w:val="center"/>
          </w:tcPr>
          <w:p>
            <w:pPr>
              <w:pStyle w:val="10"/>
            </w:pPr>
            <w:r>
              <w:rPr>
                <w:rFonts w:hint="eastAsia"/>
                <w:lang w:eastAsia="zh-CN"/>
              </w:rPr>
              <w:t>帮扶项目完成情况</w:t>
            </w:r>
          </w:p>
        </w:tc>
        <w:tc>
          <w:tcPr>
            <w:tcW w:w="1276" w:type="dxa"/>
            <w:vAlign w:val="center"/>
          </w:tcPr>
          <w:p>
            <w:pPr>
              <w:pStyle w:val="10"/>
              <w:rPr>
                <w:rFonts w:asciiTheme="minorHAnsi" w:hAnsiTheme="minorHAnsi"/>
              </w:rPr>
            </w:pPr>
            <w:r>
              <w:rPr>
                <w:rFonts w:hint="eastAsia"/>
                <w:lang w:eastAsia="zh-CN"/>
              </w:rPr>
              <w:t>100%</w:t>
            </w:r>
          </w:p>
        </w:tc>
        <w:tc>
          <w:tcPr>
            <w:tcW w:w="1843" w:type="dxa"/>
            <w:vAlign w:val="center"/>
          </w:tcPr>
          <w:p>
            <w:pPr>
              <w:pStyle w:val="10"/>
            </w:pPr>
            <w:r>
              <w:t>国家东西部协作考核评价指标等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培训干部人才人数</w:t>
            </w:r>
          </w:p>
        </w:tc>
        <w:tc>
          <w:tcPr>
            <w:tcW w:w="2891" w:type="dxa"/>
            <w:vAlign w:val="center"/>
          </w:tcPr>
          <w:p>
            <w:pPr>
              <w:pStyle w:val="10"/>
            </w:pPr>
            <w:r>
              <w:t>培训协作地的党政干部和专业技术人才数量</w:t>
            </w:r>
          </w:p>
        </w:tc>
        <w:tc>
          <w:tcPr>
            <w:tcW w:w="1276" w:type="dxa"/>
            <w:vAlign w:val="center"/>
          </w:tcPr>
          <w:p>
            <w:pPr>
              <w:pStyle w:val="10"/>
            </w:pPr>
            <w:r>
              <w:t>≥3000人</w:t>
            </w:r>
          </w:p>
        </w:tc>
        <w:tc>
          <w:tcPr>
            <w:tcW w:w="1843" w:type="dxa"/>
            <w:vAlign w:val="center"/>
          </w:tcPr>
          <w:p>
            <w:pPr>
              <w:pStyle w:val="10"/>
            </w:pPr>
            <w:r>
              <w:t>国家东西部协作考核评价指标等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对口援助资金到位率</w:t>
            </w:r>
          </w:p>
        </w:tc>
        <w:tc>
          <w:tcPr>
            <w:tcW w:w="2891" w:type="dxa"/>
            <w:vAlign w:val="center"/>
          </w:tcPr>
          <w:p>
            <w:pPr>
              <w:pStyle w:val="10"/>
            </w:pPr>
            <w:r>
              <w:t>安排对口援助资金拨付情况</w:t>
            </w:r>
          </w:p>
        </w:tc>
        <w:tc>
          <w:tcPr>
            <w:tcW w:w="1276" w:type="dxa"/>
            <w:vAlign w:val="center"/>
          </w:tcPr>
          <w:p>
            <w:pPr>
              <w:pStyle w:val="10"/>
            </w:pPr>
            <w:r>
              <w:t>100%</w:t>
            </w:r>
          </w:p>
        </w:tc>
        <w:tc>
          <w:tcPr>
            <w:tcW w:w="1843" w:type="dxa"/>
            <w:vAlign w:val="center"/>
          </w:tcPr>
          <w:p>
            <w:pPr>
              <w:pStyle w:val="10"/>
            </w:pPr>
            <w:r>
              <w:t>国家东西部协作考核评价指标等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培训干部</w:t>
            </w:r>
            <w:r>
              <w:rPr>
                <w:rFonts w:hint="eastAsia"/>
                <w:lang w:eastAsia="zh-CN"/>
              </w:rPr>
              <w:t>合格</w:t>
            </w:r>
            <w:r>
              <w:t>率</w:t>
            </w:r>
          </w:p>
        </w:tc>
        <w:tc>
          <w:tcPr>
            <w:tcW w:w="2891" w:type="dxa"/>
            <w:vAlign w:val="center"/>
          </w:tcPr>
          <w:p>
            <w:pPr>
              <w:pStyle w:val="10"/>
            </w:pPr>
            <w:r>
              <w:t>培训干部</w:t>
            </w:r>
            <w:r>
              <w:rPr>
                <w:rFonts w:hint="eastAsia"/>
                <w:lang w:eastAsia="zh-CN"/>
              </w:rPr>
              <w:t>合格</w:t>
            </w:r>
            <w:r>
              <w:t>率</w:t>
            </w:r>
          </w:p>
        </w:tc>
        <w:tc>
          <w:tcPr>
            <w:tcW w:w="1276" w:type="dxa"/>
            <w:vAlign w:val="center"/>
          </w:tcPr>
          <w:p>
            <w:pPr>
              <w:pStyle w:val="10"/>
            </w:pPr>
            <w:r>
              <w:t>100%</w:t>
            </w:r>
          </w:p>
        </w:tc>
        <w:tc>
          <w:tcPr>
            <w:tcW w:w="1843" w:type="dxa"/>
            <w:vAlign w:val="center"/>
          </w:tcPr>
          <w:p>
            <w:pPr>
              <w:pStyle w:val="10"/>
            </w:pPr>
            <w:r>
              <w:t>国家东西部协作考核评价指标等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培训</w:t>
            </w:r>
            <w:r>
              <w:rPr>
                <w:rFonts w:hint="eastAsia"/>
                <w:lang w:eastAsia="zh-CN"/>
              </w:rPr>
              <w:t>完成及时率</w:t>
            </w:r>
          </w:p>
        </w:tc>
        <w:tc>
          <w:tcPr>
            <w:tcW w:w="2891" w:type="dxa"/>
            <w:vAlign w:val="center"/>
          </w:tcPr>
          <w:p>
            <w:pPr>
              <w:pStyle w:val="10"/>
            </w:pPr>
            <w:r>
              <w:t>培训</w:t>
            </w:r>
            <w:r>
              <w:rPr>
                <w:rFonts w:hint="eastAsia"/>
                <w:lang w:eastAsia="zh-CN"/>
              </w:rPr>
              <w:t>完成及时率</w:t>
            </w:r>
          </w:p>
        </w:tc>
        <w:tc>
          <w:tcPr>
            <w:tcW w:w="1276" w:type="dxa"/>
            <w:vAlign w:val="center"/>
          </w:tcPr>
          <w:p>
            <w:pPr>
              <w:pStyle w:val="10"/>
            </w:pPr>
            <w:r>
              <w:t>100%</w:t>
            </w:r>
          </w:p>
        </w:tc>
        <w:tc>
          <w:tcPr>
            <w:tcW w:w="1843" w:type="dxa"/>
            <w:vAlign w:val="center"/>
          </w:tcPr>
          <w:p>
            <w:pPr>
              <w:pStyle w:val="10"/>
            </w:pPr>
            <w:r>
              <w:t>省、市重点工作完成时限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t>经济效益指标</w:t>
            </w:r>
          </w:p>
        </w:tc>
        <w:tc>
          <w:tcPr>
            <w:tcW w:w="1332" w:type="dxa"/>
            <w:vAlign w:val="center"/>
          </w:tcPr>
          <w:p>
            <w:pPr>
              <w:pStyle w:val="10"/>
            </w:pPr>
            <w:r>
              <w:t>收益群众收入情况</w:t>
            </w:r>
          </w:p>
        </w:tc>
        <w:tc>
          <w:tcPr>
            <w:tcW w:w="2891" w:type="dxa"/>
            <w:vAlign w:val="center"/>
          </w:tcPr>
          <w:p>
            <w:pPr>
              <w:pStyle w:val="10"/>
            </w:pPr>
            <w:r>
              <w:t>协作地农民人均可支配收入比上年度增长情况</w:t>
            </w:r>
          </w:p>
        </w:tc>
        <w:tc>
          <w:tcPr>
            <w:tcW w:w="1276" w:type="dxa"/>
            <w:vAlign w:val="center"/>
          </w:tcPr>
          <w:p>
            <w:pPr>
              <w:pStyle w:val="10"/>
            </w:pPr>
            <w:r>
              <w:rPr>
                <w:rFonts w:hint="eastAsia"/>
                <w:lang w:eastAsia="zh-CN"/>
              </w:rPr>
              <w:t>同比增长</w:t>
            </w:r>
          </w:p>
        </w:tc>
        <w:tc>
          <w:tcPr>
            <w:tcW w:w="1843" w:type="dxa"/>
            <w:vAlign w:val="center"/>
          </w:tcPr>
          <w:p>
            <w:pPr>
              <w:pStyle w:val="10"/>
            </w:pPr>
            <w:r>
              <w:t>国家东西部协作考核评价指标等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助力脱贫拓展脱贫攻坚成果工作成效和乡村建设成效</w:t>
            </w:r>
          </w:p>
        </w:tc>
        <w:tc>
          <w:tcPr>
            <w:tcW w:w="2891" w:type="dxa"/>
            <w:vAlign w:val="center"/>
          </w:tcPr>
          <w:p>
            <w:pPr>
              <w:pStyle w:val="10"/>
            </w:pPr>
            <w:r>
              <w:t>脱贫拓展脱贫攻坚成果工作成效和乡村建设成效情况</w:t>
            </w:r>
          </w:p>
        </w:tc>
        <w:tc>
          <w:tcPr>
            <w:tcW w:w="1276" w:type="dxa"/>
            <w:vAlign w:val="center"/>
          </w:tcPr>
          <w:p>
            <w:pPr>
              <w:pStyle w:val="10"/>
            </w:pPr>
            <w:r>
              <w:rPr>
                <w:rFonts w:hint="eastAsia"/>
                <w:lang w:eastAsia="zh-CN"/>
              </w:rPr>
              <w:t>效果</w:t>
            </w:r>
            <w:r>
              <w:t>明显</w:t>
            </w:r>
          </w:p>
        </w:tc>
        <w:tc>
          <w:tcPr>
            <w:tcW w:w="1843" w:type="dxa"/>
            <w:vAlign w:val="center"/>
          </w:tcPr>
          <w:p>
            <w:pPr>
              <w:pStyle w:val="10"/>
            </w:pPr>
            <w:r>
              <w:t>国家东西部协作考核评价指标等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培训人员满意度</w:t>
            </w:r>
          </w:p>
        </w:tc>
        <w:tc>
          <w:tcPr>
            <w:tcW w:w="2891" w:type="dxa"/>
            <w:vAlign w:val="center"/>
          </w:tcPr>
          <w:p>
            <w:pPr>
              <w:pStyle w:val="10"/>
            </w:pPr>
            <w:r>
              <w:t>参与培训人员的满意度情况</w:t>
            </w:r>
          </w:p>
        </w:tc>
        <w:tc>
          <w:tcPr>
            <w:tcW w:w="1276" w:type="dxa"/>
            <w:vAlign w:val="center"/>
          </w:tcPr>
          <w:p>
            <w:pPr>
              <w:pStyle w:val="10"/>
            </w:pPr>
            <w:r>
              <w:t>≥95%</w:t>
            </w:r>
          </w:p>
        </w:tc>
        <w:tc>
          <w:tcPr>
            <w:tcW w:w="1843" w:type="dxa"/>
            <w:vAlign w:val="center"/>
          </w:tcPr>
          <w:p>
            <w:pPr>
              <w:pStyle w:val="10"/>
            </w:pPr>
            <w:r>
              <w:t>国家东西部协作考核评价指标等</w:t>
            </w:r>
          </w:p>
        </w:tc>
      </w:tr>
    </w:tbl>
    <w:p>
      <w:pPr>
        <w:sectPr>
          <w:footerReference r:id="rId6" w:type="default"/>
          <w:pgSz w:w="11900" w:h="16840"/>
          <w:pgMar w:top="1984" w:right="1304" w:bottom="1134" w:left="1304" w:header="720" w:footer="720" w:gutter="0"/>
          <w:pgNumType w:fmt="numberInDash" w:start="1"/>
          <w:cols w:space="720" w:num="1"/>
        </w:sectPr>
      </w:pPr>
    </w:p>
    <w:p>
      <w:pPr>
        <w:jc w:val="center"/>
      </w:pPr>
      <w:r>
        <w:rPr>
          <w:rFonts w:ascii="方正仿宋_GBK" w:hAnsi="方正仿宋_GBK" w:eastAsia="方正仿宋_GBK" w:cs="方正仿宋_GBK"/>
          <w:color w:val="000000"/>
          <w:sz w:val="28"/>
        </w:rPr>
        <w:t xml:space="preserve"> </w:t>
      </w:r>
    </w:p>
    <w:p>
      <w:pPr>
        <w:jc w:val="center"/>
      </w:pPr>
      <w:r>
        <w:rPr>
          <w:rFonts w:ascii="方正仿宋_GBK" w:hAnsi="方正仿宋_GBK" w:eastAsia="方正仿宋_GBK" w:cs="方正仿宋_GBK"/>
          <w:color w:val="000000"/>
          <w:sz w:val="28"/>
        </w:rPr>
        <w:t xml:space="preserve"> </w:t>
      </w:r>
    </w:p>
    <w:tbl>
      <w:tblPr>
        <w:tblStyle w:val="5"/>
        <w:tblW w:w="103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2315"/>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7"/>
            </w:pPr>
            <w:r>
              <w:t>802001青岛市农业农村局本级</w:t>
            </w:r>
          </w:p>
        </w:tc>
        <w:tc>
          <w:tcPr>
            <w:tcW w:w="2315"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37020023P03000210022U</w:t>
            </w:r>
          </w:p>
        </w:tc>
        <w:tc>
          <w:tcPr>
            <w:tcW w:w="1587" w:type="dxa"/>
            <w:vAlign w:val="center"/>
          </w:tcPr>
          <w:p>
            <w:pPr>
              <w:pStyle w:val="9"/>
            </w:pPr>
            <w:r>
              <w:t>项目名称</w:t>
            </w:r>
          </w:p>
        </w:tc>
        <w:tc>
          <w:tcPr>
            <w:tcW w:w="4895" w:type="dxa"/>
            <w:gridSpan w:val="3"/>
            <w:vAlign w:val="center"/>
          </w:tcPr>
          <w:p>
            <w:pPr>
              <w:pStyle w:val="10"/>
            </w:pPr>
            <w:r>
              <w:t>种业发展项目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3000.00</w:t>
            </w:r>
          </w:p>
        </w:tc>
        <w:tc>
          <w:tcPr>
            <w:tcW w:w="1587" w:type="dxa"/>
            <w:vAlign w:val="center"/>
          </w:tcPr>
          <w:p>
            <w:pPr>
              <w:pStyle w:val="9"/>
            </w:pPr>
            <w:r>
              <w:t>其中：财政    资金</w:t>
            </w:r>
          </w:p>
        </w:tc>
        <w:tc>
          <w:tcPr>
            <w:tcW w:w="1304" w:type="dxa"/>
            <w:vAlign w:val="center"/>
          </w:tcPr>
          <w:p>
            <w:pPr>
              <w:pStyle w:val="10"/>
            </w:pPr>
            <w:r>
              <w:t>3000.00</w:t>
            </w:r>
          </w:p>
        </w:tc>
        <w:tc>
          <w:tcPr>
            <w:tcW w:w="1276" w:type="dxa"/>
            <w:vAlign w:val="center"/>
          </w:tcPr>
          <w:p>
            <w:pPr>
              <w:pStyle w:val="9"/>
            </w:pPr>
            <w:r>
              <w:t>其他资金</w:t>
            </w:r>
          </w:p>
        </w:tc>
        <w:tc>
          <w:tcPr>
            <w:tcW w:w="2315"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9090" w:type="dxa"/>
            <w:gridSpan w:val="6"/>
            <w:vAlign w:val="center"/>
          </w:tcPr>
          <w:p>
            <w:pPr>
              <w:pStyle w:val="10"/>
            </w:pPr>
            <w:r>
              <w:t>种业领域股权投资资金是重点围绕青岛市现代种业企业及支持青岛市种业发展的产业链上相关企业进行投资赋能的政策性资金，委托给青岛财通集团有限公司承接管理。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591"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3000.00</w:t>
            </w:r>
          </w:p>
        </w:tc>
        <w:tc>
          <w:tcPr>
            <w:tcW w:w="3591" w:type="dxa"/>
            <w:gridSpan w:val="2"/>
            <w:vAlign w:val="center"/>
          </w:tcPr>
          <w:p>
            <w:pPr>
              <w:pStyle w:val="11"/>
            </w:pPr>
            <w:r>
              <w:t>3000.00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9090" w:type="dxa"/>
            <w:gridSpan w:val="6"/>
            <w:vAlign w:val="center"/>
          </w:tcPr>
          <w:p>
            <w:pPr>
              <w:pStyle w:val="10"/>
            </w:pPr>
            <w:r>
              <w:t>对符合条件的种业企业进行奖补，突出培育壮大龙头企业，强化育种科研创新，全面提升我市种业发展质量和竞争力，全市销售额过亿元种业企业达到2家以上。</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102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22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2208"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年度资金需求总额</w:t>
            </w:r>
          </w:p>
        </w:tc>
        <w:tc>
          <w:tcPr>
            <w:tcW w:w="2891" w:type="dxa"/>
            <w:vAlign w:val="center"/>
          </w:tcPr>
          <w:p>
            <w:pPr>
              <w:pStyle w:val="10"/>
            </w:pPr>
            <w:r>
              <w:t>完成任务所需要的成本</w:t>
            </w:r>
          </w:p>
        </w:tc>
        <w:tc>
          <w:tcPr>
            <w:tcW w:w="1276" w:type="dxa"/>
            <w:vAlign w:val="center"/>
          </w:tcPr>
          <w:p>
            <w:pPr>
              <w:pStyle w:val="10"/>
            </w:pPr>
            <w:r>
              <w:t>≤3000万元</w:t>
            </w:r>
          </w:p>
        </w:tc>
        <w:tc>
          <w:tcPr>
            <w:tcW w:w="2208" w:type="dxa"/>
            <w:vAlign w:val="center"/>
          </w:tcPr>
          <w:p>
            <w:pPr>
              <w:pStyle w:val="10"/>
            </w:pPr>
            <w:r>
              <w:t>《青岛市人民政府办公厅关于加快现代种业创新发展的实施意见》（青政办字〔2022〕10号）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2022年度非主要农作物新品种企业奖励数量</w:t>
            </w:r>
          </w:p>
        </w:tc>
        <w:tc>
          <w:tcPr>
            <w:tcW w:w="2891" w:type="dxa"/>
            <w:vAlign w:val="center"/>
          </w:tcPr>
          <w:p>
            <w:pPr>
              <w:pStyle w:val="10"/>
            </w:pPr>
            <w:r>
              <w:t>2022年度非主要农作物新品种企业奖励数量</w:t>
            </w:r>
          </w:p>
        </w:tc>
        <w:tc>
          <w:tcPr>
            <w:tcW w:w="1276" w:type="dxa"/>
            <w:vAlign w:val="center"/>
          </w:tcPr>
          <w:p>
            <w:pPr>
              <w:pStyle w:val="10"/>
            </w:pPr>
            <w:r>
              <w:t>≥4个</w:t>
            </w:r>
          </w:p>
        </w:tc>
        <w:tc>
          <w:tcPr>
            <w:tcW w:w="2208" w:type="dxa"/>
            <w:vAlign w:val="center"/>
          </w:tcPr>
          <w:p>
            <w:pPr>
              <w:pStyle w:val="10"/>
            </w:pPr>
            <w:r>
              <w:t>《青岛市人民政府办公厅关于加快现代种业创新发展的实施意见》（青政办字〔2022〕10号）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2022年度育繁推企业奖励数量</w:t>
            </w:r>
          </w:p>
        </w:tc>
        <w:tc>
          <w:tcPr>
            <w:tcW w:w="2891" w:type="dxa"/>
            <w:vAlign w:val="center"/>
          </w:tcPr>
          <w:p>
            <w:pPr>
              <w:pStyle w:val="10"/>
            </w:pPr>
            <w:r>
              <w:t>2022年度育繁推企业奖励数量</w:t>
            </w:r>
          </w:p>
        </w:tc>
        <w:tc>
          <w:tcPr>
            <w:tcW w:w="1276" w:type="dxa"/>
            <w:vAlign w:val="center"/>
          </w:tcPr>
          <w:p>
            <w:pPr>
              <w:pStyle w:val="10"/>
            </w:pPr>
            <w:r>
              <w:t>≥1个</w:t>
            </w:r>
          </w:p>
        </w:tc>
        <w:tc>
          <w:tcPr>
            <w:tcW w:w="2208" w:type="dxa"/>
            <w:vAlign w:val="center"/>
          </w:tcPr>
          <w:p>
            <w:pPr>
              <w:pStyle w:val="10"/>
            </w:pPr>
            <w:r>
              <w:t>《青岛市人民政府办公厅关于加快现代种业创新发展的实施意见》（青政办字〔2022〕10号）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2022年度领军型企业奖励数量</w:t>
            </w:r>
          </w:p>
        </w:tc>
        <w:tc>
          <w:tcPr>
            <w:tcW w:w="2891" w:type="dxa"/>
            <w:vAlign w:val="center"/>
          </w:tcPr>
          <w:p>
            <w:pPr>
              <w:pStyle w:val="10"/>
            </w:pPr>
            <w:r>
              <w:t>2022年度领军型企业奖励数量</w:t>
            </w:r>
          </w:p>
        </w:tc>
        <w:tc>
          <w:tcPr>
            <w:tcW w:w="1276" w:type="dxa"/>
            <w:vAlign w:val="center"/>
          </w:tcPr>
          <w:p>
            <w:pPr>
              <w:pStyle w:val="10"/>
            </w:pPr>
            <w:r>
              <w:t>≥2个</w:t>
            </w:r>
          </w:p>
        </w:tc>
        <w:tc>
          <w:tcPr>
            <w:tcW w:w="2208" w:type="dxa"/>
            <w:vAlign w:val="center"/>
          </w:tcPr>
          <w:p>
            <w:pPr>
              <w:pStyle w:val="10"/>
            </w:pPr>
            <w:r>
              <w:t>《青岛市人民政府办公厅关于加快现代种业创新发展的实施意见》（青政办字〔2022〕10号）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rPr>
                <w:rFonts w:hint="eastAsia"/>
                <w:lang w:eastAsia="zh-CN"/>
              </w:rPr>
              <w:t>数量</w:t>
            </w:r>
            <w:r>
              <w:t>指标</w:t>
            </w:r>
          </w:p>
        </w:tc>
        <w:tc>
          <w:tcPr>
            <w:tcW w:w="1332" w:type="dxa"/>
            <w:vAlign w:val="center"/>
          </w:tcPr>
          <w:p>
            <w:pPr>
              <w:pStyle w:val="10"/>
            </w:pPr>
            <w:r>
              <w:t>2022年通过审定、登记的农作物新品种数</w:t>
            </w:r>
          </w:p>
        </w:tc>
        <w:tc>
          <w:tcPr>
            <w:tcW w:w="2891" w:type="dxa"/>
            <w:vAlign w:val="center"/>
          </w:tcPr>
          <w:p>
            <w:pPr>
              <w:pStyle w:val="10"/>
            </w:pPr>
            <w:r>
              <w:t>2022年通过审定、登记的农作物新品种数</w:t>
            </w:r>
          </w:p>
        </w:tc>
        <w:tc>
          <w:tcPr>
            <w:tcW w:w="1276" w:type="dxa"/>
            <w:vAlign w:val="center"/>
          </w:tcPr>
          <w:p>
            <w:pPr>
              <w:pStyle w:val="10"/>
            </w:pPr>
            <w:r>
              <w:t>≥30个</w:t>
            </w:r>
          </w:p>
        </w:tc>
        <w:tc>
          <w:tcPr>
            <w:tcW w:w="2208" w:type="dxa"/>
            <w:vAlign w:val="center"/>
          </w:tcPr>
          <w:p>
            <w:pPr>
              <w:pStyle w:val="10"/>
            </w:pPr>
            <w:r>
              <w:t>《青岛市人民政府办公厅关于加快现代种业创新发展的实施意见》（青政办字〔2022〕10号）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79" w:hRule="atLeast"/>
          <w:jc w:val="center"/>
        </w:trPr>
        <w:tc>
          <w:tcPr>
            <w:tcW w:w="1276" w:type="dxa"/>
            <w:vMerge w:val="continue"/>
            <w:vAlign w:val="center"/>
          </w:tcPr>
          <w:p/>
        </w:tc>
        <w:tc>
          <w:tcPr>
            <w:tcW w:w="1276" w:type="dxa"/>
            <w:vAlign w:val="center"/>
          </w:tcPr>
          <w:p>
            <w:pPr>
              <w:pStyle w:val="10"/>
              <w:rPr>
                <w:lang w:eastAsia="zh-CN"/>
              </w:rPr>
            </w:pPr>
            <w:r>
              <w:t>质量指标</w:t>
            </w:r>
          </w:p>
        </w:tc>
        <w:tc>
          <w:tcPr>
            <w:tcW w:w="1332" w:type="dxa"/>
            <w:vAlign w:val="center"/>
          </w:tcPr>
          <w:p>
            <w:pPr>
              <w:pStyle w:val="10"/>
              <w:rPr>
                <w:rFonts w:asciiTheme="minorHAnsi" w:hAnsiTheme="minorHAnsi"/>
                <w:lang w:val="uk-UA"/>
              </w:rPr>
            </w:pPr>
            <w:r>
              <w:t>农作物新品种</w:t>
            </w:r>
            <w:r>
              <w:rPr>
                <w:rFonts w:hint="eastAsia"/>
                <w:lang w:eastAsia="zh-CN"/>
              </w:rPr>
              <w:t>登记率</w:t>
            </w:r>
          </w:p>
        </w:tc>
        <w:tc>
          <w:tcPr>
            <w:tcW w:w="2891" w:type="dxa"/>
            <w:vAlign w:val="center"/>
          </w:tcPr>
          <w:p>
            <w:pPr>
              <w:pStyle w:val="10"/>
              <w:rPr>
                <w:rFonts w:asciiTheme="minorHAnsi" w:hAnsiTheme="minorHAnsi"/>
                <w:lang w:val="uk-UA"/>
              </w:rPr>
            </w:pPr>
            <w:r>
              <w:t>农作物新品种</w:t>
            </w:r>
            <w:r>
              <w:rPr>
                <w:rFonts w:hint="eastAsia"/>
                <w:lang w:eastAsia="zh-CN"/>
              </w:rPr>
              <w:t>登记率</w:t>
            </w:r>
          </w:p>
        </w:tc>
        <w:tc>
          <w:tcPr>
            <w:tcW w:w="1276" w:type="dxa"/>
            <w:vAlign w:val="center"/>
          </w:tcPr>
          <w:p>
            <w:pPr>
              <w:pStyle w:val="10"/>
              <w:rPr>
                <w:lang w:eastAsia="zh-CN"/>
              </w:rPr>
            </w:pPr>
            <w:r>
              <w:rPr>
                <w:rFonts w:hint="eastAsia"/>
                <w:lang w:eastAsia="zh-CN"/>
              </w:rPr>
              <w:t>1</w:t>
            </w:r>
            <w:r>
              <w:rPr>
                <w:lang w:eastAsia="zh-CN"/>
              </w:rPr>
              <w:t>00</w:t>
            </w:r>
            <w:r>
              <w:rPr>
                <w:rFonts w:hint="eastAsia"/>
                <w:lang w:eastAsia="zh-CN"/>
              </w:rPr>
              <w:t>%</w:t>
            </w:r>
          </w:p>
        </w:tc>
        <w:tc>
          <w:tcPr>
            <w:tcW w:w="2208" w:type="dxa"/>
            <w:vAlign w:val="center"/>
          </w:tcPr>
          <w:p>
            <w:pPr>
              <w:pStyle w:val="10"/>
            </w:pPr>
            <w:r>
              <w:t>《青岛市人民政府办公厅关于加快现代种业创新发展的实施意见》（青政办字〔2022〕10号）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rPr>
                <w:rFonts w:hint="eastAsia"/>
                <w:lang w:eastAsia="zh-CN"/>
              </w:rPr>
              <w:t>奖补资金足额拨付率</w:t>
            </w:r>
          </w:p>
        </w:tc>
        <w:tc>
          <w:tcPr>
            <w:tcW w:w="2891" w:type="dxa"/>
            <w:vAlign w:val="center"/>
          </w:tcPr>
          <w:p>
            <w:pPr>
              <w:pStyle w:val="10"/>
            </w:pPr>
            <w:r>
              <w:rPr>
                <w:rFonts w:hint="eastAsia"/>
                <w:lang w:eastAsia="zh-CN"/>
              </w:rPr>
              <w:t>奖补资金足额拨付率</w:t>
            </w:r>
          </w:p>
        </w:tc>
        <w:tc>
          <w:tcPr>
            <w:tcW w:w="1276" w:type="dxa"/>
            <w:vAlign w:val="center"/>
          </w:tcPr>
          <w:p>
            <w:pPr>
              <w:pStyle w:val="10"/>
            </w:pPr>
            <w:r>
              <w:t>100%</w:t>
            </w:r>
          </w:p>
        </w:tc>
        <w:tc>
          <w:tcPr>
            <w:tcW w:w="2208" w:type="dxa"/>
            <w:vAlign w:val="center"/>
          </w:tcPr>
          <w:p>
            <w:pPr>
              <w:pStyle w:val="10"/>
            </w:pPr>
            <w:r>
              <w:t>《青岛市人民政府办公厅关于加快现代种业创新发展的实施意见》（青政办字〔2022〕10号）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 xml:space="preserve"> 资金执行时限</w:t>
            </w:r>
          </w:p>
        </w:tc>
        <w:tc>
          <w:tcPr>
            <w:tcW w:w="2891" w:type="dxa"/>
            <w:vAlign w:val="center"/>
          </w:tcPr>
          <w:p>
            <w:pPr>
              <w:pStyle w:val="10"/>
            </w:pPr>
            <w:r>
              <w:t xml:space="preserve"> 资金执行时限</w:t>
            </w:r>
          </w:p>
        </w:tc>
        <w:tc>
          <w:tcPr>
            <w:tcW w:w="1276" w:type="dxa"/>
            <w:vAlign w:val="center"/>
          </w:tcPr>
          <w:p>
            <w:pPr>
              <w:pStyle w:val="10"/>
              <w:rPr>
                <w:lang w:eastAsia="zh-CN"/>
              </w:rPr>
            </w:pPr>
            <w:r>
              <w:t>≤9月</w:t>
            </w:r>
            <w:r>
              <w:rPr>
                <w:rFonts w:hint="eastAsia"/>
                <w:lang w:eastAsia="zh-CN"/>
              </w:rPr>
              <w:t>3</w:t>
            </w:r>
            <w:r>
              <w:rPr>
                <w:lang w:eastAsia="zh-CN"/>
              </w:rPr>
              <w:t>0</w:t>
            </w:r>
            <w:r>
              <w:rPr>
                <w:rFonts w:hint="eastAsia"/>
                <w:lang w:eastAsia="zh-CN"/>
              </w:rPr>
              <w:t>日</w:t>
            </w:r>
          </w:p>
        </w:tc>
        <w:tc>
          <w:tcPr>
            <w:tcW w:w="2208" w:type="dxa"/>
            <w:vAlign w:val="center"/>
          </w:tcPr>
          <w:p>
            <w:pPr>
              <w:pStyle w:val="10"/>
            </w:pPr>
            <w:r>
              <w:t>《青岛市人民政府办公厅关于加快现代种业创新发展的实施意见》（青政办字〔2022〕10号）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全市销售额过亿元种业企业</w:t>
            </w:r>
            <w:r>
              <w:rPr>
                <w:rFonts w:hint="eastAsia"/>
                <w:lang w:eastAsia="zh-CN"/>
              </w:rPr>
              <w:t>数</w:t>
            </w:r>
          </w:p>
        </w:tc>
        <w:tc>
          <w:tcPr>
            <w:tcW w:w="2891" w:type="dxa"/>
            <w:vAlign w:val="center"/>
          </w:tcPr>
          <w:p>
            <w:pPr>
              <w:pStyle w:val="10"/>
              <w:rPr>
                <w:rFonts w:asciiTheme="minorHAnsi" w:hAnsiTheme="minorHAnsi"/>
                <w:lang w:val="uk-UA"/>
              </w:rPr>
            </w:pPr>
            <w:r>
              <w:t>全面提升青岛市种业发展水平，全市销售额过亿元种业企业</w:t>
            </w:r>
            <w:r>
              <w:rPr>
                <w:rFonts w:hint="eastAsia"/>
                <w:lang w:eastAsia="zh-CN"/>
              </w:rPr>
              <w:t>数</w:t>
            </w:r>
          </w:p>
        </w:tc>
        <w:tc>
          <w:tcPr>
            <w:tcW w:w="1276" w:type="dxa"/>
            <w:vAlign w:val="center"/>
          </w:tcPr>
          <w:p>
            <w:pPr>
              <w:pStyle w:val="10"/>
            </w:pPr>
            <w:r>
              <w:t>≥2家</w:t>
            </w:r>
          </w:p>
        </w:tc>
        <w:tc>
          <w:tcPr>
            <w:tcW w:w="2208" w:type="dxa"/>
            <w:vAlign w:val="center"/>
          </w:tcPr>
          <w:p>
            <w:pPr>
              <w:pStyle w:val="10"/>
            </w:pPr>
            <w:r>
              <w:t>《青岛市人民政府办公厅关于加快现代种业创新发展的实施意见》（青政办字〔2022〕10号）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受奖补企业满意度</w:t>
            </w:r>
          </w:p>
        </w:tc>
        <w:tc>
          <w:tcPr>
            <w:tcW w:w="2891" w:type="dxa"/>
            <w:vAlign w:val="center"/>
          </w:tcPr>
          <w:p>
            <w:pPr>
              <w:pStyle w:val="10"/>
            </w:pPr>
            <w:r>
              <w:t>受奖补企业满意度</w:t>
            </w:r>
          </w:p>
        </w:tc>
        <w:tc>
          <w:tcPr>
            <w:tcW w:w="1276" w:type="dxa"/>
            <w:vAlign w:val="center"/>
          </w:tcPr>
          <w:p>
            <w:pPr>
              <w:pStyle w:val="10"/>
            </w:pPr>
            <w:r>
              <w:t>≥90%</w:t>
            </w:r>
          </w:p>
        </w:tc>
        <w:tc>
          <w:tcPr>
            <w:tcW w:w="2208" w:type="dxa"/>
            <w:vAlign w:val="center"/>
          </w:tcPr>
          <w:p>
            <w:pPr>
              <w:pStyle w:val="10"/>
            </w:pPr>
            <w:r>
              <w:t>《青岛市人民政府办公厅关于加快现代种业创新发展的实施意见》（青政办字〔2022〕10号）</w:t>
            </w:r>
          </w:p>
        </w:tc>
      </w:tr>
    </w:tbl>
    <w:p>
      <w:pPr>
        <w:rPr>
          <w:lang w:val="uk-UA"/>
        </w:rPr>
        <w:sectPr>
          <w:pgSz w:w="11900" w:h="16840"/>
          <w:pgMar w:top="1984" w:right="1304" w:bottom="1134" w:left="1304" w:header="720" w:footer="720" w:gutter="0"/>
          <w:pgNumType w:fmt="numberInDash"/>
          <w:cols w:space="720" w:num="1"/>
        </w:sectPr>
      </w:pPr>
    </w:p>
    <w:p>
      <w:pPr>
        <w:rPr>
          <w:lang w:val="uk-UA"/>
        </w:rPr>
      </w:pPr>
    </w:p>
    <w:p>
      <w:pPr>
        <w:numPr>
          <w:ilvl w:val="0"/>
          <w:numId w:val="0"/>
        </w:numPr>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2.林业资金</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704001青岛市园林和林业局本级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37020023P04000210052M</w:t>
            </w:r>
          </w:p>
        </w:tc>
        <w:tc>
          <w:tcPr>
            <w:tcW w:w="1587" w:type="dxa"/>
            <w:vAlign w:val="center"/>
          </w:tcPr>
          <w:p>
            <w:pPr>
              <w:pStyle w:val="9"/>
            </w:pPr>
            <w:r>
              <w:t>项目名称</w:t>
            </w:r>
          </w:p>
        </w:tc>
        <w:tc>
          <w:tcPr>
            <w:tcW w:w="4422" w:type="dxa"/>
            <w:gridSpan w:val="3"/>
            <w:vAlign w:val="center"/>
          </w:tcPr>
          <w:p>
            <w:pPr>
              <w:pStyle w:val="10"/>
            </w:pPr>
            <w:r>
              <w:t>公园城市建设攻坚行动资金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7400.00</w:t>
            </w:r>
          </w:p>
        </w:tc>
        <w:tc>
          <w:tcPr>
            <w:tcW w:w="1587" w:type="dxa"/>
            <w:vAlign w:val="center"/>
          </w:tcPr>
          <w:p>
            <w:pPr>
              <w:pStyle w:val="9"/>
            </w:pPr>
            <w:r>
              <w:t>其中：财政    资金</w:t>
            </w:r>
          </w:p>
        </w:tc>
        <w:tc>
          <w:tcPr>
            <w:tcW w:w="1304" w:type="dxa"/>
            <w:vAlign w:val="center"/>
          </w:tcPr>
          <w:p>
            <w:pPr>
              <w:pStyle w:val="10"/>
            </w:pPr>
            <w:r>
              <w:t>7400.00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完成公园城市建设年度任务，完成9项规划设计或研究成果，复壮古树150株，完成12个口袋公园建设；举办花卉会展；不断健全并完善林长制，形成科学的评价、考核体系，并对各区市林长制建设工作进行评价、考核；利用遥感智能解译矢量和湿地资源变化系统，借助前后两期遥感影像开展全市森林、湿地资源，国家级公益林，自然保护区、风景名胜区等自然保护地，国家级湿地公园、市级重要湿地的变化情况的季度判读，及时发现林地和湿地资源动态变化；不断提升城市园林绿化品质，提高城市绿化管理精细化水平，推动我市文明城市创建工作提档升级；保障党的宣传阵地建设和宣传教育管理；完成年度行政执法监督等工作任务；保障财务审计项目立项管理及验收评估；强化自然保护区、风景名胜区保护管理，减少自然保护区、风景名胜区内违法违规行为的发生；加强对食用林产品质量安全监管，普及食用林产品安全知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2000.00</w:t>
            </w:r>
          </w:p>
        </w:tc>
        <w:tc>
          <w:tcPr>
            <w:tcW w:w="1304" w:type="dxa"/>
            <w:vAlign w:val="center"/>
          </w:tcPr>
          <w:p>
            <w:pPr>
              <w:pStyle w:val="11"/>
            </w:pPr>
            <w:r>
              <w:t>5000.00</w:t>
            </w:r>
          </w:p>
        </w:tc>
        <w:tc>
          <w:tcPr>
            <w:tcW w:w="3118" w:type="dxa"/>
            <w:gridSpan w:val="2"/>
            <w:vAlign w:val="center"/>
          </w:tcPr>
          <w:p>
            <w:pPr>
              <w:pStyle w:val="11"/>
            </w:pPr>
            <w:r>
              <w:t>7400.00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完成公园城市建设年度任务，完成9项规划设计或研究成果，复壮古树150株，完成12个口袋公园建设；举办花卉会展；不断健全并完善林长制，形成科学的评价、考核体系，并对各区市林长制建设工作进行评价、考核；利用遥感智能解译矢量和湿地资源变化系统，借助前后两期遥感影像开展全市森林、湿地资源，国家级公益林，自然保护区、风景名胜区等自然保护地，国家级湿地公园、市级重要湿地的变化情况的季度判读，及时发现林地和湿地资源动态变化；不断提升城市园林绿化品质，提高城市绿化管理精细化水平，推动我市文明城市创建工作提档升级；保障党的宣传阵地建设和宣传教育管理；完成年度行政执法监督等工作任务；保障财务审计项目立项管理及验收评估；强化自然保护区、风景名胜区保护管理，减少自然保护区、风景名胜区内违法违规行为的发生；加强对食用林产品质量安全监管，普及食用林产品安全知识。</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公园城市建设攻坚行动项目预算控制数</w:t>
            </w:r>
          </w:p>
        </w:tc>
        <w:tc>
          <w:tcPr>
            <w:tcW w:w="2891" w:type="dxa"/>
            <w:vAlign w:val="center"/>
          </w:tcPr>
          <w:p>
            <w:pPr>
              <w:pStyle w:val="10"/>
            </w:pPr>
            <w:r>
              <w:t>公园城市建设攻坚行动项目预算控制数</w:t>
            </w:r>
          </w:p>
        </w:tc>
        <w:tc>
          <w:tcPr>
            <w:tcW w:w="1276" w:type="dxa"/>
            <w:vAlign w:val="center"/>
          </w:tcPr>
          <w:p>
            <w:pPr>
              <w:pStyle w:val="10"/>
            </w:pPr>
            <w:r>
              <w:t>≤7400万元</w:t>
            </w:r>
          </w:p>
        </w:tc>
        <w:tc>
          <w:tcPr>
            <w:tcW w:w="1843" w:type="dxa"/>
            <w:vAlign w:val="center"/>
          </w:tcPr>
          <w:p>
            <w:pPr>
              <w:pStyle w:val="10"/>
            </w:pPr>
            <w:r>
              <w:t>按项目规划估算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设计方案及研究成果</w:t>
            </w:r>
          </w:p>
        </w:tc>
        <w:tc>
          <w:tcPr>
            <w:tcW w:w="2891" w:type="dxa"/>
            <w:vAlign w:val="center"/>
          </w:tcPr>
          <w:p>
            <w:pPr>
              <w:pStyle w:val="10"/>
            </w:pPr>
            <w:r>
              <w:t>完成规划设计文本及图纸</w:t>
            </w:r>
          </w:p>
        </w:tc>
        <w:tc>
          <w:tcPr>
            <w:tcW w:w="1276" w:type="dxa"/>
            <w:vAlign w:val="center"/>
          </w:tcPr>
          <w:p>
            <w:pPr>
              <w:pStyle w:val="10"/>
            </w:pPr>
            <w:r>
              <w:t>≥9个</w:t>
            </w:r>
          </w:p>
        </w:tc>
        <w:tc>
          <w:tcPr>
            <w:tcW w:w="1843" w:type="dxa"/>
            <w:vAlign w:val="center"/>
          </w:tcPr>
          <w:p>
            <w:pPr>
              <w:pStyle w:val="10"/>
            </w:pPr>
            <w:r>
              <w:t>《青岛市公园城市建设攻坚行动方案》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复壮古树</w:t>
            </w:r>
          </w:p>
        </w:tc>
        <w:tc>
          <w:tcPr>
            <w:tcW w:w="2891" w:type="dxa"/>
            <w:vAlign w:val="center"/>
          </w:tcPr>
          <w:p>
            <w:pPr>
              <w:pStyle w:val="10"/>
            </w:pPr>
            <w:r>
              <w:t>完成150株古树名木的复壮任务</w:t>
            </w:r>
          </w:p>
        </w:tc>
        <w:tc>
          <w:tcPr>
            <w:tcW w:w="1276" w:type="dxa"/>
            <w:vAlign w:val="center"/>
          </w:tcPr>
          <w:p>
            <w:pPr>
              <w:pStyle w:val="10"/>
            </w:pPr>
            <w:r>
              <w:t>150株</w:t>
            </w:r>
          </w:p>
        </w:tc>
        <w:tc>
          <w:tcPr>
            <w:tcW w:w="1843" w:type="dxa"/>
            <w:vAlign w:val="center"/>
          </w:tcPr>
          <w:p>
            <w:pPr>
              <w:pStyle w:val="10"/>
            </w:pPr>
            <w:r>
              <w:t>《青岛市公园城市建设攻坚行动方案》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建设口袋公园</w:t>
            </w:r>
          </w:p>
        </w:tc>
        <w:tc>
          <w:tcPr>
            <w:tcW w:w="2891" w:type="dxa"/>
            <w:vAlign w:val="center"/>
          </w:tcPr>
          <w:p>
            <w:pPr>
              <w:pStyle w:val="10"/>
            </w:pPr>
            <w:r>
              <w:t>完成12个口袋公园建设，向市民开放。</w:t>
            </w:r>
          </w:p>
        </w:tc>
        <w:tc>
          <w:tcPr>
            <w:tcW w:w="1276" w:type="dxa"/>
            <w:vAlign w:val="center"/>
          </w:tcPr>
          <w:p>
            <w:pPr>
              <w:pStyle w:val="10"/>
            </w:pPr>
            <w:r>
              <w:t>≥12个</w:t>
            </w:r>
          </w:p>
        </w:tc>
        <w:tc>
          <w:tcPr>
            <w:tcW w:w="1843" w:type="dxa"/>
            <w:vAlign w:val="center"/>
          </w:tcPr>
          <w:p>
            <w:pPr>
              <w:pStyle w:val="10"/>
            </w:pPr>
            <w:r>
              <w:t>《青岛市公园城市建设攻坚行动方案》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栽植乔木数量</w:t>
            </w:r>
          </w:p>
        </w:tc>
        <w:tc>
          <w:tcPr>
            <w:tcW w:w="2891" w:type="dxa"/>
            <w:vAlign w:val="center"/>
          </w:tcPr>
          <w:p>
            <w:pPr>
              <w:pStyle w:val="10"/>
            </w:pPr>
            <w:r>
              <w:t>提升太平山景观品质</w:t>
            </w:r>
          </w:p>
        </w:tc>
        <w:tc>
          <w:tcPr>
            <w:tcW w:w="1276" w:type="dxa"/>
            <w:vAlign w:val="center"/>
          </w:tcPr>
          <w:p>
            <w:pPr>
              <w:pStyle w:val="10"/>
            </w:pPr>
            <w:r>
              <w:t>≥500株</w:t>
            </w:r>
          </w:p>
        </w:tc>
        <w:tc>
          <w:tcPr>
            <w:tcW w:w="1843" w:type="dxa"/>
            <w:vAlign w:val="center"/>
          </w:tcPr>
          <w:p>
            <w:pPr>
              <w:pStyle w:val="10"/>
            </w:pPr>
            <w:r>
              <w:t>根据年度计划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栽植地被面积</w:t>
            </w:r>
          </w:p>
        </w:tc>
        <w:tc>
          <w:tcPr>
            <w:tcW w:w="2891" w:type="dxa"/>
            <w:vAlign w:val="center"/>
          </w:tcPr>
          <w:p>
            <w:pPr>
              <w:pStyle w:val="10"/>
            </w:pPr>
            <w:r>
              <w:t>提升太平山景观品质</w:t>
            </w:r>
          </w:p>
        </w:tc>
        <w:tc>
          <w:tcPr>
            <w:tcW w:w="1276" w:type="dxa"/>
            <w:vAlign w:val="center"/>
          </w:tcPr>
          <w:p>
            <w:pPr>
              <w:pStyle w:val="10"/>
            </w:pPr>
            <w:r>
              <w:t>≥60000平方米</w:t>
            </w:r>
          </w:p>
        </w:tc>
        <w:tc>
          <w:tcPr>
            <w:tcW w:w="1843" w:type="dxa"/>
            <w:vAlign w:val="center"/>
          </w:tcPr>
          <w:p>
            <w:pPr>
              <w:pStyle w:val="10"/>
            </w:pPr>
            <w:r>
              <w:t>根据年度计划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花展花卉品种</w:t>
            </w:r>
          </w:p>
        </w:tc>
        <w:tc>
          <w:tcPr>
            <w:tcW w:w="2891" w:type="dxa"/>
            <w:vAlign w:val="center"/>
          </w:tcPr>
          <w:p>
            <w:pPr>
              <w:pStyle w:val="10"/>
            </w:pPr>
            <w:r>
              <w:t>花卉涉及品种。</w:t>
            </w:r>
          </w:p>
        </w:tc>
        <w:tc>
          <w:tcPr>
            <w:tcW w:w="1276" w:type="dxa"/>
            <w:vAlign w:val="center"/>
          </w:tcPr>
          <w:p>
            <w:pPr>
              <w:pStyle w:val="10"/>
            </w:pPr>
            <w:r>
              <w:t>≥100种</w:t>
            </w:r>
          </w:p>
        </w:tc>
        <w:tc>
          <w:tcPr>
            <w:tcW w:w="1843" w:type="dxa"/>
            <w:vAlign w:val="center"/>
          </w:tcPr>
          <w:p>
            <w:pPr>
              <w:pStyle w:val="10"/>
            </w:pPr>
            <w:r>
              <w:t>根据上年品种。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编制林长制绩效评价、考核报告</w:t>
            </w:r>
          </w:p>
        </w:tc>
        <w:tc>
          <w:tcPr>
            <w:tcW w:w="2891" w:type="dxa"/>
            <w:vAlign w:val="center"/>
          </w:tcPr>
          <w:p>
            <w:pPr>
              <w:pStyle w:val="10"/>
            </w:pPr>
            <w:r>
              <w:t>科学、详实，指导性、可操作性强</w:t>
            </w:r>
          </w:p>
        </w:tc>
        <w:tc>
          <w:tcPr>
            <w:tcW w:w="1276" w:type="dxa"/>
            <w:vAlign w:val="center"/>
          </w:tcPr>
          <w:p>
            <w:pPr>
              <w:pStyle w:val="10"/>
            </w:pPr>
            <w:r>
              <w:t>1个</w:t>
            </w:r>
          </w:p>
        </w:tc>
        <w:tc>
          <w:tcPr>
            <w:tcW w:w="1843" w:type="dxa"/>
            <w:vAlign w:val="center"/>
          </w:tcPr>
          <w:p>
            <w:pPr>
              <w:pStyle w:val="10"/>
            </w:pPr>
            <w:r>
              <w:t>青岛市林长制评价、考核制度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森林和湿地资源保护管理图斑数据库</w:t>
            </w:r>
          </w:p>
        </w:tc>
        <w:tc>
          <w:tcPr>
            <w:tcW w:w="2891" w:type="dxa"/>
            <w:vAlign w:val="center"/>
          </w:tcPr>
          <w:p>
            <w:pPr>
              <w:pStyle w:val="10"/>
            </w:pPr>
            <w:r>
              <w:t>创建森林和湿地资源保护管理图斑矢量数据库</w:t>
            </w:r>
          </w:p>
        </w:tc>
        <w:tc>
          <w:tcPr>
            <w:tcW w:w="1276" w:type="dxa"/>
            <w:vAlign w:val="center"/>
          </w:tcPr>
          <w:p>
            <w:pPr>
              <w:pStyle w:val="10"/>
            </w:pPr>
            <w:r>
              <w:t>1个</w:t>
            </w:r>
          </w:p>
        </w:tc>
        <w:tc>
          <w:tcPr>
            <w:tcW w:w="1843" w:type="dxa"/>
            <w:vAlign w:val="center"/>
          </w:tcPr>
          <w:p>
            <w:pPr>
              <w:pStyle w:val="10"/>
            </w:pPr>
            <w:r>
              <w:t>《森林法》、《青岛市湿地保护条例》《2021年度青岛市高质量发展综合绩效考核办法》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项目监督监管数量</w:t>
            </w:r>
          </w:p>
        </w:tc>
        <w:tc>
          <w:tcPr>
            <w:tcW w:w="2891" w:type="dxa"/>
            <w:vAlign w:val="center"/>
          </w:tcPr>
          <w:p>
            <w:pPr>
              <w:pStyle w:val="10"/>
            </w:pPr>
            <w:r>
              <w:t>监督监管项目20个</w:t>
            </w:r>
          </w:p>
        </w:tc>
        <w:tc>
          <w:tcPr>
            <w:tcW w:w="1276" w:type="dxa"/>
            <w:vAlign w:val="center"/>
          </w:tcPr>
          <w:p>
            <w:pPr>
              <w:pStyle w:val="10"/>
            </w:pPr>
            <w:r>
              <w:t>≥20个</w:t>
            </w:r>
          </w:p>
        </w:tc>
        <w:tc>
          <w:tcPr>
            <w:tcW w:w="1843" w:type="dxa"/>
            <w:vAlign w:val="center"/>
          </w:tcPr>
          <w:p>
            <w:pPr>
              <w:pStyle w:val="10"/>
            </w:pPr>
            <w:r>
              <w:t>预算绩效管理文件，监督监管办法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食用林产品抽检批次</w:t>
            </w:r>
          </w:p>
        </w:tc>
        <w:tc>
          <w:tcPr>
            <w:tcW w:w="2891" w:type="dxa"/>
            <w:vAlign w:val="center"/>
          </w:tcPr>
          <w:p>
            <w:pPr>
              <w:pStyle w:val="10"/>
            </w:pPr>
            <w:r>
              <w:t>食用林产品样本抽检</w:t>
            </w:r>
          </w:p>
        </w:tc>
        <w:tc>
          <w:tcPr>
            <w:tcW w:w="1276" w:type="dxa"/>
            <w:vAlign w:val="center"/>
          </w:tcPr>
          <w:p>
            <w:pPr>
              <w:pStyle w:val="10"/>
            </w:pPr>
            <w:r>
              <w:t>≥150批次</w:t>
            </w:r>
          </w:p>
        </w:tc>
        <w:tc>
          <w:tcPr>
            <w:tcW w:w="1843" w:type="dxa"/>
            <w:vAlign w:val="center"/>
          </w:tcPr>
          <w:p>
            <w:pPr>
              <w:pStyle w:val="10"/>
            </w:pPr>
            <w:r>
              <w:t>历史标准、通知文件和检测报告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服务达标率</w:t>
            </w:r>
          </w:p>
        </w:tc>
        <w:tc>
          <w:tcPr>
            <w:tcW w:w="2891" w:type="dxa"/>
            <w:vAlign w:val="center"/>
          </w:tcPr>
          <w:p>
            <w:pPr>
              <w:pStyle w:val="10"/>
            </w:pPr>
            <w:r>
              <w:t>按期交付系统，完成调式，提供优质服务</w:t>
            </w:r>
          </w:p>
        </w:tc>
        <w:tc>
          <w:tcPr>
            <w:tcW w:w="1276" w:type="dxa"/>
            <w:vAlign w:val="center"/>
          </w:tcPr>
          <w:p>
            <w:pPr>
              <w:pStyle w:val="10"/>
            </w:pPr>
            <w:r>
              <w:t>100%</w:t>
            </w:r>
          </w:p>
        </w:tc>
        <w:tc>
          <w:tcPr>
            <w:tcW w:w="1843" w:type="dxa"/>
            <w:vAlign w:val="center"/>
          </w:tcPr>
          <w:p>
            <w:pPr>
              <w:pStyle w:val="10"/>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外业调查完成率</w:t>
            </w:r>
          </w:p>
        </w:tc>
        <w:tc>
          <w:tcPr>
            <w:tcW w:w="2891" w:type="dxa"/>
            <w:vAlign w:val="center"/>
          </w:tcPr>
          <w:p>
            <w:pPr>
              <w:pStyle w:val="10"/>
            </w:pPr>
            <w:r>
              <w:t>外业调查应调尽调</w:t>
            </w:r>
          </w:p>
        </w:tc>
        <w:tc>
          <w:tcPr>
            <w:tcW w:w="1276" w:type="dxa"/>
            <w:vAlign w:val="center"/>
          </w:tcPr>
          <w:p>
            <w:pPr>
              <w:pStyle w:val="10"/>
            </w:pPr>
            <w:r>
              <w:t>≥100%</w:t>
            </w:r>
          </w:p>
        </w:tc>
        <w:tc>
          <w:tcPr>
            <w:tcW w:w="1843" w:type="dxa"/>
            <w:vAlign w:val="center"/>
          </w:tcPr>
          <w:p>
            <w:pPr>
              <w:pStyle w:val="10"/>
            </w:pPr>
            <w:r>
              <w:t>国家局下发森林督查图斑全覆盖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食用林抽检样品合格率</w:t>
            </w:r>
          </w:p>
        </w:tc>
        <w:tc>
          <w:tcPr>
            <w:tcW w:w="2891" w:type="dxa"/>
            <w:vAlign w:val="center"/>
          </w:tcPr>
          <w:p>
            <w:pPr>
              <w:pStyle w:val="10"/>
            </w:pPr>
            <w:r>
              <w:t>食用林产品样品抽检样品合格率</w:t>
            </w:r>
          </w:p>
        </w:tc>
        <w:tc>
          <w:tcPr>
            <w:tcW w:w="1276" w:type="dxa"/>
            <w:vAlign w:val="center"/>
          </w:tcPr>
          <w:p>
            <w:pPr>
              <w:pStyle w:val="10"/>
            </w:pPr>
            <w:r>
              <w:t>≥97%</w:t>
            </w:r>
          </w:p>
        </w:tc>
        <w:tc>
          <w:tcPr>
            <w:tcW w:w="1843" w:type="dxa"/>
            <w:vAlign w:val="center"/>
          </w:tcPr>
          <w:p>
            <w:pPr>
              <w:pStyle w:val="10"/>
            </w:pPr>
            <w:r>
              <w:t>检测报告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rPr>
                <w:lang w:eastAsia="zh-CN"/>
              </w:rPr>
            </w:pPr>
            <w:r>
              <w:t xml:space="preserve"> </w:t>
            </w:r>
            <w:r>
              <w:rPr>
                <w:rFonts w:hint="eastAsia"/>
                <w:lang w:eastAsia="zh-CN"/>
              </w:rPr>
              <w:t>项目按时完成率</w:t>
            </w:r>
          </w:p>
        </w:tc>
        <w:tc>
          <w:tcPr>
            <w:tcW w:w="2891" w:type="dxa"/>
            <w:vAlign w:val="center"/>
          </w:tcPr>
          <w:p>
            <w:pPr>
              <w:pStyle w:val="10"/>
            </w:pPr>
            <w:r>
              <w:t xml:space="preserve"> </w:t>
            </w:r>
            <w:r>
              <w:rPr>
                <w:rFonts w:hint="eastAsia"/>
                <w:lang w:eastAsia="zh-CN"/>
              </w:rPr>
              <w:t>项目按时完成情况</w:t>
            </w:r>
          </w:p>
        </w:tc>
        <w:tc>
          <w:tcPr>
            <w:tcW w:w="1276" w:type="dxa"/>
            <w:vAlign w:val="center"/>
          </w:tcPr>
          <w:p>
            <w:pPr>
              <w:pStyle w:val="10"/>
              <w:rPr>
                <w:lang w:eastAsia="zh-CN"/>
              </w:rPr>
            </w:pPr>
            <w:r>
              <w:rPr>
                <w:rFonts w:hint="eastAsia"/>
                <w:lang w:eastAsia="zh-CN"/>
              </w:rPr>
              <w:t>100%</w:t>
            </w:r>
          </w:p>
        </w:tc>
        <w:tc>
          <w:tcPr>
            <w:tcW w:w="1843" w:type="dxa"/>
            <w:vAlign w:val="center"/>
          </w:tcPr>
          <w:p>
            <w:pPr>
              <w:pStyle w:val="10"/>
            </w:pPr>
            <w:r>
              <w:t>《青岛市公园城市建设攻坚行动方案》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提升城市形象</w:t>
            </w:r>
          </w:p>
        </w:tc>
        <w:tc>
          <w:tcPr>
            <w:tcW w:w="2891" w:type="dxa"/>
            <w:vAlign w:val="center"/>
          </w:tcPr>
          <w:p>
            <w:pPr>
              <w:pStyle w:val="10"/>
              <w:rPr>
                <w:lang w:eastAsia="zh-CN"/>
              </w:rPr>
            </w:pPr>
            <w:r>
              <w:t>为市民提供更多的休闲场所，丰富市民业余文化生活，增加市民绿色获得感和幸福感，逐步实现人与自然和谐相处</w:t>
            </w:r>
          </w:p>
        </w:tc>
        <w:tc>
          <w:tcPr>
            <w:tcW w:w="1276" w:type="dxa"/>
            <w:vAlign w:val="center"/>
          </w:tcPr>
          <w:p>
            <w:pPr>
              <w:pStyle w:val="10"/>
              <w:rPr>
                <w:lang w:eastAsia="zh-CN"/>
              </w:rPr>
            </w:pPr>
            <w:r>
              <w:rPr>
                <w:rFonts w:hint="eastAsia"/>
                <w:lang w:eastAsia="zh-CN"/>
              </w:rPr>
              <w:t>同比提升</w:t>
            </w:r>
          </w:p>
        </w:tc>
        <w:tc>
          <w:tcPr>
            <w:tcW w:w="1843" w:type="dxa"/>
            <w:vAlign w:val="center"/>
          </w:tcPr>
          <w:p>
            <w:pPr>
              <w:pStyle w:val="10"/>
            </w:pPr>
            <w:r>
              <w:t>《青岛市公园城市建设攻坚行动方案》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保护森林和湿地资源、维护生态安全</w:t>
            </w:r>
          </w:p>
        </w:tc>
        <w:tc>
          <w:tcPr>
            <w:tcW w:w="2891" w:type="dxa"/>
            <w:vAlign w:val="center"/>
          </w:tcPr>
          <w:p>
            <w:pPr>
              <w:pStyle w:val="10"/>
            </w:pPr>
            <w:r>
              <w:t>保护森林和湿地资源、维护生态安全</w:t>
            </w:r>
          </w:p>
        </w:tc>
        <w:tc>
          <w:tcPr>
            <w:tcW w:w="1276" w:type="dxa"/>
            <w:vAlign w:val="center"/>
          </w:tcPr>
          <w:p>
            <w:pPr>
              <w:pStyle w:val="10"/>
              <w:rPr>
                <w:lang w:eastAsia="zh-CN"/>
              </w:rPr>
            </w:pPr>
            <w:r>
              <w:rPr>
                <w:rFonts w:hint="eastAsia"/>
                <w:lang w:eastAsia="zh-CN"/>
              </w:rPr>
              <w:t>效果显著</w:t>
            </w:r>
          </w:p>
        </w:tc>
        <w:tc>
          <w:tcPr>
            <w:tcW w:w="1843" w:type="dxa"/>
            <w:vAlign w:val="center"/>
          </w:tcPr>
          <w:p>
            <w:pPr>
              <w:pStyle w:val="10"/>
            </w:pPr>
            <w:r>
              <w:t>历史标准，参照上年度完成情况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城区绿化覆盖率</w:t>
            </w:r>
          </w:p>
        </w:tc>
        <w:tc>
          <w:tcPr>
            <w:tcW w:w="2891" w:type="dxa"/>
            <w:vAlign w:val="center"/>
          </w:tcPr>
          <w:p>
            <w:pPr>
              <w:pStyle w:val="10"/>
            </w:pPr>
            <w:r>
              <w:t>城区绿化覆盖率高于上一年度。</w:t>
            </w:r>
          </w:p>
        </w:tc>
        <w:tc>
          <w:tcPr>
            <w:tcW w:w="1276" w:type="dxa"/>
            <w:vAlign w:val="center"/>
          </w:tcPr>
          <w:p>
            <w:pPr>
              <w:pStyle w:val="10"/>
              <w:rPr>
                <w:lang w:eastAsia="zh-CN"/>
              </w:rPr>
            </w:pPr>
            <w:r>
              <w:rPr>
                <w:rFonts w:hint="eastAsia"/>
                <w:lang w:eastAsia="zh-CN"/>
              </w:rPr>
              <w:t>同比增加</w:t>
            </w:r>
          </w:p>
        </w:tc>
        <w:tc>
          <w:tcPr>
            <w:tcW w:w="1843" w:type="dxa"/>
            <w:vAlign w:val="center"/>
          </w:tcPr>
          <w:p>
            <w:pPr>
              <w:pStyle w:val="10"/>
            </w:pPr>
            <w:r>
              <w:t>历史标准，参照上年度完成情况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市民满意度</w:t>
            </w:r>
          </w:p>
        </w:tc>
        <w:tc>
          <w:tcPr>
            <w:tcW w:w="2891" w:type="dxa"/>
            <w:vAlign w:val="center"/>
          </w:tcPr>
          <w:p>
            <w:pPr>
              <w:pStyle w:val="10"/>
            </w:pPr>
            <w:r>
              <w:t>改善群众身边环境，经问卷调查市民满意率达到90%以上</w:t>
            </w:r>
          </w:p>
        </w:tc>
        <w:tc>
          <w:tcPr>
            <w:tcW w:w="1276" w:type="dxa"/>
            <w:vAlign w:val="center"/>
          </w:tcPr>
          <w:p>
            <w:pPr>
              <w:pStyle w:val="10"/>
            </w:pPr>
            <w:r>
              <w:t>≥90%</w:t>
            </w:r>
          </w:p>
        </w:tc>
        <w:tc>
          <w:tcPr>
            <w:tcW w:w="1843" w:type="dxa"/>
            <w:vAlign w:val="center"/>
          </w:tcPr>
          <w:p>
            <w:pPr>
              <w:pStyle w:val="10"/>
            </w:pPr>
            <w:r>
              <w:t>历史标准，参照上年度完成情况</w:t>
            </w:r>
          </w:p>
        </w:tc>
      </w:tr>
    </w:tbl>
    <w:p>
      <w:pPr>
        <w:sectPr>
          <w:pgSz w:w="11900" w:h="16840"/>
          <w:pgMar w:top="1984" w:right="1304" w:bottom="1134" w:left="1304" w:header="720" w:footer="720" w:gutter="0"/>
          <w:pgNumType w:fmt="numberInDash"/>
          <w:cols w:space="720" w:num="1"/>
        </w:sectPr>
      </w:pPr>
    </w:p>
    <w:p>
      <w:pPr>
        <w:jc w:val="both"/>
      </w:pPr>
    </w:p>
    <w:p>
      <w:pPr>
        <w:jc w:val="center"/>
      </w:pPr>
      <w:r>
        <w:rPr>
          <w:rFonts w:ascii="方正仿宋_GBK" w:hAnsi="方正仿宋_GBK" w:eastAsia="方正仿宋_GBK" w:cs="方正仿宋_GBK"/>
          <w:color w:val="000000"/>
          <w:sz w:val="28"/>
        </w:rPr>
        <w:t xml:space="preserve"> </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704001青岛市园林和林业局本级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37020023P04000210047U</w:t>
            </w:r>
          </w:p>
        </w:tc>
        <w:tc>
          <w:tcPr>
            <w:tcW w:w="1587" w:type="dxa"/>
            <w:vAlign w:val="center"/>
          </w:tcPr>
          <w:p>
            <w:pPr>
              <w:pStyle w:val="9"/>
            </w:pPr>
            <w:r>
              <w:t>项目名称</w:t>
            </w:r>
          </w:p>
        </w:tc>
        <w:tc>
          <w:tcPr>
            <w:tcW w:w="4422" w:type="dxa"/>
            <w:gridSpan w:val="3"/>
            <w:vAlign w:val="center"/>
          </w:tcPr>
          <w:p>
            <w:pPr>
              <w:pStyle w:val="10"/>
            </w:pPr>
            <w:r>
              <w:t>市属公园绿化管护专项资金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4980.00</w:t>
            </w:r>
          </w:p>
        </w:tc>
        <w:tc>
          <w:tcPr>
            <w:tcW w:w="1587" w:type="dxa"/>
            <w:vAlign w:val="center"/>
          </w:tcPr>
          <w:p>
            <w:pPr>
              <w:pStyle w:val="9"/>
            </w:pPr>
            <w:r>
              <w:t>其中：财政    资金</w:t>
            </w:r>
          </w:p>
        </w:tc>
        <w:tc>
          <w:tcPr>
            <w:tcW w:w="1304" w:type="dxa"/>
            <w:vAlign w:val="center"/>
          </w:tcPr>
          <w:p>
            <w:pPr>
              <w:pStyle w:val="10"/>
            </w:pPr>
            <w:r>
              <w:t>4980.00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做好各项绿地养护工作、公厕维护工作、安保工作、动物管理工作等，有效保护公园绿地种质资源，保障人员经费，保证各项工作顺利有序开展。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1000.00</w:t>
            </w:r>
          </w:p>
        </w:tc>
        <w:tc>
          <w:tcPr>
            <w:tcW w:w="1587" w:type="dxa"/>
            <w:vAlign w:val="center"/>
          </w:tcPr>
          <w:p>
            <w:pPr>
              <w:pStyle w:val="11"/>
            </w:pPr>
            <w:r>
              <w:t>2000.00</w:t>
            </w:r>
          </w:p>
        </w:tc>
        <w:tc>
          <w:tcPr>
            <w:tcW w:w="1304" w:type="dxa"/>
            <w:vAlign w:val="center"/>
          </w:tcPr>
          <w:p>
            <w:pPr>
              <w:pStyle w:val="11"/>
            </w:pPr>
            <w:r>
              <w:t>3000.00</w:t>
            </w:r>
          </w:p>
        </w:tc>
        <w:tc>
          <w:tcPr>
            <w:tcW w:w="3118" w:type="dxa"/>
            <w:gridSpan w:val="2"/>
            <w:vAlign w:val="center"/>
          </w:tcPr>
          <w:p>
            <w:pPr>
              <w:pStyle w:val="11"/>
            </w:pPr>
            <w:r>
              <w:t>4980.00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做好各项绿地养护工作、公厕维护工作、安保工作、动物管理工作等，有效保护公园绿地种质资源，保障人员经费，保证各项工作顺利有序开展。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市属公园绿化管护项目预算控制数</w:t>
            </w:r>
          </w:p>
        </w:tc>
        <w:tc>
          <w:tcPr>
            <w:tcW w:w="2891" w:type="dxa"/>
            <w:vAlign w:val="center"/>
          </w:tcPr>
          <w:p>
            <w:pPr>
              <w:pStyle w:val="10"/>
            </w:pPr>
            <w:r>
              <w:t>市属公园绿化管护项目预算控制数</w:t>
            </w:r>
          </w:p>
        </w:tc>
        <w:tc>
          <w:tcPr>
            <w:tcW w:w="1276" w:type="dxa"/>
            <w:vAlign w:val="center"/>
          </w:tcPr>
          <w:p>
            <w:pPr>
              <w:pStyle w:val="10"/>
            </w:pPr>
            <w:r>
              <w:t>≤4980万元</w:t>
            </w:r>
          </w:p>
        </w:tc>
        <w:tc>
          <w:tcPr>
            <w:tcW w:w="1843" w:type="dxa"/>
            <w:vAlign w:val="center"/>
          </w:tcPr>
          <w:p>
            <w:pPr>
              <w:pStyle w:val="10"/>
            </w:pPr>
            <w:r>
              <w:t>市级公园中心2023年度工作目标任务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绿地养护面积</w:t>
            </w:r>
          </w:p>
        </w:tc>
        <w:tc>
          <w:tcPr>
            <w:tcW w:w="2891" w:type="dxa"/>
            <w:vAlign w:val="center"/>
          </w:tcPr>
          <w:p>
            <w:pPr>
              <w:pStyle w:val="10"/>
            </w:pPr>
            <w:r>
              <w:t>绿地养护面积</w:t>
            </w:r>
          </w:p>
        </w:tc>
        <w:tc>
          <w:tcPr>
            <w:tcW w:w="1276" w:type="dxa"/>
            <w:vAlign w:val="center"/>
          </w:tcPr>
          <w:p>
            <w:pPr>
              <w:pStyle w:val="10"/>
            </w:pPr>
            <w:r>
              <w:t>3公顷</w:t>
            </w:r>
          </w:p>
        </w:tc>
        <w:tc>
          <w:tcPr>
            <w:tcW w:w="1843" w:type="dxa"/>
            <w:vAlign w:val="center"/>
          </w:tcPr>
          <w:p>
            <w:pPr>
              <w:pStyle w:val="10"/>
            </w:pPr>
            <w:r>
              <w:t>《城市维护相关行业养护经费指导意见》（青建城字〔2022〕9号）</w:t>
            </w:r>
          </w:p>
          <w:p>
            <w:pPr>
              <w:pStyle w:val="10"/>
            </w:pPr>
            <w:r>
              <w:t>《青岛市人民政府关于加强城市维护资金管理的通知》（青政发【2001】108号文）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维护公厕数量</w:t>
            </w:r>
          </w:p>
        </w:tc>
        <w:tc>
          <w:tcPr>
            <w:tcW w:w="2891" w:type="dxa"/>
            <w:vAlign w:val="center"/>
          </w:tcPr>
          <w:p>
            <w:pPr>
              <w:pStyle w:val="10"/>
            </w:pPr>
            <w:r>
              <w:t>维护公厕数量</w:t>
            </w:r>
          </w:p>
        </w:tc>
        <w:tc>
          <w:tcPr>
            <w:tcW w:w="1276" w:type="dxa"/>
            <w:vAlign w:val="center"/>
          </w:tcPr>
          <w:p>
            <w:pPr>
              <w:pStyle w:val="10"/>
            </w:pPr>
            <w:r>
              <w:t>5座</w:t>
            </w:r>
          </w:p>
        </w:tc>
        <w:tc>
          <w:tcPr>
            <w:tcW w:w="1843" w:type="dxa"/>
            <w:vAlign w:val="center"/>
          </w:tcPr>
          <w:p>
            <w:pPr>
              <w:pStyle w:val="10"/>
            </w:pPr>
            <w:r>
              <w:t>《全国园林绿化养护概算定额》ZYA2(II-21-2018)。</w:t>
            </w:r>
          </w:p>
          <w:p>
            <w:pPr>
              <w:pStyle w:val="10"/>
            </w:pPr>
            <w:r>
              <w:t>《青岛市人民政府关于加强城市维护资金管理的通知》（青政发【2001】108号文）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购买第三方安保服务</w:t>
            </w:r>
          </w:p>
        </w:tc>
        <w:tc>
          <w:tcPr>
            <w:tcW w:w="2891" w:type="dxa"/>
            <w:vAlign w:val="center"/>
          </w:tcPr>
          <w:p>
            <w:pPr>
              <w:pStyle w:val="10"/>
            </w:pPr>
            <w:r>
              <w:t>海泊河公园园区的安全保卫工作，保障公园正常运转</w:t>
            </w:r>
          </w:p>
        </w:tc>
        <w:tc>
          <w:tcPr>
            <w:tcW w:w="1276" w:type="dxa"/>
            <w:vAlign w:val="center"/>
          </w:tcPr>
          <w:p>
            <w:pPr>
              <w:pStyle w:val="10"/>
            </w:pPr>
            <w:r>
              <w:t>1个</w:t>
            </w:r>
          </w:p>
        </w:tc>
        <w:tc>
          <w:tcPr>
            <w:tcW w:w="1843"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rPr>
                <w:lang w:eastAsia="zh-CN"/>
              </w:rPr>
            </w:pPr>
            <w:r>
              <w:rPr>
                <w:rFonts w:hint="eastAsia"/>
                <w:lang w:eastAsia="zh-CN"/>
              </w:rPr>
              <w:t>质量指标</w:t>
            </w:r>
          </w:p>
        </w:tc>
        <w:tc>
          <w:tcPr>
            <w:tcW w:w="1332" w:type="dxa"/>
            <w:vAlign w:val="center"/>
          </w:tcPr>
          <w:p>
            <w:pPr>
              <w:pStyle w:val="10"/>
              <w:rPr>
                <w:lang w:eastAsia="zh-CN"/>
              </w:rPr>
            </w:pPr>
            <w:r>
              <w:rPr>
                <w:rFonts w:hint="eastAsia"/>
                <w:lang w:eastAsia="zh-CN"/>
              </w:rPr>
              <w:t>公园正常运转率</w:t>
            </w:r>
          </w:p>
        </w:tc>
        <w:tc>
          <w:tcPr>
            <w:tcW w:w="2891" w:type="dxa"/>
            <w:vAlign w:val="center"/>
          </w:tcPr>
          <w:p>
            <w:pPr>
              <w:pStyle w:val="10"/>
            </w:pPr>
            <w:r>
              <w:rPr>
                <w:rFonts w:hint="eastAsia"/>
                <w:lang w:eastAsia="zh-CN"/>
              </w:rPr>
              <w:t>公园正常运转情况</w:t>
            </w:r>
          </w:p>
        </w:tc>
        <w:tc>
          <w:tcPr>
            <w:tcW w:w="1276" w:type="dxa"/>
            <w:vAlign w:val="center"/>
          </w:tcPr>
          <w:p>
            <w:pPr>
              <w:pStyle w:val="10"/>
              <w:rPr>
                <w:lang w:eastAsia="zh-CN"/>
              </w:rPr>
            </w:pPr>
            <w:r>
              <w:rPr>
                <w:rFonts w:hint="eastAsia"/>
                <w:lang w:eastAsia="zh-CN"/>
              </w:rPr>
              <w:t>100%</w:t>
            </w:r>
          </w:p>
        </w:tc>
        <w:tc>
          <w:tcPr>
            <w:tcW w:w="1843" w:type="dxa"/>
            <w:vAlign w:val="center"/>
          </w:tcPr>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rPr>
                <w:lang w:eastAsia="zh-CN"/>
              </w:rPr>
            </w:pPr>
            <w:r>
              <w:t>园区安保服务考核合格</w:t>
            </w:r>
            <w:r>
              <w:rPr>
                <w:rFonts w:hint="eastAsia"/>
                <w:lang w:eastAsia="zh-CN"/>
              </w:rPr>
              <w:t>率</w:t>
            </w:r>
          </w:p>
        </w:tc>
        <w:tc>
          <w:tcPr>
            <w:tcW w:w="2891" w:type="dxa"/>
            <w:vAlign w:val="center"/>
          </w:tcPr>
          <w:p>
            <w:pPr>
              <w:pStyle w:val="10"/>
              <w:rPr>
                <w:lang w:eastAsia="zh-CN"/>
              </w:rPr>
            </w:pPr>
            <w:r>
              <w:t>园区安保服务考核合格</w:t>
            </w:r>
            <w:r>
              <w:rPr>
                <w:rFonts w:hint="eastAsia"/>
                <w:lang w:eastAsia="zh-CN"/>
              </w:rPr>
              <w:t>情况</w:t>
            </w:r>
          </w:p>
        </w:tc>
        <w:tc>
          <w:tcPr>
            <w:tcW w:w="1276" w:type="dxa"/>
            <w:vAlign w:val="center"/>
          </w:tcPr>
          <w:p>
            <w:pPr>
              <w:pStyle w:val="10"/>
            </w:pPr>
            <w:r>
              <w:t>100%</w:t>
            </w:r>
          </w:p>
        </w:tc>
        <w:tc>
          <w:tcPr>
            <w:tcW w:w="1843"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绿地养护完成</w:t>
            </w:r>
            <w:r>
              <w:rPr>
                <w:rFonts w:hint="eastAsia"/>
                <w:lang w:eastAsia="zh-CN"/>
              </w:rPr>
              <w:t>及时率</w:t>
            </w:r>
          </w:p>
        </w:tc>
        <w:tc>
          <w:tcPr>
            <w:tcW w:w="2891" w:type="dxa"/>
            <w:vAlign w:val="center"/>
          </w:tcPr>
          <w:p>
            <w:pPr>
              <w:pStyle w:val="10"/>
            </w:pPr>
            <w:r>
              <w:t>绿地养护完成</w:t>
            </w:r>
            <w:r>
              <w:rPr>
                <w:rFonts w:hint="eastAsia"/>
                <w:lang w:eastAsia="zh-CN"/>
              </w:rPr>
              <w:t>及时率</w:t>
            </w:r>
          </w:p>
        </w:tc>
        <w:tc>
          <w:tcPr>
            <w:tcW w:w="1276" w:type="dxa"/>
            <w:vAlign w:val="center"/>
          </w:tcPr>
          <w:p>
            <w:pPr>
              <w:pStyle w:val="10"/>
            </w:pPr>
            <w:r>
              <w:rPr>
                <w:rFonts w:hint="eastAsia"/>
                <w:lang w:eastAsia="zh-CN"/>
              </w:rPr>
              <w:t>100%</w:t>
            </w:r>
          </w:p>
        </w:tc>
        <w:tc>
          <w:tcPr>
            <w:tcW w:w="1843" w:type="dxa"/>
            <w:vAlign w:val="center"/>
          </w:tcPr>
          <w:p>
            <w:pPr>
              <w:pStyle w:val="10"/>
            </w:pPr>
            <w:r>
              <w:t>市级公园中心2023年度工作目标任务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提升对游客们的服务质量</w:t>
            </w:r>
          </w:p>
        </w:tc>
        <w:tc>
          <w:tcPr>
            <w:tcW w:w="2891" w:type="dxa"/>
            <w:vAlign w:val="center"/>
          </w:tcPr>
          <w:p>
            <w:pPr>
              <w:pStyle w:val="10"/>
            </w:pPr>
            <w:r>
              <w:t>通过园区精细化管理和景观再造，提升对游客们的服务质量</w:t>
            </w:r>
          </w:p>
        </w:tc>
        <w:tc>
          <w:tcPr>
            <w:tcW w:w="1276" w:type="dxa"/>
            <w:vAlign w:val="center"/>
          </w:tcPr>
          <w:p>
            <w:pPr>
              <w:pStyle w:val="10"/>
              <w:rPr>
                <w:lang w:eastAsia="zh-CN"/>
              </w:rPr>
            </w:pPr>
            <w:r>
              <w:rPr>
                <w:rFonts w:hint="eastAsia"/>
                <w:lang w:eastAsia="zh-CN"/>
              </w:rPr>
              <w:t>效果显著</w:t>
            </w:r>
          </w:p>
        </w:tc>
        <w:tc>
          <w:tcPr>
            <w:tcW w:w="1843" w:type="dxa"/>
            <w:vAlign w:val="center"/>
          </w:tcPr>
          <w:p>
            <w:pPr>
              <w:pStyle w:val="10"/>
            </w:pPr>
            <w:r>
              <w:t>青编办字〔2021〕25号关于印发《青岛市市级公园管理服务中心机构职能编制规定》等3个事业单位机构职能编制规定的通知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保护公园绿地种质资源</w:t>
            </w:r>
          </w:p>
        </w:tc>
        <w:tc>
          <w:tcPr>
            <w:tcW w:w="2891" w:type="dxa"/>
            <w:vAlign w:val="center"/>
          </w:tcPr>
          <w:p>
            <w:pPr>
              <w:pStyle w:val="10"/>
            </w:pPr>
            <w:r>
              <w:t>保护现有资源的情况下，通过引种驯化，增加种质资源</w:t>
            </w:r>
          </w:p>
        </w:tc>
        <w:tc>
          <w:tcPr>
            <w:tcW w:w="1276" w:type="dxa"/>
            <w:vAlign w:val="center"/>
          </w:tcPr>
          <w:p>
            <w:pPr>
              <w:pStyle w:val="10"/>
              <w:rPr>
                <w:lang w:eastAsia="zh-CN"/>
              </w:rPr>
            </w:pPr>
            <w:r>
              <w:rPr>
                <w:rFonts w:hint="eastAsia"/>
                <w:lang w:eastAsia="zh-CN"/>
              </w:rPr>
              <w:t>有效保护</w:t>
            </w:r>
          </w:p>
        </w:tc>
        <w:tc>
          <w:tcPr>
            <w:tcW w:w="1843" w:type="dxa"/>
            <w:vAlign w:val="center"/>
          </w:tcPr>
          <w:p>
            <w:pPr>
              <w:pStyle w:val="10"/>
            </w:pPr>
            <w:r>
              <w:t>同上，市级公园中心职能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游客满意度</w:t>
            </w:r>
          </w:p>
        </w:tc>
        <w:tc>
          <w:tcPr>
            <w:tcW w:w="2891" w:type="dxa"/>
            <w:vAlign w:val="center"/>
          </w:tcPr>
          <w:p>
            <w:pPr>
              <w:pStyle w:val="10"/>
            </w:pPr>
            <w:r>
              <w:t>园区景观建设，绿地养护</w:t>
            </w:r>
          </w:p>
        </w:tc>
        <w:tc>
          <w:tcPr>
            <w:tcW w:w="1276" w:type="dxa"/>
            <w:vAlign w:val="center"/>
          </w:tcPr>
          <w:p>
            <w:pPr>
              <w:pStyle w:val="10"/>
            </w:pPr>
            <w:r>
              <w:t>≥90%</w:t>
            </w:r>
          </w:p>
        </w:tc>
        <w:tc>
          <w:tcPr>
            <w:tcW w:w="1843" w:type="dxa"/>
            <w:vAlign w:val="center"/>
          </w:tcPr>
          <w:p>
            <w:pPr>
              <w:pStyle w:val="10"/>
            </w:pPr>
            <w:r>
              <w:t>同上，市级公园中心职能</w:t>
            </w:r>
          </w:p>
        </w:tc>
      </w:tr>
    </w:tbl>
    <w:p>
      <w:pPr>
        <w:sectPr>
          <w:pgSz w:w="11900" w:h="16840"/>
          <w:pgMar w:top="1984" w:right="1304" w:bottom="1134" w:left="1304" w:header="720" w:footer="720" w:gutter="0"/>
          <w:pgNumType w:fmt="numberInDash"/>
          <w:cols w:space="720" w:num="1"/>
        </w:sectPr>
      </w:pPr>
    </w:p>
    <w:p>
      <w:pPr>
        <w:numPr>
          <w:ilvl w:val="0"/>
          <w:numId w:val="0"/>
        </w:numPr>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3.海洋与渔业发展资金</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703001青岛市海洋发展局本级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37020023P050008100061</w:t>
            </w:r>
          </w:p>
        </w:tc>
        <w:tc>
          <w:tcPr>
            <w:tcW w:w="1587" w:type="dxa"/>
            <w:vAlign w:val="center"/>
          </w:tcPr>
          <w:p>
            <w:pPr>
              <w:pStyle w:val="9"/>
            </w:pPr>
            <w:r>
              <w:t>项目名称</w:t>
            </w:r>
          </w:p>
        </w:tc>
        <w:tc>
          <w:tcPr>
            <w:tcW w:w="4422" w:type="dxa"/>
            <w:gridSpan w:val="3"/>
            <w:vAlign w:val="center"/>
          </w:tcPr>
          <w:p>
            <w:pPr>
              <w:pStyle w:val="10"/>
            </w:pPr>
            <w:r>
              <w:t>2023年青岛市浒苔综合治理项目资金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5000.00</w:t>
            </w:r>
          </w:p>
        </w:tc>
        <w:tc>
          <w:tcPr>
            <w:tcW w:w="1587" w:type="dxa"/>
            <w:vAlign w:val="center"/>
          </w:tcPr>
          <w:p>
            <w:pPr>
              <w:pStyle w:val="9"/>
            </w:pPr>
            <w:r>
              <w:t>其中：财政    资金</w:t>
            </w:r>
          </w:p>
        </w:tc>
        <w:tc>
          <w:tcPr>
            <w:tcW w:w="1304" w:type="dxa"/>
            <w:vAlign w:val="center"/>
          </w:tcPr>
          <w:p>
            <w:pPr>
              <w:pStyle w:val="10"/>
            </w:pPr>
            <w:r>
              <w:t>5000.00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及时预警，科学应对，通过采取前置打捞、海域拦截、近海打捞和上岸清理等处置措施，最大程度减少浒苔向近岸漂移和扩散量，实现浒苔不上岸、少上岸，进一步提高浒苔资源化利用率，有效降低浒苔对近岸海洋生态环境、滨海旅游、居民生产生活和涉海产业的影响，保证我市夏季旅游和居民生产生活的正常进行。预计打捞海上浒苔3万吨，租用海上处置平台2艘，打捞船80艘，海洋灾害影响期间每天提供一次海洋灾害预警预报信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5000.00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2007年以来，浒苔绿潮每年在黄海海域周期性暴发，成为常态化发生的海洋生态灾害，对我市造成了严重影响。市委、市政府深入贯彻落实习近平生态文明思想，高度重视浒苔灾害应对处置工作，将其作为海洋灾害应急管理常态化工作抓紧抓实，按照《青岛市海洋大型藻类灾害应急预案》要求，坚持立足于早、关口前置、多重屏障、综合防治的工作思路，强化浒苔监测预测，做好人员动员、物资储备，根据浒苔灾害的发生、发展趋势，发布预警信息，启动应急响应，通过采取前置打捞、海域拦截、近海打捞和上岸清理等处置措施，最大程度减少浒苔向近岸漂移和扩散量，实现浒苔不上岸、少上岸，进一步提高浒苔资源化利用率，有效降低浒苔对近岸海洋生态环境、滨海旅游、居民生产生活和涉海产业的影响。</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浒苔综合治理费用</w:t>
            </w:r>
          </w:p>
        </w:tc>
        <w:tc>
          <w:tcPr>
            <w:tcW w:w="2891" w:type="dxa"/>
            <w:vAlign w:val="center"/>
          </w:tcPr>
          <w:p>
            <w:pPr>
              <w:pStyle w:val="10"/>
            </w:pPr>
            <w:r>
              <w:t>浒苔综合治理费用</w:t>
            </w:r>
          </w:p>
        </w:tc>
        <w:tc>
          <w:tcPr>
            <w:tcW w:w="1276" w:type="dxa"/>
            <w:vAlign w:val="center"/>
          </w:tcPr>
          <w:p>
            <w:pPr>
              <w:pStyle w:val="10"/>
            </w:pPr>
            <w:r>
              <w:t>≤5000万元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打捞浒苔数量</w:t>
            </w:r>
          </w:p>
        </w:tc>
        <w:tc>
          <w:tcPr>
            <w:tcW w:w="2891" w:type="dxa"/>
            <w:vAlign w:val="center"/>
          </w:tcPr>
          <w:p>
            <w:pPr>
              <w:pStyle w:val="10"/>
            </w:pPr>
            <w:r>
              <w:t>打捞浒苔数量</w:t>
            </w:r>
          </w:p>
        </w:tc>
        <w:tc>
          <w:tcPr>
            <w:tcW w:w="1276" w:type="dxa"/>
            <w:vAlign w:val="center"/>
          </w:tcPr>
          <w:p>
            <w:pPr>
              <w:pStyle w:val="10"/>
            </w:pPr>
            <w:r>
              <w:t>≥2万吨</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租用海上处置平台数量</w:t>
            </w:r>
          </w:p>
        </w:tc>
        <w:tc>
          <w:tcPr>
            <w:tcW w:w="2891" w:type="dxa"/>
            <w:vAlign w:val="center"/>
          </w:tcPr>
          <w:p>
            <w:pPr>
              <w:pStyle w:val="10"/>
            </w:pPr>
            <w:r>
              <w:t>租用海上处置平台数量</w:t>
            </w:r>
          </w:p>
        </w:tc>
        <w:tc>
          <w:tcPr>
            <w:tcW w:w="1276" w:type="dxa"/>
            <w:vAlign w:val="center"/>
          </w:tcPr>
          <w:p>
            <w:pPr>
              <w:pStyle w:val="10"/>
            </w:pPr>
            <w:r>
              <w:t>≥2艘</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打捞船质量合格率</w:t>
            </w:r>
          </w:p>
        </w:tc>
        <w:tc>
          <w:tcPr>
            <w:tcW w:w="2891" w:type="dxa"/>
            <w:vAlign w:val="center"/>
          </w:tcPr>
          <w:p>
            <w:pPr>
              <w:pStyle w:val="10"/>
            </w:pPr>
            <w:r>
              <w:t>打捞船质量合格率</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海上处置平台正常运转率</w:t>
            </w:r>
          </w:p>
        </w:tc>
        <w:tc>
          <w:tcPr>
            <w:tcW w:w="2891" w:type="dxa"/>
            <w:vAlign w:val="center"/>
          </w:tcPr>
          <w:p>
            <w:pPr>
              <w:pStyle w:val="10"/>
            </w:pPr>
            <w:r>
              <w:t>海上处置平台正常运转率</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浒苔打捞完成时间</w:t>
            </w:r>
          </w:p>
        </w:tc>
        <w:tc>
          <w:tcPr>
            <w:tcW w:w="2891" w:type="dxa"/>
            <w:vAlign w:val="center"/>
          </w:tcPr>
          <w:p>
            <w:pPr>
              <w:pStyle w:val="10"/>
            </w:pPr>
            <w:r>
              <w:t>浒苔打捞完成时间</w:t>
            </w:r>
          </w:p>
        </w:tc>
        <w:tc>
          <w:tcPr>
            <w:tcW w:w="1276" w:type="dxa"/>
            <w:vAlign w:val="center"/>
          </w:tcPr>
          <w:p>
            <w:pPr>
              <w:pStyle w:val="10"/>
            </w:pPr>
            <w:r>
              <w:t>≤11月</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rPr>
                <w:rFonts w:hint="eastAsia"/>
                <w:lang w:eastAsia="zh-CN"/>
              </w:rPr>
              <w:t>生态</w:t>
            </w:r>
            <w:r>
              <w:t>效益指标</w:t>
            </w:r>
          </w:p>
        </w:tc>
        <w:tc>
          <w:tcPr>
            <w:tcW w:w="1332" w:type="dxa"/>
            <w:vAlign w:val="center"/>
          </w:tcPr>
          <w:p>
            <w:pPr>
              <w:pStyle w:val="10"/>
            </w:pPr>
            <w:r>
              <w:t>浒苔到岸率</w:t>
            </w:r>
          </w:p>
        </w:tc>
        <w:tc>
          <w:tcPr>
            <w:tcW w:w="2891" w:type="dxa"/>
            <w:vAlign w:val="center"/>
          </w:tcPr>
          <w:p>
            <w:pPr>
              <w:pStyle w:val="10"/>
            </w:pPr>
            <w:r>
              <w:t>浒苔到岸率</w:t>
            </w:r>
          </w:p>
        </w:tc>
        <w:tc>
          <w:tcPr>
            <w:tcW w:w="1276" w:type="dxa"/>
            <w:vAlign w:val="center"/>
          </w:tcPr>
          <w:p>
            <w:pPr>
              <w:pStyle w:val="10"/>
            </w:pPr>
            <w:r>
              <w:t>≤50%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浒苔资源化利用率</w:t>
            </w:r>
          </w:p>
        </w:tc>
        <w:tc>
          <w:tcPr>
            <w:tcW w:w="2891" w:type="dxa"/>
            <w:vAlign w:val="center"/>
          </w:tcPr>
          <w:p>
            <w:pPr>
              <w:pStyle w:val="10"/>
            </w:pPr>
            <w:r>
              <w:t>浒苔资源化利用率</w:t>
            </w:r>
          </w:p>
        </w:tc>
        <w:tc>
          <w:tcPr>
            <w:tcW w:w="1276" w:type="dxa"/>
            <w:vAlign w:val="center"/>
          </w:tcPr>
          <w:p>
            <w:pPr>
              <w:pStyle w:val="10"/>
            </w:pPr>
            <w:r>
              <w:t>≥20%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受益群体满意度</w:t>
            </w:r>
          </w:p>
        </w:tc>
        <w:tc>
          <w:tcPr>
            <w:tcW w:w="2891" w:type="dxa"/>
            <w:vAlign w:val="center"/>
          </w:tcPr>
          <w:p>
            <w:pPr>
              <w:pStyle w:val="10"/>
            </w:pPr>
            <w:r>
              <w:t>受益群体满意度</w:t>
            </w:r>
          </w:p>
        </w:tc>
        <w:tc>
          <w:tcPr>
            <w:tcW w:w="1276" w:type="dxa"/>
            <w:vAlign w:val="center"/>
          </w:tcPr>
          <w:p>
            <w:pPr>
              <w:pStyle w:val="10"/>
            </w:pPr>
            <w:r>
              <w:t>≥90%</w:t>
            </w:r>
          </w:p>
        </w:tc>
        <w:tc>
          <w:tcPr>
            <w:tcW w:w="1843" w:type="dxa"/>
            <w:vAlign w:val="center"/>
          </w:tcPr>
          <w:p>
            <w:pPr>
              <w:pStyle w:val="10"/>
            </w:pPr>
            <w:r>
              <w:t>计划标准</w:t>
            </w:r>
          </w:p>
        </w:tc>
      </w:tr>
    </w:tbl>
    <w:p>
      <w:pPr>
        <w:sectPr>
          <w:footerReference r:id="rId7" w:type="default"/>
          <w:footerReference r:id="rId8" w:type="even"/>
          <w:pgSz w:w="11900" w:h="16840"/>
          <w:pgMar w:top="1984" w:right="1304" w:bottom="1134" w:left="1304" w:header="720" w:footer="720" w:gutter="0"/>
          <w:pgNumType w:fmt="numberInDash"/>
          <w:cols w:space="720" w:num="1"/>
        </w:sectPr>
      </w:pPr>
    </w:p>
    <w:p>
      <w:pPr>
        <w:jc w:val="both"/>
      </w:pPr>
      <w:r>
        <w:rPr>
          <w:rFonts w:ascii="方正仿宋_GBK" w:hAnsi="方正仿宋_GBK" w:eastAsia="方正仿宋_GBK" w:cs="方正仿宋_GBK"/>
          <w:color w:val="000000"/>
          <w:sz w:val="28"/>
        </w:rPr>
        <w:t xml:space="preserve"> </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703001青岛市海洋发展局本级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37020023P05000310009F</w:t>
            </w:r>
          </w:p>
        </w:tc>
        <w:tc>
          <w:tcPr>
            <w:tcW w:w="1587" w:type="dxa"/>
            <w:vAlign w:val="center"/>
          </w:tcPr>
          <w:p>
            <w:pPr>
              <w:pStyle w:val="9"/>
            </w:pPr>
            <w:r>
              <w:t>项目名称</w:t>
            </w:r>
          </w:p>
        </w:tc>
        <w:tc>
          <w:tcPr>
            <w:tcW w:w="4422" w:type="dxa"/>
            <w:gridSpan w:val="3"/>
            <w:vAlign w:val="center"/>
          </w:tcPr>
          <w:p>
            <w:pPr>
              <w:pStyle w:val="10"/>
            </w:pPr>
            <w:r>
              <w:t>2023政策性保险保费资金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1606.00</w:t>
            </w:r>
          </w:p>
        </w:tc>
        <w:tc>
          <w:tcPr>
            <w:tcW w:w="1587" w:type="dxa"/>
            <w:vAlign w:val="center"/>
          </w:tcPr>
          <w:p>
            <w:pPr>
              <w:pStyle w:val="9"/>
            </w:pPr>
            <w:r>
              <w:t>其中：财政    资金</w:t>
            </w:r>
          </w:p>
        </w:tc>
        <w:tc>
          <w:tcPr>
            <w:tcW w:w="1304" w:type="dxa"/>
            <w:vAlign w:val="center"/>
          </w:tcPr>
          <w:p>
            <w:pPr>
              <w:pStyle w:val="10"/>
            </w:pPr>
            <w:r>
              <w:t>1606.00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继续推行渔业政策性保险工作，将积极的促进和推动和谐渔区的建设。完善渔业保险支持政策，逐步建立政策性渔业保险制度，为渔业生产提供自然灾害风险保障；按照青岛市委、市政府发起的“十五个攻势”的作战方案部署要求，助力现代海洋渔业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1606.00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全市捕捞渔民入保率95%以上，人均保险额达到70万元，保险总额实现100亿元。我市现有海洋渔船10000余艘，渔民1万多人。青岛市渔业，特别是海洋捕捞业，其生产活动领域的特殊性决定了受自然风险因素影响较大，属于投入大、风险高、灾害重的行业，其风险性居农业之首。渔船多、渔民多的特点，海上事故易发率高、求助难度大，因此，渔业安全生产任务重、压力大。特别是由于我市海洋渔业以个体经营为主，承担风险能力较差，一旦发生渔业生产事故，渔民不但无力及时恢复生产，而且伤亡人员得不到经济补偿，导致一些渔户出现因灾致贫、因灾返贫，同时，雇员及其家属的上访，也不同程度地影响了社会的稳定。我局已经推行了十多年的渔业政策性保险工作，取得了阶段性成果，对和谐渔区的建设起到了积极的促进和推动作用。渔业互保事业的发展，一方面为大批渔民承载了风险保障，防范和化解了渔业生产风险；另一方面又促进了渔业经济增长和渔民增产增收。并且减轻了各级政府压力，促进了政府职能的转变。渔业互保通过及时理赔，使船东及伤亡者家属得到应有的经济补偿，并协助政府做好渔业安全生产和灾害救济等工作大大减轻了各级政府的压力。</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渔民人身保险补贴资金</w:t>
            </w:r>
          </w:p>
        </w:tc>
        <w:tc>
          <w:tcPr>
            <w:tcW w:w="2891" w:type="dxa"/>
            <w:vAlign w:val="center"/>
          </w:tcPr>
          <w:p>
            <w:pPr>
              <w:pStyle w:val="10"/>
            </w:pPr>
            <w:r>
              <w:t>含雇主责任险、附加医疗险、市内三区渔民补贴</w:t>
            </w:r>
          </w:p>
        </w:tc>
        <w:tc>
          <w:tcPr>
            <w:tcW w:w="1276" w:type="dxa"/>
            <w:vAlign w:val="center"/>
          </w:tcPr>
          <w:p>
            <w:pPr>
              <w:pStyle w:val="10"/>
            </w:pPr>
            <w:r>
              <w:t>≤1300万元</w:t>
            </w:r>
          </w:p>
        </w:tc>
        <w:tc>
          <w:tcPr>
            <w:tcW w:w="1843" w:type="dxa"/>
            <w:vAlign w:val="center"/>
          </w:tcPr>
          <w:p>
            <w:pPr>
              <w:pStyle w:val="10"/>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全市捕捞渔民入保人数</w:t>
            </w:r>
          </w:p>
        </w:tc>
        <w:tc>
          <w:tcPr>
            <w:tcW w:w="2891" w:type="dxa"/>
            <w:vAlign w:val="center"/>
          </w:tcPr>
          <w:p>
            <w:pPr>
              <w:pStyle w:val="10"/>
            </w:pPr>
            <w:r>
              <w:t>考察全市捕捞渔民入保人数情况</w:t>
            </w:r>
          </w:p>
        </w:tc>
        <w:tc>
          <w:tcPr>
            <w:tcW w:w="1276" w:type="dxa"/>
            <w:vAlign w:val="center"/>
          </w:tcPr>
          <w:p>
            <w:pPr>
              <w:pStyle w:val="10"/>
            </w:pPr>
            <w:r>
              <w:t>≥9500人</w:t>
            </w:r>
          </w:p>
        </w:tc>
        <w:tc>
          <w:tcPr>
            <w:tcW w:w="1843" w:type="dxa"/>
            <w:vAlign w:val="center"/>
          </w:tcPr>
          <w:p>
            <w:pPr>
              <w:pStyle w:val="10"/>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捕捞渔船入保数</w:t>
            </w:r>
          </w:p>
        </w:tc>
        <w:tc>
          <w:tcPr>
            <w:tcW w:w="2891" w:type="dxa"/>
            <w:vAlign w:val="center"/>
          </w:tcPr>
          <w:p>
            <w:pPr>
              <w:pStyle w:val="10"/>
            </w:pPr>
            <w:r>
              <w:t>考察全市捕捞渔船入保情况</w:t>
            </w:r>
          </w:p>
        </w:tc>
        <w:tc>
          <w:tcPr>
            <w:tcW w:w="1276" w:type="dxa"/>
            <w:vAlign w:val="center"/>
          </w:tcPr>
          <w:p>
            <w:pPr>
              <w:pStyle w:val="10"/>
            </w:pPr>
            <w:r>
              <w:t>≥500艘</w:t>
            </w:r>
          </w:p>
        </w:tc>
        <w:tc>
          <w:tcPr>
            <w:tcW w:w="1843" w:type="dxa"/>
            <w:vAlign w:val="center"/>
          </w:tcPr>
          <w:p>
            <w:pPr>
              <w:pStyle w:val="10"/>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全市捕捞渔民入保率</w:t>
            </w:r>
          </w:p>
        </w:tc>
        <w:tc>
          <w:tcPr>
            <w:tcW w:w="2891" w:type="dxa"/>
            <w:vAlign w:val="center"/>
          </w:tcPr>
          <w:p>
            <w:pPr>
              <w:pStyle w:val="10"/>
            </w:pPr>
            <w:r>
              <w:t>考察全市捕捞渔民入保情况</w:t>
            </w:r>
          </w:p>
        </w:tc>
        <w:tc>
          <w:tcPr>
            <w:tcW w:w="1276" w:type="dxa"/>
            <w:vAlign w:val="center"/>
          </w:tcPr>
          <w:p>
            <w:pPr>
              <w:pStyle w:val="10"/>
            </w:pPr>
            <w:r>
              <w:t>≥95%</w:t>
            </w:r>
          </w:p>
        </w:tc>
        <w:tc>
          <w:tcPr>
            <w:tcW w:w="1843" w:type="dxa"/>
            <w:vAlign w:val="center"/>
          </w:tcPr>
          <w:p>
            <w:pPr>
              <w:pStyle w:val="10"/>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捕捞渔船入保率</w:t>
            </w:r>
          </w:p>
        </w:tc>
        <w:tc>
          <w:tcPr>
            <w:tcW w:w="2891" w:type="dxa"/>
            <w:vAlign w:val="center"/>
          </w:tcPr>
          <w:p>
            <w:pPr>
              <w:pStyle w:val="10"/>
            </w:pPr>
            <w:r>
              <w:t>考察捕捞渔船入保情况</w:t>
            </w:r>
          </w:p>
        </w:tc>
        <w:tc>
          <w:tcPr>
            <w:tcW w:w="1276" w:type="dxa"/>
            <w:vAlign w:val="center"/>
          </w:tcPr>
          <w:p>
            <w:pPr>
              <w:pStyle w:val="10"/>
            </w:pPr>
            <w:r>
              <w:t>≥85%</w:t>
            </w:r>
          </w:p>
        </w:tc>
        <w:tc>
          <w:tcPr>
            <w:tcW w:w="1843" w:type="dxa"/>
            <w:vAlign w:val="center"/>
          </w:tcPr>
          <w:p>
            <w:pPr>
              <w:pStyle w:val="10"/>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缴纳保险完成时间</w:t>
            </w:r>
          </w:p>
        </w:tc>
        <w:tc>
          <w:tcPr>
            <w:tcW w:w="2891" w:type="dxa"/>
            <w:vAlign w:val="center"/>
          </w:tcPr>
          <w:p>
            <w:pPr>
              <w:pStyle w:val="10"/>
            </w:pPr>
            <w:r>
              <w:t>缴纳保险完成时间</w:t>
            </w:r>
          </w:p>
        </w:tc>
        <w:tc>
          <w:tcPr>
            <w:tcW w:w="1276" w:type="dxa"/>
            <w:vAlign w:val="center"/>
          </w:tcPr>
          <w:p>
            <w:pPr>
              <w:pStyle w:val="10"/>
            </w:pPr>
            <w:r>
              <w:t>≤11月</w:t>
            </w:r>
          </w:p>
        </w:tc>
        <w:tc>
          <w:tcPr>
            <w:tcW w:w="1843" w:type="dxa"/>
            <w:vAlign w:val="center"/>
          </w:tcPr>
          <w:p>
            <w:pPr>
              <w:pStyle w:val="10"/>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经济效益指标</w:t>
            </w:r>
          </w:p>
        </w:tc>
        <w:tc>
          <w:tcPr>
            <w:tcW w:w="1332" w:type="dxa"/>
            <w:vAlign w:val="center"/>
          </w:tcPr>
          <w:p>
            <w:pPr>
              <w:pStyle w:val="10"/>
            </w:pPr>
            <w:r>
              <w:t>渔民增收金额</w:t>
            </w:r>
          </w:p>
        </w:tc>
        <w:tc>
          <w:tcPr>
            <w:tcW w:w="2891" w:type="dxa"/>
            <w:vAlign w:val="center"/>
          </w:tcPr>
          <w:p>
            <w:pPr>
              <w:pStyle w:val="10"/>
            </w:pPr>
            <w:r>
              <w:t>考察渔民增收金额</w:t>
            </w:r>
          </w:p>
        </w:tc>
        <w:tc>
          <w:tcPr>
            <w:tcW w:w="1276" w:type="dxa"/>
            <w:vAlign w:val="center"/>
          </w:tcPr>
          <w:p>
            <w:pPr>
              <w:pStyle w:val="10"/>
            </w:pPr>
            <w:r>
              <w:t>≥100万元</w:t>
            </w:r>
          </w:p>
        </w:tc>
        <w:tc>
          <w:tcPr>
            <w:tcW w:w="1843" w:type="dxa"/>
            <w:vAlign w:val="center"/>
          </w:tcPr>
          <w:p>
            <w:pPr>
              <w:pStyle w:val="10"/>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渔民满意度</w:t>
            </w:r>
          </w:p>
        </w:tc>
        <w:tc>
          <w:tcPr>
            <w:tcW w:w="2891" w:type="dxa"/>
            <w:vAlign w:val="center"/>
          </w:tcPr>
          <w:p>
            <w:pPr>
              <w:pStyle w:val="10"/>
            </w:pPr>
            <w:r>
              <w:t>渔民对政策的满意度</w:t>
            </w:r>
          </w:p>
        </w:tc>
        <w:tc>
          <w:tcPr>
            <w:tcW w:w="1276" w:type="dxa"/>
            <w:vAlign w:val="center"/>
          </w:tcPr>
          <w:p>
            <w:pPr>
              <w:pStyle w:val="10"/>
            </w:pPr>
            <w:r>
              <w:t>≥95%</w:t>
            </w:r>
          </w:p>
        </w:tc>
        <w:tc>
          <w:tcPr>
            <w:tcW w:w="1843" w:type="dxa"/>
            <w:vAlign w:val="center"/>
          </w:tcPr>
          <w:p>
            <w:pPr>
              <w:pStyle w:val="10"/>
            </w:pPr>
            <w:r>
              <w:t>计划指标</w:t>
            </w:r>
          </w:p>
        </w:tc>
      </w:tr>
    </w:tbl>
    <w:p>
      <w:pPr>
        <w:sectPr>
          <w:pgSz w:w="11900" w:h="16840"/>
          <w:pgMar w:top="1984" w:right="1304" w:bottom="1134" w:left="1304" w:header="720" w:footer="720" w:gutter="0"/>
          <w:pgNumType w:fmt="numberInDash"/>
          <w:cols w:space="720" w:num="1"/>
        </w:sectPr>
      </w:pPr>
    </w:p>
    <w:p>
      <w:pPr>
        <w:jc w:val="center"/>
      </w:pPr>
      <w:r>
        <w:rPr>
          <w:rFonts w:ascii="方正仿宋_GBK" w:hAnsi="方正仿宋_GBK" w:eastAsia="方正仿宋_GBK" w:cs="方正仿宋_GBK"/>
          <w:color w:val="000000"/>
          <w:sz w:val="28"/>
        </w:rPr>
        <w:t xml:space="preserve"> </w:t>
      </w:r>
    </w:p>
    <w:p>
      <w:pPr>
        <w:numPr>
          <w:ilvl w:val="0"/>
          <w:numId w:val="1"/>
        </w:num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支持经济发展类</w:t>
      </w:r>
    </w:p>
    <w:p>
      <w:pPr>
        <w:widowControl w:val="0"/>
        <w:numPr>
          <w:ilvl w:val="0"/>
          <w:numId w:val="2"/>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科技资金</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201001青岛市科学技术局本级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37020023P060007100171</w:t>
            </w:r>
          </w:p>
        </w:tc>
        <w:tc>
          <w:tcPr>
            <w:tcW w:w="1587" w:type="dxa"/>
            <w:vAlign w:val="center"/>
          </w:tcPr>
          <w:p>
            <w:pPr>
              <w:pStyle w:val="9"/>
            </w:pPr>
            <w:r>
              <w:t>项目名称</w:t>
            </w:r>
          </w:p>
        </w:tc>
        <w:tc>
          <w:tcPr>
            <w:tcW w:w="4422" w:type="dxa"/>
            <w:gridSpan w:val="3"/>
            <w:vAlign w:val="center"/>
          </w:tcPr>
          <w:p>
            <w:pPr>
              <w:pStyle w:val="10"/>
            </w:pPr>
            <w:r>
              <w:t>孵化器建设（标杆孵化器认定奖励-市直）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3440.00</w:t>
            </w:r>
          </w:p>
        </w:tc>
        <w:tc>
          <w:tcPr>
            <w:tcW w:w="1587" w:type="dxa"/>
            <w:vAlign w:val="center"/>
          </w:tcPr>
          <w:p>
            <w:pPr>
              <w:pStyle w:val="9"/>
            </w:pPr>
            <w:r>
              <w:t>其中：财政    资金</w:t>
            </w:r>
          </w:p>
        </w:tc>
        <w:tc>
          <w:tcPr>
            <w:tcW w:w="1304" w:type="dxa"/>
            <w:vAlign w:val="center"/>
          </w:tcPr>
          <w:p>
            <w:pPr>
              <w:pStyle w:val="10"/>
            </w:pPr>
            <w:r>
              <w:t>3440.00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推动科技创新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rPr>
                <w:rFonts w:hint="eastAsia"/>
                <w:lang w:eastAsia="zh-CN"/>
              </w:rP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3440.00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通过项目实施支持项目不少于7项，引进培育企业不少于100家，形成或带动营业收入不少于68亿元，带动税收不少于2.8亿元。</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孵化器股权投资预算控制数</w:t>
            </w:r>
          </w:p>
        </w:tc>
        <w:tc>
          <w:tcPr>
            <w:tcW w:w="2891" w:type="dxa"/>
            <w:vAlign w:val="center"/>
          </w:tcPr>
          <w:p>
            <w:pPr>
              <w:pStyle w:val="10"/>
            </w:pPr>
            <w:r>
              <w:t>反映孵化器股权投资项目预算控制情况</w:t>
            </w:r>
          </w:p>
        </w:tc>
        <w:tc>
          <w:tcPr>
            <w:tcW w:w="1276" w:type="dxa"/>
            <w:vAlign w:val="center"/>
          </w:tcPr>
          <w:p>
            <w:pPr>
              <w:pStyle w:val="10"/>
            </w:pPr>
            <w:r>
              <w:t>≤3440万元</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支持项目数量</w:t>
            </w:r>
          </w:p>
        </w:tc>
        <w:tc>
          <w:tcPr>
            <w:tcW w:w="2891" w:type="dxa"/>
            <w:vAlign w:val="center"/>
          </w:tcPr>
          <w:p>
            <w:pPr>
              <w:pStyle w:val="10"/>
            </w:pPr>
            <w:r>
              <w:t>考察支持项目数量</w:t>
            </w:r>
          </w:p>
        </w:tc>
        <w:tc>
          <w:tcPr>
            <w:tcW w:w="1276" w:type="dxa"/>
            <w:vAlign w:val="center"/>
          </w:tcPr>
          <w:p>
            <w:pPr>
              <w:pStyle w:val="10"/>
            </w:pPr>
            <w:r>
              <w:t>≥7项</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引进/培育企业数量</w:t>
            </w:r>
          </w:p>
        </w:tc>
        <w:tc>
          <w:tcPr>
            <w:tcW w:w="2891" w:type="dxa"/>
            <w:vAlign w:val="center"/>
          </w:tcPr>
          <w:p>
            <w:pPr>
              <w:pStyle w:val="10"/>
            </w:pPr>
            <w:r>
              <w:t>考察引进或培育企业数量</w:t>
            </w:r>
          </w:p>
        </w:tc>
        <w:tc>
          <w:tcPr>
            <w:tcW w:w="1276" w:type="dxa"/>
            <w:vAlign w:val="center"/>
          </w:tcPr>
          <w:p>
            <w:pPr>
              <w:pStyle w:val="10"/>
            </w:pPr>
            <w:r>
              <w:t>≥100家</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培育高新技术企业数量</w:t>
            </w:r>
          </w:p>
        </w:tc>
        <w:tc>
          <w:tcPr>
            <w:tcW w:w="2891" w:type="dxa"/>
            <w:vAlign w:val="center"/>
          </w:tcPr>
          <w:p>
            <w:pPr>
              <w:pStyle w:val="10"/>
            </w:pPr>
            <w:r>
              <w:t>考察培育高新技术企业数量</w:t>
            </w:r>
          </w:p>
        </w:tc>
        <w:tc>
          <w:tcPr>
            <w:tcW w:w="1276" w:type="dxa"/>
            <w:vAlign w:val="center"/>
          </w:tcPr>
          <w:p>
            <w:pPr>
              <w:pStyle w:val="10"/>
            </w:pPr>
            <w:r>
              <w:t>≥25家</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培育科技型中小企业数量</w:t>
            </w:r>
          </w:p>
        </w:tc>
        <w:tc>
          <w:tcPr>
            <w:tcW w:w="2891" w:type="dxa"/>
            <w:vAlign w:val="center"/>
          </w:tcPr>
          <w:p>
            <w:pPr>
              <w:pStyle w:val="10"/>
            </w:pPr>
            <w:r>
              <w:t>考察培育入选国家科技型中小企业信息库数量</w:t>
            </w:r>
          </w:p>
        </w:tc>
        <w:tc>
          <w:tcPr>
            <w:tcW w:w="1276" w:type="dxa"/>
            <w:vAlign w:val="center"/>
          </w:tcPr>
          <w:p>
            <w:pPr>
              <w:pStyle w:val="10"/>
            </w:pPr>
            <w:r>
              <w:t>≥175家</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rPr>
                <w:lang w:eastAsia="zh-CN"/>
              </w:rPr>
            </w:pPr>
            <w:r>
              <w:t>支持项目</w:t>
            </w:r>
            <w:r>
              <w:rPr>
                <w:rFonts w:hint="eastAsia"/>
                <w:lang w:eastAsia="zh-CN"/>
              </w:rPr>
              <w:t>合规率</w:t>
            </w:r>
          </w:p>
        </w:tc>
        <w:tc>
          <w:tcPr>
            <w:tcW w:w="2891" w:type="dxa"/>
            <w:vAlign w:val="center"/>
          </w:tcPr>
          <w:p>
            <w:pPr>
              <w:pStyle w:val="10"/>
              <w:rPr>
                <w:lang w:eastAsia="zh-CN"/>
              </w:rPr>
            </w:pPr>
            <w:r>
              <w:t>考察支持项目</w:t>
            </w:r>
            <w:r>
              <w:rPr>
                <w:rFonts w:hint="eastAsia"/>
                <w:lang w:eastAsia="zh-CN"/>
              </w:rPr>
              <w:t>合规率</w:t>
            </w:r>
          </w:p>
        </w:tc>
        <w:tc>
          <w:tcPr>
            <w:tcW w:w="1276" w:type="dxa"/>
            <w:vAlign w:val="center"/>
          </w:tcPr>
          <w:p>
            <w:pPr>
              <w:pStyle w:val="10"/>
            </w:pPr>
            <w:r>
              <w:rPr>
                <w:rFonts w:hint="eastAsia"/>
                <w:lang w:eastAsia="zh-CN"/>
              </w:rPr>
              <w:t>100%</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rPr>
                <w:lang w:eastAsia="zh-CN"/>
              </w:rPr>
            </w:pPr>
            <w:r>
              <w:rPr>
                <w:rFonts w:hint="eastAsia"/>
                <w:lang w:eastAsia="zh-CN"/>
              </w:rPr>
              <w:t>资金支付合规率</w:t>
            </w:r>
          </w:p>
        </w:tc>
        <w:tc>
          <w:tcPr>
            <w:tcW w:w="2891" w:type="dxa"/>
            <w:vAlign w:val="center"/>
          </w:tcPr>
          <w:p>
            <w:pPr>
              <w:pStyle w:val="10"/>
              <w:rPr>
                <w:lang w:eastAsia="zh-CN"/>
              </w:rPr>
            </w:pPr>
            <w:r>
              <w:t>考察</w:t>
            </w:r>
            <w:r>
              <w:rPr>
                <w:rFonts w:hint="eastAsia"/>
                <w:lang w:eastAsia="zh-CN"/>
              </w:rPr>
              <w:t>资金支付合规率</w:t>
            </w:r>
          </w:p>
        </w:tc>
        <w:tc>
          <w:tcPr>
            <w:tcW w:w="1276" w:type="dxa"/>
            <w:vAlign w:val="center"/>
          </w:tcPr>
          <w:p>
            <w:pPr>
              <w:pStyle w:val="10"/>
            </w:pPr>
            <w:r>
              <w:rPr>
                <w:rFonts w:hint="eastAsia"/>
                <w:lang w:eastAsia="zh-CN"/>
              </w:rPr>
              <w:t>100%</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孵化器补助周期</w:t>
            </w:r>
          </w:p>
        </w:tc>
        <w:tc>
          <w:tcPr>
            <w:tcW w:w="2891" w:type="dxa"/>
            <w:vAlign w:val="center"/>
          </w:tcPr>
          <w:p>
            <w:pPr>
              <w:pStyle w:val="10"/>
            </w:pPr>
            <w:r>
              <w:t>考察项目补助周期</w:t>
            </w:r>
          </w:p>
        </w:tc>
        <w:tc>
          <w:tcPr>
            <w:tcW w:w="1276" w:type="dxa"/>
            <w:vAlign w:val="center"/>
          </w:tcPr>
          <w:p>
            <w:pPr>
              <w:pStyle w:val="10"/>
            </w:pPr>
            <w:r>
              <w:t>12个月</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t>经济效益指标</w:t>
            </w:r>
          </w:p>
        </w:tc>
        <w:tc>
          <w:tcPr>
            <w:tcW w:w="1332" w:type="dxa"/>
            <w:vAlign w:val="center"/>
          </w:tcPr>
          <w:p>
            <w:pPr>
              <w:pStyle w:val="10"/>
            </w:pPr>
            <w:r>
              <w:t>形成或带动营业收入</w:t>
            </w:r>
          </w:p>
        </w:tc>
        <w:tc>
          <w:tcPr>
            <w:tcW w:w="2891" w:type="dxa"/>
            <w:vAlign w:val="center"/>
          </w:tcPr>
          <w:p>
            <w:pPr>
              <w:pStyle w:val="10"/>
            </w:pPr>
            <w:r>
              <w:t>考察形成或带动营业收入</w:t>
            </w:r>
          </w:p>
        </w:tc>
        <w:tc>
          <w:tcPr>
            <w:tcW w:w="1276" w:type="dxa"/>
            <w:vAlign w:val="center"/>
          </w:tcPr>
          <w:p>
            <w:pPr>
              <w:pStyle w:val="10"/>
            </w:pPr>
            <w:r>
              <w:t>≥68亿元</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形成或带动税收</w:t>
            </w:r>
          </w:p>
        </w:tc>
        <w:tc>
          <w:tcPr>
            <w:tcW w:w="2891" w:type="dxa"/>
            <w:vAlign w:val="center"/>
          </w:tcPr>
          <w:p>
            <w:pPr>
              <w:pStyle w:val="10"/>
            </w:pPr>
            <w:r>
              <w:t>考察形成或带动税收</w:t>
            </w:r>
          </w:p>
        </w:tc>
        <w:tc>
          <w:tcPr>
            <w:tcW w:w="1276" w:type="dxa"/>
            <w:vAlign w:val="center"/>
          </w:tcPr>
          <w:p>
            <w:pPr>
              <w:pStyle w:val="10"/>
            </w:pPr>
            <w:r>
              <w:t>≥2.8亿元</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申请或获得知识产权数量</w:t>
            </w:r>
          </w:p>
        </w:tc>
        <w:tc>
          <w:tcPr>
            <w:tcW w:w="2891" w:type="dxa"/>
            <w:vAlign w:val="center"/>
          </w:tcPr>
          <w:p>
            <w:pPr>
              <w:pStyle w:val="10"/>
            </w:pPr>
            <w:r>
              <w:t>考察入驻企业申请或获得知识产权（专利、软著等）数量</w:t>
            </w:r>
          </w:p>
        </w:tc>
        <w:tc>
          <w:tcPr>
            <w:tcW w:w="1276" w:type="dxa"/>
            <w:vAlign w:val="center"/>
          </w:tcPr>
          <w:p>
            <w:pPr>
              <w:pStyle w:val="10"/>
            </w:pPr>
            <w:r>
              <w:t>≥350项</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带动就业人数</w:t>
            </w:r>
          </w:p>
        </w:tc>
        <w:tc>
          <w:tcPr>
            <w:tcW w:w="2891" w:type="dxa"/>
            <w:vAlign w:val="center"/>
          </w:tcPr>
          <w:p>
            <w:pPr>
              <w:pStyle w:val="10"/>
            </w:pPr>
            <w:r>
              <w:t>考察带动就业人数</w:t>
            </w:r>
          </w:p>
        </w:tc>
        <w:tc>
          <w:tcPr>
            <w:tcW w:w="1276" w:type="dxa"/>
            <w:vAlign w:val="center"/>
          </w:tcPr>
          <w:p>
            <w:pPr>
              <w:pStyle w:val="10"/>
            </w:pPr>
            <w:r>
              <w:t>≥2550人</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开展交流合作活动</w:t>
            </w:r>
          </w:p>
        </w:tc>
        <w:tc>
          <w:tcPr>
            <w:tcW w:w="2891" w:type="dxa"/>
            <w:vAlign w:val="center"/>
          </w:tcPr>
          <w:p>
            <w:pPr>
              <w:pStyle w:val="10"/>
            </w:pPr>
            <w:r>
              <w:t>考察开展创新创业交流合作活动</w:t>
            </w:r>
          </w:p>
        </w:tc>
        <w:tc>
          <w:tcPr>
            <w:tcW w:w="1276" w:type="dxa"/>
            <w:vAlign w:val="center"/>
          </w:tcPr>
          <w:p>
            <w:pPr>
              <w:pStyle w:val="10"/>
            </w:pPr>
            <w:r>
              <w:t>≥150场次</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引进/培养人才数量</w:t>
            </w:r>
          </w:p>
        </w:tc>
        <w:tc>
          <w:tcPr>
            <w:tcW w:w="2891" w:type="dxa"/>
            <w:vAlign w:val="center"/>
          </w:tcPr>
          <w:p>
            <w:pPr>
              <w:pStyle w:val="10"/>
            </w:pPr>
            <w:r>
              <w:t>考察引进/培养人才数量</w:t>
            </w:r>
          </w:p>
        </w:tc>
        <w:tc>
          <w:tcPr>
            <w:tcW w:w="1276" w:type="dxa"/>
            <w:vAlign w:val="center"/>
          </w:tcPr>
          <w:p>
            <w:pPr>
              <w:pStyle w:val="10"/>
            </w:pPr>
            <w:r>
              <w:t>≥75人</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服务企业满意度</w:t>
            </w:r>
          </w:p>
        </w:tc>
        <w:tc>
          <w:tcPr>
            <w:tcW w:w="2891" w:type="dxa"/>
            <w:vAlign w:val="center"/>
          </w:tcPr>
          <w:p>
            <w:pPr>
              <w:pStyle w:val="10"/>
            </w:pPr>
            <w:r>
              <w:t>考察服务企业满意度</w:t>
            </w:r>
          </w:p>
        </w:tc>
        <w:tc>
          <w:tcPr>
            <w:tcW w:w="1276" w:type="dxa"/>
            <w:vAlign w:val="center"/>
          </w:tcPr>
          <w:p>
            <w:pPr>
              <w:pStyle w:val="10"/>
            </w:pPr>
            <w:r>
              <w:t>≥90%</w:t>
            </w:r>
          </w:p>
        </w:tc>
        <w:tc>
          <w:tcPr>
            <w:tcW w:w="1843" w:type="dxa"/>
            <w:vAlign w:val="center"/>
          </w:tcPr>
          <w:p>
            <w:pPr>
              <w:pStyle w:val="10"/>
            </w:pPr>
            <w:r>
              <w:t>历史标准</w:t>
            </w:r>
          </w:p>
        </w:tc>
      </w:tr>
    </w:tbl>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p>
          <w:p>
            <w:pPr>
              <w:pStyle w:val="7"/>
            </w:pPr>
          </w:p>
          <w:p>
            <w:pPr>
              <w:pStyle w:val="7"/>
            </w:pPr>
          </w:p>
          <w:p>
            <w:pPr>
              <w:pStyle w:val="7"/>
            </w:pPr>
          </w:p>
          <w:p>
            <w:pPr>
              <w:pStyle w:val="7"/>
            </w:pPr>
          </w:p>
          <w:p>
            <w:pPr>
              <w:pStyle w:val="7"/>
            </w:pPr>
          </w:p>
          <w:p>
            <w:pPr>
              <w:pStyle w:val="7"/>
            </w:pPr>
          </w:p>
          <w:p>
            <w:pPr>
              <w:pStyle w:val="7"/>
              <w:ind w:left="840" w:hanging="840" w:hangingChars="400"/>
              <w:rPr>
                <w:rFonts w:hint="default" w:eastAsia="方正书宋_GBK"/>
                <w:lang w:val="en-US" w:eastAsia="zh-CN"/>
              </w:rPr>
            </w:pPr>
            <w:r>
              <w:t>201001青岛市科学技术局本级</w:t>
            </w:r>
            <w:r>
              <w:rPr>
                <w:rFonts w:hint="eastAsia"/>
                <w:lang w:val="en-US" w:eastAsia="zh-CN"/>
              </w:rPr>
              <w:t xml:space="preserve">                                     </w:t>
            </w:r>
            <w:r>
              <w:t>单位：万元</w:t>
            </w:r>
          </w:p>
        </w:tc>
        <w:tc>
          <w:tcPr>
            <w:tcW w:w="1843" w:type="dxa"/>
            <w:tcBorders>
              <w:top w:val="single" w:color="FFFFFF" w:sz="6" w:space="0"/>
              <w:left w:val="single" w:color="FFFFFF" w:sz="6" w:space="0"/>
              <w:right w:val="single" w:color="FFFFFF" w:sz="6" w:space="0"/>
            </w:tcBorders>
            <w:vAlign w:val="center"/>
          </w:tcPr>
          <w:p>
            <w:pPr>
              <w:pStyle w:val="8"/>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37020023P06000210008C</w:t>
            </w:r>
          </w:p>
        </w:tc>
        <w:tc>
          <w:tcPr>
            <w:tcW w:w="1587" w:type="dxa"/>
            <w:vAlign w:val="center"/>
          </w:tcPr>
          <w:p>
            <w:pPr>
              <w:pStyle w:val="9"/>
            </w:pPr>
            <w:r>
              <w:t>项目名称</w:t>
            </w:r>
          </w:p>
        </w:tc>
        <w:tc>
          <w:tcPr>
            <w:tcW w:w="4422" w:type="dxa"/>
            <w:gridSpan w:val="3"/>
            <w:vAlign w:val="center"/>
          </w:tcPr>
          <w:p>
            <w:pPr>
              <w:pStyle w:val="10"/>
            </w:pPr>
            <w:r>
              <w:t>高水平研发载体</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16000.00</w:t>
            </w:r>
          </w:p>
        </w:tc>
        <w:tc>
          <w:tcPr>
            <w:tcW w:w="1587" w:type="dxa"/>
            <w:vAlign w:val="center"/>
          </w:tcPr>
          <w:p>
            <w:pPr>
              <w:pStyle w:val="9"/>
            </w:pPr>
            <w:r>
              <w:t>其中：财政    资金</w:t>
            </w:r>
          </w:p>
        </w:tc>
        <w:tc>
          <w:tcPr>
            <w:tcW w:w="1304" w:type="dxa"/>
            <w:vAlign w:val="center"/>
          </w:tcPr>
          <w:p>
            <w:pPr>
              <w:pStyle w:val="10"/>
            </w:pPr>
            <w:r>
              <w:t>16000.00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推动科技创新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rPr>
                <w:rFonts w:hint="eastAsia"/>
                <w:lang w:eastAsia="zh-CN"/>
              </w:rP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1000.00</w:t>
            </w:r>
          </w:p>
        </w:tc>
        <w:tc>
          <w:tcPr>
            <w:tcW w:w="3118" w:type="dxa"/>
            <w:gridSpan w:val="2"/>
            <w:vAlign w:val="center"/>
          </w:tcPr>
          <w:p>
            <w:pPr>
              <w:pStyle w:val="11"/>
            </w:pPr>
            <w:r>
              <w:t>16000.00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与中车山东合作建设中车产研绿色技术研究院，聚焦智能制造、信息与智能融合、计算医学、绿色发展领域，开展企业引育，形成智能制造等若干紧凑产业集群，累计引进及孵化企业40家以上、带动社会投融资金额10亿元以上、转移转化先进技术70项以上。围绕高端轴承研发、检测及示范线，完成30台套以上关键设备采购，实现研究院部分功能的正常运行，初步形成高端轴承检测能力；高层次人才招聘和引进不少于5人，培训、服务人员40人次。围绕空天大数据产业发展，实现技术合同额500万元及以上，带动相关产业产值500万元及以上，带动就业人数30人及以上，服务企业15家及以上，培训100人次及以上。</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高水平研发载体预算控制数</w:t>
            </w:r>
          </w:p>
        </w:tc>
        <w:tc>
          <w:tcPr>
            <w:tcW w:w="2891" w:type="dxa"/>
            <w:vAlign w:val="center"/>
          </w:tcPr>
          <w:p>
            <w:pPr>
              <w:pStyle w:val="10"/>
            </w:pPr>
            <w:r>
              <w:t>反映高水平研发载体项目预算控制情况。</w:t>
            </w:r>
          </w:p>
        </w:tc>
        <w:tc>
          <w:tcPr>
            <w:tcW w:w="1276" w:type="dxa"/>
            <w:vAlign w:val="center"/>
          </w:tcPr>
          <w:p>
            <w:pPr>
              <w:pStyle w:val="10"/>
            </w:pPr>
            <w:r>
              <w:t>≤16000万元</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支持项目数量</w:t>
            </w:r>
          </w:p>
        </w:tc>
        <w:tc>
          <w:tcPr>
            <w:tcW w:w="2891" w:type="dxa"/>
            <w:vAlign w:val="center"/>
          </w:tcPr>
          <w:p>
            <w:pPr>
              <w:pStyle w:val="10"/>
            </w:pPr>
            <w:r>
              <w:t>考察支持项目数量</w:t>
            </w:r>
          </w:p>
        </w:tc>
        <w:tc>
          <w:tcPr>
            <w:tcW w:w="1276" w:type="dxa"/>
            <w:vAlign w:val="center"/>
          </w:tcPr>
          <w:p>
            <w:pPr>
              <w:pStyle w:val="10"/>
            </w:pPr>
            <w:r>
              <w:t>3项</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采购关键设备数量</w:t>
            </w:r>
          </w:p>
        </w:tc>
        <w:tc>
          <w:tcPr>
            <w:tcW w:w="2891" w:type="dxa"/>
            <w:vAlign w:val="center"/>
          </w:tcPr>
          <w:p>
            <w:pPr>
              <w:pStyle w:val="10"/>
            </w:pPr>
            <w:r>
              <w:t>考察采购关键设备数量</w:t>
            </w:r>
          </w:p>
        </w:tc>
        <w:tc>
          <w:tcPr>
            <w:tcW w:w="1276" w:type="dxa"/>
            <w:vAlign w:val="center"/>
          </w:tcPr>
          <w:p>
            <w:pPr>
              <w:pStyle w:val="10"/>
            </w:pPr>
            <w:r>
              <w:t>≥30台（套）</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项目评估通过率</w:t>
            </w:r>
          </w:p>
        </w:tc>
        <w:tc>
          <w:tcPr>
            <w:tcW w:w="2891" w:type="dxa"/>
            <w:vAlign w:val="center"/>
          </w:tcPr>
          <w:p>
            <w:pPr>
              <w:pStyle w:val="10"/>
            </w:pPr>
            <w:r>
              <w:t>考察项目评估通过情况</w:t>
            </w:r>
          </w:p>
        </w:tc>
        <w:tc>
          <w:tcPr>
            <w:tcW w:w="1276" w:type="dxa"/>
            <w:vAlign w:val="center"/>
          </w:tcPr>
          <w:p>
            <w:pPr>
              <w:pStyle w:val="10"/>
            </w:pPr>
            <w:r>
              <w:t>≥90%</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补助项目符合度</w:t>
            </w:r>
          </w:p>
        </w:tc>
        <w:tc>
          <w:tcPr>
            <w:tcW w:w="2891" w:type="dxa"/>
            <w:vAlign w:val="center"/>
          </w:tcPr>
          <w:p>
            <w:pPr>
              <w:pStyle w:val="10"/>
            </w:pPr>
            <w:r>
              <w:t>考察补助项目符合情况</w:t>
            </w:r>
          </w:p>
        </w:tc>
        <w:tc>
          <w:tcPr>
            <w:tcW w:w="1276" w:type="dxa"/>
            <w:vAlign w:val="center"/>
          </w:tcPr>
          <w:p>
            <w:pPr>
              <w:pStyle w:val="10"/>
            </w:pPr>
            <w:r>
              <w:t>≥90%</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rPr>
                <w:lang w:eastAsia="zh-CN"/>
              </w:rPr>
            </w:pPr>
            <w:r>
              <w:t>工作完成</w:t>
            </w:r>
            <w:r>
              <w:rPr>
                <w:rFonts w:hint="eastAsia"/>
                <w:lang w:eastAsia="zh-CN"/>
              </w:rPr>
              <w:t>及时率</w:t>
            </w:r>
          </w:p>
        </w:tc>
        <w:tc>
          <w:tcPr>
            <w:tcW w:w="2891" w:type="dxa"/>
            <w:vAlign w:val="center"/>
          </w:tcPr>
          <w:p>
            <w:pPr>
              <w:pStyle w:val="10"/>
            </w:pPr>
            <w:r>
              <w:t>考察工作完成</w:t>
            </w:r>
            <w:r>
              <w:rPr>
                <w:rFonts w:hint="eastAsia"/>
                <w:lang w:eastAsia="zh-CN"/>
              </w:rPr>
              <w:t>及时情况</w:t>
            </w:r>
          </w:p>
        </w:tc>
        <w:tc>
          <w:tcPr>
            <w:tcW w:w="1276" w:type="dxa"/>
            <w:vAlign w:val="center"/>
          </w:tcPr>
          <w:p>
            <w:pPr>
              <w:pStyle w:val="10"/>
              <w:rPr>
                <w:lang w:eastAsia="zh-CN"/>
              </w:rPr>
            </w:pPr>
            <w:r>
              <w:rPr>
                <w:rFonts w:hint="eastAsia"/>
                <w:lang w:eastAsia="zh-CN"/>
              </w:rPr>
              <w:t>100%</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t>经济效益指标</w:t>
            </w:r>
          </w:p>
        </w:tc>
        <w:tc>
          <w:tcPr>
            <w:tcW w:w="1332" w:type="dxa"/>
            <w:vAlign w:val="center"/>
          </w:tcPr>
          <w:p>
            <w:pPr>
              <w:pStyle w:val="10"/>
            </w:pPr>
            <w:r>
              <w:t>实现技术合同金额</w:t>
            </w:r>
          </w:p>
        </w:tc>
        <w:tc>
          <w:tcPr>
            <w:tcW w:w="2891" w:type="dxa"/>
            <w:vAlign w:val="center"/>
          </w:tcPr>
          <w:p>
            <w:pPr>
              <w:pStyle w:val="10"/>
            </w:pPr>
            <w:r>
              <w:t>考察实现技术合同金额</w:t>
            </w:r>
          </w:p>
        </w:tc>
        <w:tc>
          <w:tcPr>
            <w:tcW w:w="1276" w:type="dxa"/>
            <w:vAlign w:val="center"/>
          </w:tcPr>
          <w:p>
            <w:pPr>
              <w:pStyle w:val="10"/>
            </w:pPr>
            <w:r>
              <w:t>≥500万元</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形成或带动相关产业产值</w:t>
            </w:r>
          </w:p>
        </w:tc>
        <w:tc>
          <w:tcPr>
            <w:tcW w:w="2891" w:type="dxa"/>
            <w:vAlign w:val="center"/>
          </w:tcPr>
          <w:p>
            <w:pPr>
              <w:pStyle w:val="10"/>
            </w:pPr>
            <w:r>
              <w:t>考察形成或带动相关产业产值金额</w:t>
            </w:r>
          </w:p>
        </w:tc>
        <w:tc>
          <w:tcPr>
            <w:tcW w:w="1276" w:type="dxa"/>
            <w:vAlign w:val="center"/>
          </w:tcPr>
          <w:p>
            <w:pPr>
              <w:pStyle w:val="10"/>
            </w:pPr>
            <w:r>
              <w:t>≥500万元</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带动社会投融资金额</w:t>
            </w:r>
          </w:p>
        </w:tc>
        <w:tc>
          <w:tcPr>
            <w:tcW w:w="2891" w:type="dxa"/>
            <w:vAlign w:val="center"/>
          </w:tcPr>
          <w:p>
            <w:pPr>
              <w:pStyle w:val="10"/>
            </w:pPr>
            <w:r>
              <w:t>考察带动社会投融资金额（累计）</w:t>
            </w:r>
          </w:p>
        </w:tc>
        <w:tc>
          <w:tcPr>
            <w:tcW w:w="1276" w:type="dxa"/>
            <w:vAlign w:val="center"/>
          </w:tcPr>
          <w:p>
            <w:pPr>
              <w:pStyle w:val="10"/>
            </w:pPr>
            <w:r>
              <w:t>≥10亿元</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申请或获得知识产权数量</w:t>
            </w:r>
          </w:p>
        </w:tc>
        <w:tc>
          <w:tcPr>
            <w:tcW w:w="2891" w:type="dxa"/>
            <w:vAlign w:val="center"/>
          </w:tcPr>
          <w:p>
            <w:pPr>
              <w:pStyle w:val="10"/>
            </w:pPr>
            <w:r>
              <w:t>考察申请或获得知识产权数量</w:t>
            </w:r>
          </w:p>
        </w:tc>
        <w:tc>
          <w:tcPr>
            <w:tcW w:w="1276" w:type="dxa"/>
            <w:vAlign w:val="center"/>
          </w:tcPr>
          <w:p>
            <w:pPr>
              <w:pStyle w:val="10"/>
            </w:pPr>
            <w:r>
              <w:t>≥10项</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引进或孵化企业数量</w:t>
            </w:r>
          </w:p>
        </w:tc>
        <w:tc>
          <w:tcPr>
            <w:tcW w:w="2891" w:type="dxa"/>
            <w:vAlign w:val="center"/>
          </w:tcPr>
          <w:p>
            <w:pPr>
              <w:pStyle w:val="10"/>
            </w:pPr>
            <w:r>
              <w:t>考察培育孵化企业数量（累计）</w:t>
            </w:r>
          </w:p>
        </w:tc>
        <w:tc>
          <w:tcPr>
            <w:tcW w:w="1276" w:type="dxa"/>
            <w:vAlign w:val="center"/>
          </w:tcPr>
          <w:p>
            <w:pPr>
              <w:pStyle w:val="10"/>
            </w:pPr>
            <w:r>
              <w:t>≥40家</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转移转化先进技术数量</w:t>
            </w:r>
          </w:p>
        </w:tc>
        <w:tc>
          <w:tcPr>
            <w:tcW w:w="2891" w:type="dxa"/>
            <w:vAlign w:val="center"/>
          </w:tcPr>
          <w:p>
            <w:pPr>
              <w:pStyle w:val="10"/>
            </w:pPr>
            <w:r>
              <w:t>考察组织开展的转移转化项目数量（累计）</w:t>
            </w:r>
          </w:p>
        </w:tc>
        <w:tc>
          <w:tcPr>
            <w:tcW w:w="1276" w:type="dxa"/>
            <w:vAlign w:val="center"/>
          </w:tcPr>
          <w:p>
            <w:pPr>
              <w:pStyle w:val="10"/>
            </w:pPr>
            <w:r>
              <w:t>≥70项</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培育高新技术企业数量</w:t>
            </w:r>
          </w:p>
        </w:tc>
        <w:tc>
          <w:tcPr>
            <w:tcW w:w="2891" w:type="dxa"/>
            <w:vAlign w:val="center"/>
          </w:tcPr>
          <w:p>
            <w:pPr>
              <w:pStyle w:val="10"/>
            </w:pPr>
            <w:r>
              <w:t>考察培育高新技术企业数量（累计）</w:t>
            </w:r>
          </w:p>
        </w:tc>
        <w:tc>
          <w:tcPr>
            <w:tcW w:w="1276" w:type="dxa"/>
            <w:vAlign w:val="center"/>
          </w:tcPr>
          <w:p>
            <w:pPr>
              <w:pStyle w:val="10"/>
            </w:pPr>
            <w:r>
              <w:t>≥2家</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引进人才数量</w:t>
            </w:r>
          </w:p>
        </w:tc>
        <w:tc>
          <w:tcPr>
            <w:tcW w:w="2891" w:type="dxa"/>
            <w:vAlign w:val="center"/>
          </w:tcPr>
          <w:p>
            <w:pPr>
              <w:pStyle w:val="10"/>
            </w:pPr>
            <w:r>
              <w:t>考察/引进人才数量</w:t>
            </w:r>
          </w:p>
        </w:tc>
        <w:tc>
          <w:tcPr>
            <w:tcW w:w="1276" w:type="dxa"/>
            <w:vAlign w:val="center"/>
          </w:tcPr>
          <w:p>
            <w:pPr>
              <w:pStyle w:val="10"/>
            </w:pPr>
            <w:r>
              <w:t>≥5人</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培训、服务对象人次</w:t>
            </w:r>
          </w:p>
        </w:tc>
        <w:tc>
          <w:tcPr>
            <w:tcW w:w="2891" w:type="dxa"/>
            <w:vAlign w:val="center"/>
          </w:tcPr>
          <w:p>
            <w:pPr>
              <w:pStyle w:val="10"/>
            </w:pPr>
            <w:r>
              <w:t>考察培训、服务对象人次</w:t>
            </w:r>
          </w:p>
        </w:tc>
        <w:tc>
          <w:tcPr>
            <w:tcW w:w="1276" w:type="dxa"/>
            <w:vAlign w:val="center"/>
          </w:tcPr>
          <w:p>
            <w:pPr>
              <w:pStyle w:val="10"/>
            </w:pPr>
            <w:r>
              <w:t>≥140人次</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带动就业人数</w:t>
            </w:r>
          </w:p>
        </w:tc>
        <w:tc>
          <w:tcPr>
            <w:tcW w:w="2891" w:type="dxa"/>
            <w:vAlign w:val="center"/>
          </w:tcPr>
          <w:p>
            <w:pPr>
              <w:pStyle w:val="10"/>
            </w:pPr>
            <w:r>
              <w:t>考察带动就业人数</w:t>
            </w:r>
          </w:p>
        </w:tc>
        <w:tc>
          <w:tcPr>
            <w:tcW w:w="1276" w:type="dxa"/>
            <w:vAlign w:val="center"/>
          </w:tcPr>
          <w:p>
            <w:pPr>
              <w:pStyle w:val="10"/>
            </w:pPr>
            <w:r>
              <w:t>≥30人</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服务企业数量</w:t>
            </w:r>
          </w:p>
        </w:tc>
        <w:tc>
          <w:tcPr>
            <w:tcW w:w="2891" w:type="dxa"/>
            <w:vAlign w:val="center"/>
          </w:tcPr>
          <w:p>
            <w:pPr>
              <w:pStyle w:val="10"/>
            </w:pPr>
            <w:r>
              <w:t>考察服务企业数量</w:t>
            </w:r>
          </w:p>
        </w:tc>
        <w:tc>
          <w:tcPr>
            <w:tcW w:w="1276" w:type="dxa"/>
            <w:vAlign w:val="center"/>
          </w:tcPr>
          <w:p>
            <w:pPr>
              <w:pStyle w:val="10"/>
            </w:pPr>
            <w:r>
              <w:t>≥15家</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考察服务对象满意度</w:t>
            </w:r>
          </w:p>
        </w:tc>
        <w:tc>
          <w:tcPr>
            <w:tcW w:w="1276" w:type="dxa"/>
            <w:vAlign w:val="center"/>
          </w:tcPr>
          <w:p>
            <w:pPr>
              <w:pStyle w:val="10"/>
            </w:pPr>
            <w:r>
              <w:t>≥90%</w:t>
            </w:r>
          </w:p>
        </w:tc>
        <w:tc>
          <w:tcPr>
            <w:tcW w:w="1843" w:type="dxa"/>
            <w:vAlign w:val="center"/>
          </w:tcPr>
          <w:p>
            <w:pPr>
              <w:pStyle w:val="10"/>
            </w:pPr>
            <w:r>
              <w:t>历史标准</w:t>
            </w:r>
          </w:p>
        </w:tc>
      </w:tr>
    </w:tbl>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p>
          <w:p>
            <w:pPr>
              <w:pStyle w:val="7"/>
            </w:pPr>
          </w:p>
          <w:p>
            <w:pPr>
              <w:pStyle w:val="7"/>
            </w:pPr>
          </w:p>
          <w:p>
            <w:pPr>
              <w:pStyle w:val="7"/>
            </w:pPr>
          </w:p>
          <w:p>
            <w:pPr>
              <w:pStyle w:val="7"/>
            </w:pPr>
          </w:p>
          <w:p>
            <w:pPr>
              <w:pStyle w:val="7"/>
            </w:pPr>
          </w:p>
          <w:p>
            <w:pPr>
              <w:pStyle w:val="7"/>
            </w:pPr>
          </w:p>
          <w:p>
            <w:pPr>
              <w:pStyle w:val="7"/>
            </w:pPr>
            <w:r>
              <w:t>201001青岛市科学技术局本级</w:t>
            </w:r>
            <w:r>
              <w:rPr>
                <w:rFonts w:hint="eastAsia"/>
                <w:lang w:val="en-US" w:eastAsia="zh-CN"/>
              </w:rPr>
              <w:t xml:space="preserve">                                     </w:t>
            </w:r>
            <w:r>
              <w:t>单位：万元</w:t>
            </w:r>
          </w:p>
        </w:tc>
        <w:tc>
          <w:tcPr>
            <w:tcW w:w="1843" w:type="dxa"/>
            <w:tcBorders>
              <w:top w:val="single" w:color="FFFFFF" w:sz="6" w:space="0"/>
              <w:left w:val="single" w:color="FFFFFF" w:sz="6" w:space="0"/>
              <w:right w:val="single" w:color="FFFFFF" w:sz="6" w:space="0"/>
            </w:tcBorders>
            <w:vAlign w:val="center"/>
          </w:tcPr>
          <w:p>
            <w:pPr>
              <w:pStyle w:val="8"/>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37020023P06000210010B</w:t>
            </w:r>
          </w:p>
        </w:tc>
        <w:tc>
          <w:tcPr>
            <w:tcW w:w="1587" w:type="dxa"/>
            <w:vAlign w:val="center"/>
          </w:tcPr>
          <w:p>
            <w:pPr>
              <w:pStyle w:val="9"/>
            </w:pPr>
            <w:r>
              <w:t>项目名称</w:t>
            </w:r>
          </w:p>
        </w:tc>
        <w:tc>
          <w:tcPr>
            <w:tcW w:w="4422" w:type="dxa"/>
            <w:gridSpan w:val="3"/>
            <w:vAlign w:val="center"/>
          </w:tcPr>
          <w:p>
            <w:pPr>
              <w:pStyle w:val="10"/>
            </w:pPr>
            <w:r>
              <w:t>高水平研发载体（一汽（青岛）商用车研究院建设二期）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4000.00</w:t>
            </w:r>
          </w:p>
        </w:tc>
        <w:tc>
          <w:tcPr>
            <w:tcW w:w="1587" w:type="dxa"/>
            <w:vAlign w:val="center"/>
          </w:tcPr>
          <w:p>
            <w:pPr>
              <w:pStyle w:val="9"/>
            </w:pPr>
            <w:r>
              <w:t>其中：财政    资金</w:t>
            </w:r>
          </w:p>
        </w:tc>
        <w:tc>
          <w:tcPr>
            <w:tcW w:w="1304" w:type="dxa"/>
            <w:vAlign w:val="center"/>
          </w:tcPr>
          <w:p>
            <w:pPr>
              <w:pStyle w:val="10"/>
            </w:pPr>
            <w:r>
              <w:t>4000.00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推动科技创新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rPr>
                <w:rFonts w:hint="eastAsia"/>
                <w:lang w:eastAsia="zh-CN"/>
              </w:rP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4000.00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通过项目实施，开展不少于2项关键技术攻关，形成或带动营业收入不少于50亿元，开发新技术、新产品、新品种等数量不少于2000个。</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750"/>
        <w:gridCol w:w="2473"/>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750" w:type="dxa"/>
            <w:vAlign w:val="center"/>
          </w:tcPr>
          <w:p>
            <w:pPr>
              <w:pStyle w:val="9"/>
            </w:pPr>
            <w:r>
              <w:t>三级指标</w:t>
            </w:r>
          </w:p>
        </w:tc>
        <w:tc>
          <w:tcPr>
            <w:tcW w:w="2473"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750" w:type="dxa"/>
            <w:vAlign w:val="center"/>
          </w:tcPr>
          <w:p>
            <w:pPr>
              <w:pStyle w:val="10"/>
            </w:pPr>
            <w:r>
              <w:t>商用车研究院建设二期预算控制数</w:t>
            </w:r>
          </w:p>
        </w:tc>
        <w:tc>
          <w:tcPr>
            <w:tcW w:w="2473" w:type="dxa"/>
            <w:vAlign w:val="center"/>
          </w:tcPr>
          <w:p>
            <w:pPr>
              <w:pStyle w:val="10"/>
            </w:pPr>
            <w:r>
              <w:t>考察商用车研究院建设二期项目预算控制情况。</w:t>
            </w:r>
          </w:p>
        </w:tc>
        <w:tc>
          <w:tcPr>
            <w:tcW w:w="1276" w:type="dxa"/>
            <w:vAlign w:val="center"/>
          </w:tcPr>
          <w:p>
            <w:pPr>
              <w:pStyle w:val="10"/>
            </w:pPr>
            <w:r>
              <w:t>≤4000万元</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750" w:type="dxa"/>
            <w:vAlign w:val="center"/>
          </w:tcPr>
          <w:p>
            <w:pPr>
              <w:pStyle w:val="10"/>
            </w:pPr>
            <w:r>
              <w:t>支持项目数量</w:t>
            </w:r>
          </w:p>
        </w:tc>
        <w:tc>
          <w:tcPr>
            <w:tcW w:w="2473" w:type="dxa"/>
            <w:vAlign w:val="center"/>
          </w:tcPr>
          <w:p>
            <w:pPr>
              <w:pStyle w:val="10"/>
            </w:pPr>
            <w:r>
              <w:t>考察支持项目数量</w:t>
            </w:r>
          </w:p>
        </w:tc>
        <w:tc>
          <w:tcPr>
            <w:tcW w:w="1276" w:type="dxa"/>
            <w:vAlign w:val="center"/>
          </w:tcPr>
          <w:p>
            <w:pPr>
              <w:pStyle w:val="10"/>
            </w:pPr>
            <w:r>
              <w:t>≥1项</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750" w:type="dxa"/>
            <w:vAlign w:val="center"/>
          </w:tcPr>
          <w:p>
            <w:pPr>
              <w:pStyle w:val="10"/>
            </w:pPr>
            <w:r>
              <w:t>开展关键技术攻关数量</w:t>
            </w:r>
          </w:p>
        </w:tc>
        <w:tc>
          <w:tcPr>
            <w:tcW w:w="2473" w:type="dxa"/>
            <w:vAlign w:val="center"/>
          </w:tcPr>
          <w:p>
            <w:pPr>
              <w:pStyle w:val="10"/>
            </w:pPr>
            <w:r>
              <w:t>考察开展关键技术攻关数量</w:t>
            </w:r>
          </w:p>
        </w:tc>
        <w:tc>
          <w:tcPr>
            <w:tcW w:w="1276" w:type="dxa"/>
            <w:vAlign w:val="center"/>
          </w:tcPr>
          <w:p>
            <w:pPr>
              <w:pStyle w:val="10"/>
            </w:pPr>
            <w:r>
              <w:t>≥2项</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750" w:type="dxa"/>
            <w:vAlign w:val="center"/>
          </w:tcPr>
          <w:p>
            <w:pPr>
              <w:pStyle w:val="10"/>
            </w:pPr>
            <w:r>
              <w:t>补助项目符合度</w:t>
            </w:r>
          </w:p>
        </w:tc>
        <w:tc>
          <w:tcPr>
            <w:tcW w:w="2473" w:type="dxa"/>
            <w:vAlign w:val="center"/>
          </w:tcPr>
          <w:p>
            <w:pPr>
              <w:pStyle w:val="10"/>
            </w:pPr>
            <w:r>
              <w:t>考察补助项目符合情况</w:t>
            </w:r>
          </w:p>
        </w:tc>
        <w:tc>
          <w:tcPr>
            <w:tcW w:w="1276" w:type="dxa"/>
            <w:vAlign w:val="center"/>
          </w:tcPr>
          <w:p>
            <w:pPr>
              <w:pStyle w:val="10"/>
            </w:pPr>
            <w:r>
              <w:t>100%</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750" w:type="dxa"/>
            <w:vAlign w:val="center"/>
          </w:tcPr>
          <w:p>
            <w:pPr>
              <w:pStyle w:val="10"/>
            </w:pPr>
            <w:r>
              <w:t>关键技术符合度</w:t>
            </w:r>
          </w:p>
        </w:tc>
        <w:tc>
          <w:tcPr>
            <w:tcW w:w="2473" w:type="dxa"/>
            <w:vAlign w:val="center"/>
          </w:tcPr>
          <w:p>
            <w:pPr>
              <w:pStyle w:val="10"/>
            </w:pPr>
            <w:r>
              <w:t>考察关键技术符合情况</w:t>
            </w:r>
          </w:p>
        </w:tc>
        <w:tc>
          <w:tcPr>
            <w:tcW w:w="1276" w:type="dxa"/>
            <w:vAlign w:val="center"/>
          </w:tcPr>
          <w:p>
            <w:pPr>
              <w:pStyle w:val="10"/>
            </w:pPr>
            <w:r>
              <w:t>100%</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750" w:type="dxa"/>
            <w:vAlign w:val="center"/>
          </w:tcPr>
          <w:p>
            <w:pPr>
              <w:pStyle w:val="10"/>
            </w:pPr>
            <w:r>
              <w:t>工作完成时效</w:t>
            </w:r>
          </w:p>
        </w:tc>
        <w:tc>
          <w:tcPr>
            <w:tcW w:w="2473" w:type="dxa"/>
            <w:vAlign w:val="center"/>
          </w:tcPr>
          <w:p>
            <w:pPr>
              <w:pStyle w:val="10"/>
            </w:pPr>
            <w:r>
              <w:t>考察项目实施周期</w:t>
            </w:r>
          </w:p>
        </w:tc>
        <w:tc>
          <w:tcPr>
            <w:tcW w:w="1276" w:type="dxa"/>
            <w:vAlign w:val="center"/>
          </w:tcPr>
          <w:p>
            <w:pPr>
              <w:pStyle w:val="10"/>
            </w:pPr>
            <w:r>
              <w:t>12个月内</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t>经济效益指标</w:t>
            </w:r>
          </w:p>
        </w:tc>
        <w:tc>
          <w:tcPr>
            <w:tcW w:w="1750" w:type="dxa"/>
            <w:vAlign w:val="center"/>
          </w:tcPr>
          <w:p>
            <w:pPr>
              <w:pStyle w:val="10"/>
            </w:pPr>
            <w:r>
              <w:t>形成或带动营业收入</w:t>
            </w:r>
          </w:p>
        </w:tc>
        <w:tc>
          <w:tcPr>
            <w:tcW w:w="2473" w:type="dxa"/>
            <w:vAlign w:val="center"/>
          </w:tcPr>
          <w:p>
            <w:pPr>
              <w:pStyle w:val="10"/>
            </w:pPr>
            <w:r>
              <w:t>考察形成或带动营业收入</w:t>
            </w:r>
          </w:p>
        </w:tc>
        <w:tc>
          <w:tcPr>
            <w:tcW w:w="1276" w:type="dxa"/>
            <w:vAlign w:val="center"/>
          </w:tcPr>
          <w:p>
            <w:pPr>
              <w:pStyle w:val="10"/>
            </w:pPr>
            <w:r>
              <w:t>≥50亿元</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750" w:type="dxa"/>
            <w:vAlign w:val="center"/>
          </w:tcPr>
          <w:p>
            <w:pPr>
              <w:pStyle w:val="10"/>
            </w:pPr>
            <w:r>
              <w:t>引进/培养人才数量</w:t>
            </w:r>
          </w:p>
        </w:tc>
        <w:tc>
          <w:tcPr>
            <w:tcW w:w="2473" w:type="dxa"/>
            <w:vAlign w:val="center"/>
          </w:tcPr>
          <w:p>
            <w:pPr>
              <w:pStyle w:val="10"/>
            </w:pPr>
            <w:r>
              <w:t>考察引进高层次人才数量</w:t>
            </w:r>
          </w:p>
        </w:tc>
        <w:tc>
          <w:tcPr>
            <w:tcW w:w="1276" w:type="dxa"/>
            <w:vAlign w:val="center"/>
          </w:tcPr>
          <w:p>
            <w:pPr>
              <w:pStyle w:val="10"/>
            </w:pPr>
            <w:r>
              <w:t>≥25人</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750" w:type="dxa"/>
            <w:vAlign w:val="center"/>
          </w:tcPr>
          <w:p>
            <w:pPr>
              <w:pStyle w:val="10"/>
            </w:pPr>
            <w:r>
              <w:t>开发新技术、新产品、新品种等数量</w:t>
            </w:r>
          </w:p>
        </w:tc>
        <w:tc>
          <w:tcPr>
            <w:tcW w:w="2473" w:type="dxa"/>
            <w:vAlign w:val="center"/>
          </w:tcPr>
          <w:p>
            <w:pPr>
              <w:pStyle w:val="10"/>
            </w:pPr>
            <w:r>
              <w:t>考察开发新技术、新产品、新品种等数量</w:t>
            </w:r>
          </w:p>
        </w:tc>
        <w:tc>
          <w:tcPr>
            <w:tcW w:w="1276" w:type="dxa"/>
            <w:vAlign w:val="center"/>
          </w:tcPr>
          <w:p>
            <w:pPr>
              <w:pStyle w:val="10"/>
            </w:pPr>
            <w:r>
              <w:t>≥2000个</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750" w:type="dxa"/>
            <w:vAlign w:val="center"/>
          </w:tcPr>
          <w:p>
            <w:pPr>
              <w:pStyle w:val="10"/>
            </w:pPr>
            <w:r>
              <w:t>申请或获得知识产权数量</w:t>
            </w:r>
          </w:p>
        </w:tc>
        <w:tc>
          <w:tcPr>
            <w:tcW w:w="2473" w:type="dxa"/>
            <w:vAlign w:val="center"/>
          </w:tcPr>
          <w:p>
            <w:pPr>
              <w:pStyle w:val="10"/>
            </w:pPr>
            <w:r>
              <w:t>考察申请或获得知识产权数量</w:t>
            </w:r>
          </w:p>
        </w:tc>
        <w:tc>
          <w:tcPr>
            <w:tcW w:w="1276" w:type="dxa"/>
            <w:vAlign w:val="center"/>
          </w:tcPr>
          <w:p>
            <w:pPr>
              <w:pStyle w:val="10"/>
            </w:pPr>
            <w:r>
              <w:t>≥30项</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750" w:type="dxa"/>
            <w:vAlign w:val="center"/>
          </w:tcPr>
          <w:p>
            <w:pPr>
              <w:pStyle w:val="10"/>
            </w:pPr>
            <w:r>
              <w:t>服务对象满意度指标</w:t>
            </w:r>
          </w:p>
        </w:tc>
        <w:tc>
          <w:tcPr>
            <w:tcW w:w="2473" w:type="dxa"/>
            <w:vAlign w:val="center"/>
          </w:tcPr>
          <w:p>
            <w:pPr>
              <w:pStyle w:val="10"/>
            </w:pPr>
            <w:r>
              <w:t>考察服务对象满意度指标</w:t>
            </w:r>
          </w:p>
        </w:tc>
        <w:tc>
          <w:tcPr>
            <w:tcW w:w="1276" w:type="dxa"/>
            <w:vAlign w:val="center"/>
          </w:tcPr>
          <w:p>
            <w:pPr>
              <w:pStyle w:val="10"/>
            </w:pPr>
            <w:r>
              <w:t>≥90%</w:t>
            </w:r>
          </w:p>
        </w:tc>
        <w:tc>
          <w:tcPr>
            <w:tcW w:w="1843" w:type="dxa"/>
            <w:vAlign w:val="center"/>
          </w:tcPr>
          <w:p>
            <w:pPr>
              <w:pStyle w:val="10"/>
            </w:pPr>
            <w:r>
              <w:t>历史标准</w:t>
            </w:r>
          </w:p>
        </w:tc>
      </w:tr>
    </w:tbl>
    <w:p>
      <w:pPr>
        <w:sectPr>
          <w:pgSz w:w="11900" w:h="16840"/>
          <w:pgMar w:top="1984" w:right="1304" w:bottom="1134" w:left="1304" w:header="720" w:footer="720" w:gutter="0"/>
          <w:pgNumType w:fmt="numberInDash"/>
          <w:cols w:space="720" w:num="1"/>
        </w:sect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201001青岛市科学技术局本级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37020023P06001110003U</w:t>
            </w:r>
          </w:p>
        </w:tc>
        <w:tc>
          <w:tcPr>
            <w:tcW w:w="1587" w:type="dxa"/>
            <w:vAlign w:val="center"/>
          </w:tcPr>
          <w:p>
            <w:pPr>
              <w:pStyle w:val="9"/>
            </w:pPr>
            <w:r>
              <w:t>项目名称</w:t>
            </w:r>
          </w:p>
        </w:tc>
        <w:tc>
          <w:tcPr>
            <w:tcW w:w="4422" w:type="dxa"/>
            <w:gridSpan w:val="3"/>
            <w:vAlign w:val="center"/>
          </w:tcPr>
          <w:p>
            <w:pPr>
              <w:pStyle w:val="10"/>
            </w:pPr>
            <w:r>
              <w:t>科技服务支撑计划（科普能力建设（科技基础设施））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2000.00</w:t>
            </w:r>
          </w:p>
        </w:tc>
        <w:tc>
          <w:tcPr>
            <w:tcW w:w="1587" w:type="dxa"/>
            <w:vAlign w:val="center"/>
          </w:tcPr>
          <w:p>
            <w:pPr>
              <w:pStyle w:val="9"/>
            </w:pPr>
            <w:r>
              <w:t>其中：财政    资金</w:t>
            </w:r>
          </w:p>
        </w:tc>
        <w:tc>
          <w:tcPr>
            <w:tcW w:w="1304" w:type="dxa"/>
            <w:vAlign w:val="center"/>
          </w:tcPr>
          <w:p>
            <w:pPr>
              <w:pStyle w:val="10"/>
            </w:pPr>
            <w:r>
              <w:t>2000.00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推动科技创新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rPr>
                <w:rFonts w:hint="eastAsia"/>
                <w:lang w:eastAsia="zh-CN"/>
              </w:rP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2000.00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通过项目实施，依托中科院学科及平台优势，建设6个海洋研学实验室，打造海洋文创品牌，推出6个文创产品。实现科研成果转化不少于3个，面向青少年海洋科技教育需求，开发海洋特色研学课程不少于20个，提升青岛海洋科普品牌影响力。</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93"/>
        <w:gridCol w:w="1701"/>
        <w:gridCol w:w="3402"/>
        <w:gridCol w:w="993"/>
        <w:gridCol w:w="12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93" w:type="dxa"/>
            <w:vAlign w:val="center"/>
          </w:tcPr>
          <w:p>
            <w:pPr>
              <w:pStyle w:val="9"/>
            </w:pPr>
            <w:r>
              <w:t>二级指标</w:t>
            </w:r>
          </w:p>
        </w:tc>
        <w:tc>
          <w:tcPr>
            <w:tcW w:w="1701" w:type="dxa"/>
            <w:vAlign w:val="center"/>
          </w:tcPr>
          <w:p>
            <w:pPr>
              <w:pStyle w:val="9"/>
            </w:pPr>
            <w:r>
              <w:t>三级指标</w:t>
            </w:r>
          </w:p>
        </w:tc>
        <w:tc>
          <w:tcPr>
            <w:tcW w:w="3402" w:type="dxa"/>
            <w:vAlign w:val="center"/>
          </w:tcPr>
          <w:p>
            <w:pPr>
              <w:pStyle w:val="9"/>
            </w:pPr>
            <w:r>
              <w:t>绩效指标描述</w:t>
            </w:r>
          </w:p>
        </w:tc>
        <w:tc>
          <w:tcPr>
            <w:tcW w:w="993" w:type="dxa"/>
            <w:vAlign w:val="center"/>
          </w:tcPr>
          <w:p>
            <w:pPr>
              <w:pStyle w:val="9"/>
            </w:pPr>
            <w:r>
              <w:t>指标值</w:t>
            </w:r>
          </w:p>
        </w:tc>
        <w:tc>
          <w:tcPr>
            <w:tcW w:w="1229"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93" w:type="dxa"/>
            <w:vAlign w:val="center"/>
          </w:tcPr>
          <w:p>
            <w:pPr>
              <w:pStyle w:val="10"/>
            </w:pPr>
            <w:r>
              <w:t>经济成本指标</w:t>
            </w:r>
          </w:p>
        </w:tc>
        <w:tc>
          <w:tcPr>
            <w:tcW w:w="1701" w:type="dxa"/>
            <w:vAlign w:val="center"/>
          </w:tcPr>
          <w:p>
            <w:pPr>
              <w:pStyle w:val="10"/>
            </w:pPr>
            <w:r>
              <w:t>科普能力建设预算控制数</w:t>
            </w:r>
          </w:p>
        </w:tc>
        <w:tc>
          <w:tcPr>
            <w:tcW w:w="3402" w:type="dxa"/>
            <w:vAlign w:val="center"/>
          </w:tcPr>
          <w:p>
            <w:pPr>
              <w:pStyle w:val="10"/>
            </w:pPr>
            <w:r>
              <w:t>反映科普能力建设项目预算控制情况</w:t>
            </w:r>
          </w:p>
        </w:tc>
        <w:tc>
          <w:tcPr>
            <w:tcW w:w="993" w:type="dxa"/>
            <w:vAlign w:val="center"/>
          </w:tcPr>
          <w:p>
            <w:pPr>
              <w:pStyle w:val="10"/>
            </w:pPr>
            <w:r>
              <w:t>≤2000万元</w:t>
            </w:r>
          </w:p>
        </w:tc>
        <w:tc>
          <w:tcPr>
            <w:tcW w:w="1229"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93" w:type="dxa"/>
            <w:vAlign w:val="center"/>
          </w:tcPr>
          <w:p>
            <w:pPr>
              <w:pStyle w:val="10"/>
            </w:pPr>
            <w:r>
              <w:t>数量指标</w:t>
            </w:r>
          </w:p>
        </w:tc>
        <w:tc>
          <w:tcPr>
            <w:tcW w:w="1701" w:type="dxa"/>
            <w:vAlign w:val="center"/>
          </w:tcPr>
          <w:p>
            <w:pPr>
              <w:pStyle w:val="10"/>
            </w:pPr>
            <w:r>
              <w:t>海洋科技实验室个数</w:t>
            </w:r>
          </w:p>
        </w:tc>
        <w:tc>
          <w:tcPr>
            <w:tcW w:w="3402" w:type="dxa"/>
            <w:vAlign w:val="center"/>
          </w:tcPr>
          <w:p>
            <w:pPr>
              <w:pStyle w:val="10"/>
            </w:pPr>
            <w:r>
              <w:t>依托中科院学科及平台优势，建设海洋研学实验室</w:t>
            </w:r>
          </w:p>
        </w:tc>
        <w:tc>
          <w:tcPr>
            <w:tcW w:w="993" w:type="dxa"/>
            <w:vAlign w:val="center"/>
          </w:tcPr>
          <w:p>
            <w:pPr>
              <w:pStyle w:val="10"/>
            </w:pPr>
            <w:r>
              <w:t>6个</w:t>
            </w:r>
          </w:p>
        </w:tc>
        <w:tc>
          <w:tcPr>
            <w:tcW w:w="1229"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93" w:type="dxa"/>
            <w:vAlign w:val="center"/>
          </w:tcPr>
          <w:p>
            <w:pPr>
              <w:pStyle w:val="10"/>
            </w:pPr>
            <w:r>
              <w:t>数量指标</w:t>
            </w:r>
          </w:p>
        </w:tc>
        <w:tc>
          <w:tcPr>
            <w:tcW w:w="1701" w:type="dxa"/>
            <w:vAlign w:val="center"/>
          </w:tcPr>
          <w:p>
            <w:pPr>
              <w:pStyle w:val="10"/>
            </w:pPr>
            <w:r>
              <w:t>海洋文创产品个数</w:t>
            </w:r>
          </w:p>
        </w:tc>
        <w:tc>
          <w:tcPr>
            <w:tcW w:w="3402" w:type="dxa"/>
            <w:vAlign w:val="center"/>
          </w:tcPr>
          <w:p>
            <w:pPr>
              <w:pStyle w:val="10"/>
            </w:pPr>
            <w:r>
              <w:t>打造海洋文创品牌，推出一批文创产品</w:t>
            </w:r>
          </w:p>
        </w:tc>
        <w:tc>
          <w:tcPr>
            <w:tcW w:w="993" w:type="dxa"/>
            <w:vAlign w:val="center"/>
          </w:tcPr>
          <w:p>
            <w:pPr>
              <w:pStyle w:val="10"/>
            </w:pPr>
            <w:r>
              <w:t>6个</w:t>
            </w:r>
          </w:p>
        </w:tc>
        <w:tc>
          <w:tcPr>
            <w:tcW w:w="1229"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93" w:type="dxa"/>
            <w:vAlign w:val="center"/>
          </w:tcPr>
          <w:p>
            <w:pPr>
              <w:pStyle w:val="10"/>
            </w:pPr>
            <w:r>
              <w:t>数量指标</w:t>
            </w:r>
          </w:p>
        </w:tc>
        <w:tc>
          <w:tcPr>
            <w:tcW w:w="1701" w:type="dxa"/>
            <w:vAlign w:val="center"/>
          </w:tcPr>
          <w:p>
            <w:pPr>
              <w:pStyle w:val="10"/>
            </w:pPr>
            <w:r>
              <w:t>特色海洋科技场馆</w:t>
            </w:r>
          </w:p>
        </w:tc>
        <w:tc>
          <w:tcPr>
            <w:tcW w:w="3402" w:type="dxa"/>
            <w:vAlign w:val="center"/>
          </w:tcPr>
          <w:p>
            <w:pPr>
              <w:pStyle w:val="10"/>
            </w:pPr>
            <w:r>
              <w:t>发挥中科院海洋生物标本馆资源优势，打造专业特色海洋科普场馆</w:t>
            </w:r>
          </w:p>
        </w:tc>
        <w:tc>
          <w:tcPr>
            <w:tcW w:w="993" w:type="dxa"/>
            <w:vAlign w:val="center"/>
          </w:tcPr>
          <w:p>
            <w:pPr>
              <w:pStyle w:val="10"/>
            </w:pPr>
            <w:r>
              <w:t>1个</w:t>
            </w:r>
          </w:p>
        </w:tc>
        <w:tc>
          <w:tcPr>
            <w:tcW w:w="1229"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93" w:type="dxa"/>
            <w:vAlign w:val="center"/>
          </w:tcPr>
          <w:p>
            <w:pPr>
              <w:pStyle w:val="10"/>
            </w:pPr>
            <w:r>
              <w:t>数量指标</w:t>
            </w:r>
          </w:p>
        </w:tc>
        <w:tc>
          <w:tcPr>
            <w:tcW w:w="1701" w:type="dxa"/>
            <w:vAlign w:val="center"/>
          </w:tcPr>
          <w:p>
            <w:pPr>
              <w:pStyle w:val="10"/>
            </w:pPr>
            <w:r>
              <w:t>海洋科技实验室建设达标率</w:t>
            </w:r>
          </w:p>
        </w:tc>
        <w:tc>
          <w:tcPr>
            <w:tcW w:w="3402" w:type="dxa"/>
            <w:vAlign w:val="center"/>
          </w:tcPr>
          <w:p>
            <w:pPr>
              <w:pStyle w:val="10"/>
            </w:pPr>
            <w:r>
              <w:t>反映海洋科技实验室建设达标情况。</w:t>
            </w:r>
          </w:p>
        </w:tc>
        <w:tc>
          <w:tcPr>
            <w:tcW w:w="993" w:type="dxa"/>
            <w:vAlign w:val="center"/>
          </w:tcPr>
          <w:p>
            <w:pPr>
              <w:pStyle w:val="10"/>
            </w:pPr>
            <w:r>
              <w:t>≥90%</w:t>
            </w:r>
          </w:p>
        </w:tc>
        <w:tc>
          <w:tcPr>
            <w:tcW w:w="1229"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93" w:type="dxa"/>
            <w:vAlign w:val="center"/>
          </w:tcPr>
          <w:p>
            <w:pPr>
              <w:pStyle w:val="10"/>
            </w:pPr>
            <w:r>
              <w:t>质量指标</w:t>
            </w:r>
          </w:p>
        </w:tc>
        <w:tc>
          <w:tcPr>
            <w:tcW w:w="1701" w:type="dxa"/>
            <w:vAlign w:val="center"/>
          </w:tcPr>
          <w:p>
            <w:pPr>
              <w:pStyle w:val="10"/>
            </w:pPr>
            <w:r>
              <w:t>海洋文创产品符合度</w:t>
            </w:r>
          </w:p>
        </w:tc>
        <w:tc>
          <w:tcPr>
            <w:tcW w:w="3402" w:type="dxa"/>
            <w:vAlign w:val="center"/>
          </w:tcPr>
          <w:p>
            <w:pPr>
              <w:pStyle w:val="10"/>
            </w:pPr>
            <w:r>
              <w:t>反映海洋文创产品符合情况</w:t>
            </w:r>
          </w:p>
        </w:tc>
        <w:tc>
          <w:tcPr>
            <w:tcW w:w="993" w:type="dxa"/>
            <w:vAlign w:val="center"/>
          </w:tcPr>
          <w:p>
            <w:pPr>
              <w:pStyle w:val="10"/>
            </w:pPr>
            <w:r>
              <w:t>≥90%</w:t>
            </w:r>
          </w:p>
        </w:tc>
        <w:tc>
          <w:tcPr>
            <w:tcW w:w="1229"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93" w:type="dxa"/>
            <w:vAlign w:val="center"/>
          </w:tcPr>
          <w:p>
            <w:pPr>
              <w:pStyle w:val="10"/>
            </w:pPr>
            <w:r>
              <w:rPr>
                <w:rFonts w:hint="eastAsia"/>
                <w:lang w:eastAsia="zh-CN"/>
              </w:rPr>
              <w:t>时效</w:t>
            </w:r>
            <w:r>
              <w:t>指标</w:t>
            </w:r>
          </w:p>
        </w:tc>
        <w:tc>
          <w:tcPr>
            <w:tcW w:w="1701" w:type="dxa"/>
            <w:vAlign w:val="center"/>
          </w:tcPr>
          <w:p>
            <w:pPr>
              <w:pStyle w:val="10"/>
              <w:rPr>
                <w:lang w:eastAsia="zh-CN"/>
              </w:rPr>
            </w:pPr>
            <w:r>
              <w:t>工作完成</w:t>
            </w:r>
            <w:r>
              <w:rPr>
                <w:rFonts w:hint="eastAsia"/>
                <w:lang w:eastAsia="zh-CN"/>
              </w:rPr>
              <w:t>及时率</w:t>
            </w:r>
          </w:p>
        </w:tc>
        <w:tc>
          <w:tcPr>
            <w:tcW w:w="3402" w:type="dxa"/>
            <w:vAlign w:val="center"/>
          </w:tcPr>
          <w:p>
            <w:pPr>
              <w:pStyle w:val="10"/>
            </w:pPr>
            <w:r>
              <w:t>考察工作完成</w:t>
            </w:r>
            <w:r>
              <w:rPr>
                <w:rFonts w:hint="eastAsia"/>
                <w:lang w:eastAsia="zh-CN"/>
              </w:rPr>
              <w:t>及时率</w:t>
            </w:r>
          </w:p>
        </w:tc>
        <w:tc>
          <w:tcPr>
            <w:tcW w:w="993" w:type="dxa"/>
            <w:vAlign w:val="center"/>
          </w:tcPr>
          <w:p>
            <w:pPr>
              <w:pStyle w:val="10"/>
              <w:rPr>
                <w:lang w:eastAsia="zh-CN"/>
              </w:rPr>
            </w:pPr>
            <w:r>
              <w:rPr>
                <w:rFonts w:hint="eastAsia"/>
                <w:lang w:eastAsia="zh-CN"/>
              </w:rPr>
              <w:t>100%</w:t>
            </w:r>
          </w:p>
        </w:tc>
        <w:tc>
          <w:tcPr>
            <w:tcW w:w="1229"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93" w:type="dxa"/>
            <w:vAlign w:val="center"/>
          </w:tcPr>
          <w:p>
            <w:pPr>
              <w:pStyle w:val="10"/>
            </w:pPr>
            <w:r>
              <w:t>社会效益指标</w:t>
            </w:r>
          </w:p>
        </w:tc>
        <w:tc>
          <w:tcPr>
            <w:tcW w:w="1701" w:type="dxa"/>
            <w:vAlign w:val="center"/>
          </w:tcPr>
          <w:p>
            <w:pPr>
              <w:pStyle w:val="10"/>
            </w:pPr>
            <w:r>
              <w:t>提升青岛海洋科普品牌影响力</w:t>
            </w:r>
          </w:p>
        </w:tc>
        <w:tc>
          <w:tcPr>
            <w:tcW w:w="3402" w:type="dxa"/>
            <w:vAlign w:val="center"/>
          </w:tcPr>
          <w:p>
            <w:pPr>
              <w:pStyle w:val="10"/>
            </w:pPr>
            <w:r>
              <w:t>科学普及海洋知识，宣传海洋文化</w:t>
            </w:r>
          </w:p>
        </w:tc>
        <w:tc>
          <w:tcPr>
            <w:tcW w:w="993" w:type="dxa"/>
            <w:vAlign w:val="center"/>
          </w:tcPr>
          <w:p>
            <w:pPr>
              <w:pStyle w:val="10"/>
            </w:pPr>
            <w:r>
              <w:rPr>
                <w:rFonts w:hint="eastAsia"/>
                <w:lang w:eastAsia="zh-CN"/>
              </w:rPr>
              <w:t>同比</w:t>
            </w:r>
            <w:r>
              <w:t>提升</w:t>
            </w:r>
          </w:p>
        </w:tc>
        <w:tc>
          <w:tcPr>
            <w:tcW w:w="1229"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93" w:type="dxa"/>
            <w:vAlign w:val="center"/>
          </w:tcPr>
          <w:p>
            <w:pPr>
              <w:pStyle w:val="10"/>
            </w:pPr>
            <w:r>
              <w:t>社会效益指标</w:t>
            </w:r>
          </w:p>
        </w:tc>
        <w:tc>
          <w:tcPr>
            <w:tcW w:w="1701" w:type="dxa"/>
            <w:vAlign w:val="center"/>
          </w:tcPr>
          <w:p>
            <w:pPr>
              <w:pStyle w:val="10"/>
            </w:pPr>
            <w:r>
              <w:t>科研成果转化数</w:t>
            </w:r>
          </w:p>
        </w:tc>
        <w:tc>
          <w:tcPr>
            <w:tcW w:w="3402" w:type="dxa"/>
            <w:vAlign w:val="center"/>
          </w:tcPr>
          <w:p>
            <w:pPr>
              <w:pStyle w:val="10"/>
            </w:pPr>
            <w:r>
              <w:t>实现高端科研资源科普化</w:t>
            </w:r>
          </w:p>
        </w:tc>
        <w:tc>
          <w:tcPr>
            <w:tcW w:w="993" w:type="dxa"/>
            <w:vAlign w:val="center"/>
          </w:tcPr>
          <w:p>
            <w:pPr>
              <w:pStyle w:val="10"/>
            </w:pPr>
            <w:r>
              <w:t>≥3个</w:t>
            </w:r>
          </w:p>
        </w:tc>
        <w:tc>
          <w:tcPr>
            <w:tcW w:w="1229"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93" w:type="dxa"/>
            <w:vAlign w:val="center"/>
          </w:tcPr>
          <w:p>
            <w:pPr>
              <w:pStyle w:val="10"/>
            </w:pPr>
            <w:r>
              <w:t>社会效益指标</w:t>
            </w:r>
          </w:p>
        </w:tc>
        <w:tc>
          <w:tcPr>
            <w:tcW w:w="1701" w:type="dxa"/>
            <w:vAlign w:val="center"/>
          </w:tcPr>
          <w:p>
            <w:pPr>
              <w:pStyle w:val="10"/>
            </w:pPr>
            <w:r>
              <w:t>特色课程数目</w:t>
            </w:r>
          </w:p>
        </w:tc>
        <w:tc>
          <w:tcPr>
            <w:tcW w:w="3402" w:type="dxa"/>
            <w:vAlign w:val="center"/>
          </w:tcPr>
          <w:p>
            <w:pPr>
              <w:pStyle w:val="10"/>
            </w:pPr>
            <w:r>
              <w:t>面向青少年海洋科技教育需求，开发海洋特色研学课程</w:t>
            </w:r>
          </w:p>
        </w:tc>
        <w:tc>
          <w:tcPr>
            <w:tcW w:w="993" w:type="dxa"/>
            <w:vAlign w:val="center"/>
          </w:tcPr>
          <w:p>
            <w:pPr>
              <w:pStyle w:val="10"/>
            </w:pPr>
            <w:r>
              <w:t>≥20个</w:t>
            </w:r>
          </w:p>
        </w:tc>
        <w:tc>
          <w:tcPr>
            <w:tcW w:w="1229"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93" w:type="dxa"/>
            <w:vAlign w:val="center"/>
          </w:tcPr>
          <w:p>
            <w:pPr>
              <w:pStyle w:val="10"/>
            </w:pPr>
            <w:r>
              <w:t>社会效益指标</w:t>
            </w:r>
          </w:p>
        </w:tc>
        <w:tc>
          <w:tcPr>
            <w:tcW w:w="1701" w:type="dxa"/>
            <w:vAlign w:val="center"/>
          </w:tcPr>
          <w:p>
            <w:pPr>
              <w:pStyle w:val="10"/>
            </w:pPr>
            <w:r>
              <w:t>吸引海洋科普人才</w:t>
            </w:r>
          </w:p>
        </w:tc>
        <w:tc>
          <w:tcPr>
            <w:tcW w:w="3402" w:type="dxa"/>
            <w:vAlign w:val="center"/>
          </w:tcPr>
          <w:p>
            <w:pPr>
              <w:pStyle w:val="10"/>
            </w:pPr>
            <w:r>
              <w:t>通过多种方式引进海洋科普专家参与基地建设，考核基地的人才高地建设情况</w:t>
            </w:r>
          </w:p>
        </w:tc>
        <w:tc>
          <w:tcPr>
            <w:tcW w:w="993" w:type="dxa"/>
            <w:vAlign w:val="center"/>
          </w:tcPr>
          <w:p>
            <w:pPr>
              <w:pStyle w:val="10"/>
            </w:pPr>
            <w:r>
              <w:t>≥</w:t>
            </w:r>
            <w:r>
              <w:rPr>
                <w:rFonts w:hint="eastAsia"/>
                <w:lang w:eastAsia="zh-CN"/>
              </w:rPr>
              <w:t>3</w:t>
            </w:r>
            <w:r>
              <w:t>0人</w:t>
            </w:r>
          </w:p>
        </w:tc>
        <w:tc>
          <w:tcPr>
            <w:tcW w:w="1229"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93" w:type="dxa"/>
            <w:vAlign w:val="center"/>
          </w:tcPr>
          <w:p>
            <w:pPr>
              <w:pStyle w:val="10"/>
            </w:pPr>
            <w:r>
              <w:t>社会效益指标</w:t>
            </w:r>
          </w:p>
        </w:tc>
        <w:tc>
          <w:tcPr>
            <w:tcW w:w="1701" w:type="dxa"/>
            <w:vAlign w:val="center"/>
          </w:tcPr>
          <w:p>
            <w:pPr>
              <w:pStyle w:val="10"/>
            </w:pPr>
            <w:r>
              <w:t>基地的领先性</w:t>
            </w:r>
          </w:p>
        </w:tc>
        <w:tc>
          <w:tcPr>
            <w:tcW w:w="3402" w:type="dxa"/>
            <w:vAlign w:val="center"/>
          </w:tcPr>
          <w:p>
            <w:pPr>
              <w:pStyle w:val="10"/>
            </w:pPr>
            <w:r>
              <w:t>委托专业机构，对基地的领先性进行综合评价</w:t>
            </w:r>
          </w:p>
        </w:tc>
        <w:tc>
          <w:tcPr>
            <w:tcW w:w="993" w:type="dxa"/>
            <w:vAlign w:val="center"/>
          </w:tcPr>
          <w:p>
            <w:pPr>
              <w:pStyle w:val="10"/>
            </w:pPr>
            <w:r>
              <w:t>国内一流、行业顶尖</w:t>
            </w:r>
          </w:p>
        </w:tc>
        <w:tc>
          <w:tcPr>
            <w:tcW w:w="1229"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93" w:type="dxa"/>
            <w:vAlign w:val="center"/>
          </w:tcPr>
          <w:p>
            <w:pPr>
              <w:pStyle w:val="10"/>
            </w:pPr>
            <w:r>
              <w:t>社会效益指标</w:t>
            </w:r>
          </w:p>
        </w:tc>
        <w:tc>
          <w:tcPr>
            <w:tcW w:w="1701" w:type="dxa"/>
            <w:vAlign w:val="center"/>
          </w:tcPr>
          <w:p>
            <w:pPr>
              <w:pStyle w:val="10"/>
            </w:pPr>
            <w:r>
              <w:t>带动国家海洋科技教育</w:t>
            </w:r>
          </w:p>
        </w:tc>
        <w:tc>
          <w:tcPr>
            <w:tcW w:w="3402" w:type="dxa"/>
            <w:vAlign w:val="center"/>
          </w:tcPr>
          <w:p>
            <w:pPr>
              <w:pStyle w:val="10"/>
            </w:pPr>
            <w:r>
              <w:t>促进科技与教育深度融合</w:t>
            </w:r>
          </w:p>
        </w:tc>
        <w:tc>
          <w:tcPr>
            <w:tcW w:w="993" w:type="dxa"/>
            <w:vAlign w:val="center"/>
          </w:tcPr>
          <w:p>
            <w:pPr>
              <w:pStyle w:val="10"/>
              <w:rPr>
                <w:lang w:eastAsia="zh-CN"/>
              </w:rPr>
            </w:pPr>
            <w:r>
              <w:rPr>
                <w:rFonts w:hint="eastAsia"/>
                <w:lang w:eastAsia="zh-CN"/>
              </w:rPr>
              <w:t>效果明显</w:t>
            </w:r>
          </w:p>
        </w:tc>
        <w:tc>
          <w:tcPr>
            <w:tcW w:w="1229"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93" w:type="dxa"/>
            <w:vAlign w:val="center"/>
          </w:tcPr>
          <w:p>
            <w:pPr>
              <w:pStyle w:val="10"/>
            </w:pPr>
            <w:r>
              <w:t>社会效益指标</w:t>
            </w:r>
          </w:p>
        </w:tc>
        <w:tc>
          <w:tcPr>
            <w:tcW w:w="1701" w:type="dxa"/>
            <w:vAlign w:val="center"/>
          </w:tcPr>
          <w:p>
            <w:pPr>
              <w:pStyle w:val="10"/>
            </w:pPr>
            <w:r>
              <w:t>打造国家级科技教育基地</w:t>
            </w:r>
          </w:p>
        </w:tc>
        <w:tc>
          <w:tcPr>
            <w:tcW w:w="3402" w:type="dxa"/>
            <w:vAlign w:val="center"/>
          </w:tcPr>
          <w:p>
            <w:pPr>
              <w:pStyle w:val="10"/>
            </w:pPr>
            <w:r>
              <w:t>充分国家级科研院所资源和平台优势</w:t>
            </w:r>
          </w:p>
        </w:tc>
        <w:tc>
          <w:tcPr>
            <w:tcW w:w="993" w:type="dxa"/>
            <w:vAlign w:val="center"/>
          </w:tcPr>
          <w:p>
            <w:pPr>
              <w:pStyle w:val="10"/>
            </w:pPr>
            <w:r>
              <w:rPr>
                <w:rFonts w:hint="eastAsia"/>
                <w:lang w:eastAsia="zh-CN"/>
              </w:rPr>
              <w:t>效果明显</w:t>
            </w:r>
          </w:p>
        </w:tc>
        <w:tc>
          <w:tcPr>
            <w:tcW w:w="1229"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93" w:type="dxa"/>
            <w:vAlign w:val="center"/>
          </w:tcPr>
          <w:p>
            <w:pPr>
              <w:pStyle w:val="10"/>
            </w:pPr>
            <w:r>
              <w:t>服务对象满意度指标</w:t>
            </w:r>
          </w:p>
        </w:tc>
        <w:tc>
          <w:tcPr>
            <w:tcW w:w="1701" w:type="dxa"/>
            <w:vAlign w:val="center"/>
          </w:tcPr>
          <w:p>
            <w:pPr>
              <w:pStyle w:val="10"/>
            </w:pPr>
            <w:r>
              <w:t>社会公众满意度</w:t>
            </w:r>
          </w:p>
        </w:tc>
        <w:tc>
          <w:tcPr>
            <w:tcW w:w="3402" w:type="dxa"/>
            <w:vAlign w:val="center"/>
          </w:tcPr>
          <w:p>
            <w:pPr>
              <w:pStyle w:val="10"/>
            </w:pPr>
            <w:r>
              <w:t>反映社会公众满意度</w:t>
            </w:r>
          </w:p>
        </w:tc>
        <w:tc>
          <w:tcPr>
            <w:tcW w:w="993" w:type="dxa"/>
            <w:vAlign w:val="center"/>
          </w:tcPr>
          <w:p>
            <w:pPr>
              <w:pStyle w:val="10"/>
            </w:pPr>
            <w:r>
              <w:t>≥90%</w:t>
            </w:r>
          </w:p>
        </w:tc>
        <w:tc>
          <w:tcPr>
            <w:tcW w:w="1229" w:type="dxa"/>
            <w:vAlign w:val="center"/>
          </w:tcPr>
          <w:p>
            <w:pPr>
              <w:pStyle w:val="10"/>
            </w:pPr>
            <w:r>
              <w:t>历史标准</w:t>
            </w:r>
          </w:p>
        </w:tc>
      </w:tr>
    </w:tbl>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sectPr>
          <w:pgSz w:w="11900" w:h="16840"/>
          <w:pgMar w:top="1984" w:right="1304" w:bottom="1134" w:left="1304" w:header="720" w:footer="720" w:gutter="0"/>
          <w:pgNumType w:fmt="numberInDash"/>
          <w:cols w:space="720" w:num="1"/>
        </w:sect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201001青岛市科学技术局本级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37020023P06000210007Q</w:t>
            </w:r>
          </w:p>
        </w:tc>
        <w:tc>
          <w:tcPr>
            <w:tcW w:w="1587" w:type="dxa"/>
            <w:vAlign w:val="center"/>
          </w:tcPr>
          <w:p>
            <w:pPr>
              <w:pStyle w:val="9"/>
            </w:pPr>
            <w:r>
              <w:t>项目名称</w:t>
            </w:r>
          </w:p>
        </w:tc>
        <w:tc>
          <w:tcPr>
            <w:tcW w:w="4422" w:type="dxa"/>
            <w:gridSpan w:val="3"/>
            <w:vAlign w:val="center"/>
          </w:tcPr>
          <w:p>
            <w:pPr>
              <w:pStyle w:val="10"/>
            </w:pPr>
            <w:r>
              <w:t>实验室建设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11500.00</w:t>
            </w:r>
          </w:p>
        </w:tc>
        <w:tc>
          <w:tcPr>
            <w:tcW w:w="1587" w:type="dxa"/>
            <w:vAlign w:val="center"/>
          </w:tcPr>
          <w:p>
            <w:pPr>
              <w:pStyle w:val="9"/>
            </w:pPr>
            <w:r>
              <w:t>其中：财政    资金</w:t>
            </w:r>
          </w:p>
        </w:tc>
        <w:tc>
          <w:tcPr>
            <w:tcW w:w="1304" w:type="dxa"/>
            <w:vAlign w:val="center"/>
          </w:tcPr>
          <w:p>
            <w:pPr>
              <w:pStyle w:val="10"/>
            </w:pPr>
            <w:r>
              <w:t>11500.00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实验室建设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rPr>
                <w:rFonts w:hint="eastAsia"/>
                <w:lang w:eastAsia="zh-CN"/>
              </w:rP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11500.00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通过项目实施，有效发表高水平论文数量50篇，培养研究生数量50人，服务企业不少于10家，组建体系化研究组群不少于2个，合同成交额不少于550万元，新增自主知识产权数量申请不少于60个。</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实验室建设</w:t>
            </w:r>
            <w:r>
              <w:rPr>
                <w:rFonts w:hint="eastAsia"/>
                <w:lang w:eastAsia="zh-CN"/>
              </w:rPr>
              <w:t>项目</w:t>
            </w:r>
            <w:r>
              <w:t>预算控制数</w:t>
            </w:r>
          </w:p>
        </w:tc>
        <w:tc>
          <w:tcPr>
            <w:tcW w:w="2891" w:type="dxa"/>
            <w:vAlign w:val="center"/>
          </w:tcPr>
          <w:p>
            <w:pPr>
              <w:pStyle w:val="10"/>
            </w:pPr>
            <w:r>
              <w:t>反映实验室建设项目预算控制情况</w:t>
            </w:r>
          </w:p>
        </w:tc>
        <w:tc>
          <w:tcPr>
            <w:tcW w:w="1276" w:type="dxa"/>
            <w:vAlign w:val="center"/>
          </w:tcPr>
          <w:p>
            <w:pPr>
              <w:pStyle w:val="10"/>
            </w:pPr>
            <w:r>
              <w:t>≤11500万元</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支持项目数量</w:t>
            </w:r>
          </w:p>
        </w:tc>
        <w:tc>
          <w:tcPr>
            <w:tcW w:w="2891" w:type="dxa"/>
            <w:vAlign w:val="center"/>
          </w:tcPr>
          <w:p>
            <w:pPr>
              <w:pStyle w:val="10"/>
            </w:pPr>
            <w:r>
              <w:t>考察支持项目数量</w:t>
            </w:r>
          </w:p>
        </w:tc>
        <w:tc>
          <w:tcPr>
            <w:tcW w:w="1276" w:type="dxa"/>
            <w:vAlign w:val="center"/>
          </w:tcPr>
          <w:p>
            <w:pPr>
              <w:pStyle w:val="10"/>
            </w:pPr>
            <w:r>
              <w:t>≥3项</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发表高水平论文数</w:t>
            </w:r>
          </w:p>
        </w:tc>
        <w:tc>
          <w:tcPr>
            <w:tcW w:w="2891" w:type="dxa"/>
            <w:vAlign w:val="center"/>
          </w:tcPr>
          <w:p>
            <w:pPr>
              <w:pStyle w:val="10"/>
            </w:pPr>
            <w:r>
              <w:t>考察发表高水平论文数量</w:t>
            </w:r>
          </w:p>
        </w:tc>
        <w:tc>
          <w:tcPr>
            <w:tcW w:w="1276" w:type="dxa"/>
            <w:vAlign w:val="center"/>
          </w:tcPr>
          <w:p>
            <w:pPr>
              <w:pStyle w:val="10"/>
            </w:pPr>
            <w:r>
              <w:t>≥50篇</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补助项目达标率</w:t>
            </w:r>
          </w:p>
        </w:tc>
        <w:tc>
          <w:tcPr>
            <w:tcW w:w="2891" w:type="dxa"/>
            <w:vAlign w:val="center"/>
          </w:tcPr>
          <w:p>
            <w:pPr>
              <w:pStyle w:val="10"/>
            </w:pPr>
            <w:r>
              <w:t>考察补助项目达标率</w:t>
            </w:r>
          </w:p>
        </w:tc>
        <w:tc>
          <w:tcPr>
            <w:tcW w:w="1276" w:type="dxa"/>
            <w:vAlign w:val="center"/>
          </w:tcPr>
          <w:p>
            <w:pPr>
              <w:pStyle w:val="10"/>
            </w:pPr>
            <w:r>
              <w:t>≥95%</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rPr>
                <w:lang w:eastAsia="zh-CN"/>
              </w:rPr>
            </w:pPr>
            <w:r>
              <w:rPr>
                <w:rFonts w:hint="eastAsia"/>
              </w:rPr>
              <w:t>经费使用</w:t>
            </w:r>
            <w:r>
              <w:rPr>
                <w:rFonts w:hint="eastAsia"/>
                <w:lang w:eastAsia="zh-CN"/>
              </w:rPr>
              <w:t>合规率</w:t>
            </w:r>
          </w:p>
        </w:tc>
        <w:tc>
          <w:tcPr>
            <w:tcW w:w="2891" w:type="dxa"/>
            <w:vAlign w:val="center"/>
          </w:tcPr>
          <w:p>
            <w:pPr>
              <w:pStyle w:val="10"/>
            </w:pPr>
            <w:r>
              <w:rPr>
                <w:rFonts w:hint="eastAsia"/>
              </w:rPr>
              <w:t>经费使用符合标准</w:t>
            </w:r>
          </w:p>
        </w:tc>
        <w:tc>
          <w:tcPr>
            <w:tcW w:w="1276" w:type="dxa"/>
            <w:vAlign w:val="center"/>
          </w:tcPr>
          <w:p>
            <w:pPr>
              <w:pStyle w:val="10"/>
              <w:rPr>
                <w:lang w:eastAsia="zh-CN"/>
              </w:rPr>
            </w:pPr>
            <w:r>
              <w:rPr>
                <w:rFonts w:hint="eastAsia"/>
                <w:lang w:eastAsia="zh-CN"/>
              </w:rPr>
              <w:t>100%</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rPr>
                <w:lang w:eastAsia="zh-CN"/>
              </w:rPr>
            </w:pPr>
            <w:r>
              <w:t>工作完成</w:t>
            </w:r>
            <w:r>
              <w:rPr>
                <w:rFonts w:hint="eastAsia"/>
                <w:lang w:eastAsia="zh-CN"/>
              </w:rPr>
              <w:t>及时率</w:t>
            </w:r>
          </w:p>
        </w:tc>
        <w:tc>
          <w:tcPr>
            <w:tcW w:w="2891" w:type="dxa"/>
            <w:vAlign w:val="center"/>
          </w:tcPr>
          <w:p>
            <w:pPr>
              <w:pStyle w:val="10"/>
            </w:pPr>
            <w:r>
              <w:t>考察工作完成</w:t>
            </w:r>
            <w:r>
              <w:rPr>
                <w:rFonts w:hint="eastAsia"/>
                <w:lang w:eastAsia="zh-CN"/>
              </w:rPr>
              <w:t>及时率</w:t>
            </w:r>
          </w:p>
        </w:tc>
        <w:tc>
          <w:tcPr>
            <w:tcW w:w="1276" w:type="dxa"/>
            <w:vAlign w:val="center"/>
          </w:tcPr>
          <w:p>
            <w:pPr>
              <w:pStyle w:val="10"/>
            </w:pPr>
            <w:r>
              <w:rPr>
                <w:rFonts w:hint="eastAsia"/>
                <w:lang w:eastAsia="zh-CN"/>
              </w:rPr>
              <w:t>100%</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t>经济效益指标</w:t>
            </w:r>
          </w:p>
        </w:tc>
        <w:tc>
          <w:tcPr>
            <w:tcW w:w="1332" w:type="dxa"/>
            <w:vAlign w:val="center"/>
          </w:tcPr>
          <w:p>
            <w:pPr>
              <w:pStyle w:val="10"/>
            </w:pPr>
            <w:r>
              <w:t>合同成交额</w:t>
            </w:r>
          </w:p>
        </w:tc>
        <w:tc>
          <w:tcPr>
            <w:tcW w:w="2891" w:type="dxa"/>
            <w:vAlign w:val="center"/>
          </w:tcPr>
          <w:p>
            <w:pPr>
              <w:pStyle w:val="10"/>
            </w:pPr>
            <w:r>
              <w:t>考察合同成交额数量</w:t>
            </w:r>
          </w:p>
        </w:tc>
        <w:tc>
          <w:tcPr>
            <w:tcW w:w="1276" w:type="dxa"/>
            <w:vAlign w:val="center"/>
          </w:tcPr>
          <w:p>
            <w:pPr>
              <w:pStyle w:val="10"/>
            </w:pPr>
            <w:r>
              <w:t>≥550万元</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服务企业数量</w:t>
            </w:r>
          </w:p>
        </w:tc>
        <w:tc>
          <w:tcPr>
            <w:tcW w:w="2891" w:type="dxa"/>
            <w:vAlign w:val="center"/>
          </w:tcPr>
          <w:p>
            <w:pPr>
              <w:pStyle w:val="10"/>
            </w:pPr>
            <w:r>
              <w:t>考察服务企业数量</w:t>
            </w:r>
          </w:p>
        </w:tc>
        <w:tc>
          <w:tcPr>
            <w:tcW w:w="1276" w:type="dxa"/>
            <w:vAlign w:val="center"/>
          </w:tcPr>
          <w:p>
            <w:pPr>
              <w:pStyle w:val="10"/>
            </w:pPr>
            <w:r>
              <w:t>≥10家</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引进/培养人才数量</w:t>
            </w:r>
          </w:p>
        </w:tc>
        <w:tc>
          <w:tcPr>
            <w:tcW w:w="2891" w:type="dxa"/>
            <w:vAlign w:val="center"/>
          </w:tcPr>
          <w:p>
            <w:pPr>
              <w:pStyle w:val="10"/>
            </w:pPr>
            <w:r>
              <w:t>考察培养研究生数量</w:t>
            </w:r>
          </w:p>
        </w:tc>
        <w:tc>
          <w:tcPr>
            <w:tcW w:w="1276" w:type="dxa"/>
            <w:vAlign w:val="center"/>
          </w:tcPr>
          <w:p>
            <w:pPr>
              <w:pStyle w:val="10"/>
            </w:pPr>
            <w:r>
              <w:t>≥50人</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组建体系化研究组群数量</w:t>
            </w:r>
          </w:p>
        </w:tc>
        <w:tc>
          <w:tcPr>
            <w:tcW w:w="2891" w:type="dxa"/>
            <w:vAlign w:val="center"/>
          </w:tcPr>
          <w:p>
            <w:pPr>
              <w:pStyle w:val="10"/>
            </w:pPr>
            <w:r>
              <w:t>考察组建体系化研究组群数量</w:t>
            </w:r>
          </w:p>
        </w:tc>
        <w:tc>
          <w:tcPr>
            <w:tcW w:w="1276" w:type="dxa"/>
            <w:vAlign w:val="center"/>
          </w:tcPr>
          <w:p>
            <w:pPr>
              <w:pStyle w:val="10"/>
            </w:pPr>
            <w:r>
              <w:t>≥2个</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启动建设基础研究与共性技术研发平台数量</w:t>
            </w:r>
          </w:p>
        </w:tc>
        <w:tc>
          <w:tcPr>
            <w:tcW w:w="2891" w:type="dxa"/>
            <w:vAlign w:val="center"/>
          </w:tcPr>
          <w:p>
            <w:pPr>
              <w:pStyle w:val="10"/>
            </w:pPr>
            <w:r>
              <w:t>考察启动建设基础研究与共性技术研发平台数量</w:t>
            </w:r>
          </w:p>
        </w:tc>
        <w:tc>
          <w:tcPr>
            <w:tcW w:w="1276" w:type="dxa"/>
            <w:vAlign w:val="center"/>
          </w:tcPr>
          <w:p>
            <w:pPr>
              <w:pStyle w:val="10"/>
            </w:pPr>
            <w:r>
              <w:t>≥2个</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推动技术成果转化</w:t>
            </w:r>
          </w:p>
        </w:tc>
        <w:tc>
          <w:tcPr>
            <w:tcW w:w="2891" w:type="dxa"/>
            <w:vAlign w:val="center"/>
          </w:tcPr>
          <w:p>
            <w:pPr>
              <w:pStyle w:val="10"/>
            </w:pPr>
            <w:r>
              <w:t>考察技术成果转化数量</w:t>
            </w:r>
          </w:p>
        </w:tc>
        <w:tc>
          <w:tcPr>
            <w:tcW w:w="1276" w:type="dxa"/>
            <w:vAlign w:val="center"/>
          </w:tcPr>
          <w:p>
            <w:pPr>
              <w:pStyle w:val="10"/>
            </w:pPr>
            <w:r>
              <w:t>≥20项</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申请或获得专利数量</w:t>
            </w:r>
          </w:p>
        </w:tc>
        <w:tc>
          <w:tcPr>
            <w:tcW w:w="2891" w:type="dxa"/>
            <w:vAlign w:val="center"/>
          </w:tcPr>
          <w:p>
            <w:pPr>
              <w:pStyle w:val="10"/>
            </w:pPr>
            <w:r>
              <w:t>考察新增自主知识产权数量申请数量</w:t>
            </w:r>
          </w:p>
        </w:tc>
        <w:tc>
          <w:tcPr>
            <w:tcW w:w="1276" w:type="dxa"/>
            <w:vAlign w:val="center"/>
          </w:tcPr>
          <w:p>
            <w:pPr>
              <w:pStyle w:val="10"/>
            </w:pPr>
            <w:r>
              <w:t>≥60项</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考察服务对象满意度</w:t>
            </w:r>
          </w:p>
        </w:tc>
        <w:tc>
          <w:tcPr>
            <w:tcW w:w="1276" w:type="dxa"/>
            <w:vAlign w:val="center"/>
          </w:tcPr>
          <w:p>
            <w:pPr>
              <w:pStyle w:val="10"/>
            </w:pPr>
            <w:r>
              <w:t>≥90%</w:t>
            </w:r>
          </w:p>
        </w:tc>
        <w:tc>
          <w:tcPr>
            <w:tcW w:w="1843" w:type="dxa"/>
            <w:vAlign w:val="center"/>
          </w:tcPr>
          <w:p>
            <w:pPr>
              <w:pStyle w:val="10"/>
            </w:pPr>
            <w:r>
              <w:t>历史标准</w:t>
            </w:r>
          </w:p>
        </w:tc>
      </w:tr>
    </w:tbl>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p>
    <w:p>
      <w:pPr>
        <w:widowControl w:val="0"/>
        <w:numPr>
          <w:ilvl w:val="0"/>
          <w:numId w:val="0"/>
        </w:numPr>
        <w:ind w:left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2.人才资金</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114001中共青岛市委组织部本级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37020023P080002100488</w:t>
            </w:r>
          </w:p>
        </w:tc>
        <w:tc>
          <w:tcPr>
            <w:tcW w:w="1587" w:type="dxa"/>
            <w:vAlign w:val="center"/>
          </w:tcPr>
          <w:p>
            <w:pPr>
              <w:pStyle w:val="9"/>
            </w:pPr>
            <w:r>
              <w:t>项目名称</w:t>
            </w:r>
          </w:p>
        </w:tc>
        <w:tc>
          <w:tcPr>
            <w:tcW w:w="4422" w:type="dxa"/>
            <w:gridSpan w:val="3"/>
            <w:vAlign w:val="center"/>
          </w:tcPr>
          <w:p>
            <w:pPr>
              <w:pStyle w:val="10"/>
            </w:pPr>
            <w:r>
              <w:t>拔尖人才津贴及工作经费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1671.00</w:t>
            </w:r>
          </w:p>
        </w:tc>
        <w:tc>
          <w:tcPr>
            <w:tcW w:w="1587" w:type="dxa"/>
            <w:vAlign w:val="center"/>
          </w:tcPr>
          <w:p>
            <w:pPr>
              <w:pStyle w:val="9"/>
            </w:pPr>
            <w:r>
              <w:t>其中：财政    资金</w:t>
            </w:r>
          </w:p>
        </w:tc>
        <w:tc>
          <w:tcPr>
            <w:tcW w:w="1304" w:type="dxa"/>
            <w:vAlign w:val="center"/>
          </w:tcPr>
          <w:p>
            <w:pPr>
              <w:pStyle w:val="10"/>
            </w:pPr>
            <w:r>
              <w:t>1671.00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用于为评选出的青岛拔尖人才发放津贴，并支持其开展相关工作。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800.00</w:t>
            </w:r>
          </w:p>
        </w:tc>
        <w:tc>
          <w:tcPr>
            <w:tcW w:w="1304" w:type="dxa"/>
            <w:vAlign w:val="center"/>
          </w:tcPr>
          <w:p>
            <w:pPr>
              <w:pStyle w:val="11"/>
            </w:pPr>
            <w:r>
              <w:t xml:space="preserve"> </w:t>
            </w:r>
          </w:p>
        </w:tc>
        <w:tc>
          <w:tcPr>
            <w:tcW w:w="3118" w:type="dxa"/>
            <w:gridSpan w:val="2"/>
            <w:vAlign w:val="center"/>
          </w:tcPr>
          <w:p>
            <w:pPr>
              <w:pStyle w:val="11"/>
            </w:pPr>
            <w:r>
              <w:t>1671.00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青岛拔尖人才津贴及工作经费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预算支出金额</w:t>
            </w:r>
          </w:p>
        </w:tc>
        <w:tc>
          <w:tcPr>
            <w:tcW w:w="2891" w:type="dxa"/>
            <w:vAlign w:val="center"/>
          </w:tcPr>
          <w:p>
            <w:pPr>
              <w:pStyle w:val="10"/>
            </w:pPr>
            <w:r>
              <w:t>拔尖人才津贴及工作经费预算支出金额</w:t>
            </w:r>
          </w:p>
        </w:tc>
        <w:tc>
          <w:tcPr>
            <w:tcW w:w="1276" w:type="dxa"/>
            <w:vAlign w:val="center"/>
          </w:tcPr>
          <w:p>
            <w:pPr>
              <w:pStyle w:val="10"/>
            </w:pPr>
            <w:r>
              <w:t>≤1671万元</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服务拔尖人才数量</w:t>
            </w:r>
          </w:p>
        </w:tc>
        <w:tc>
          <w:tcPr>
            <w:tcW w:w="2891" w:type="dxa"/>
            <w:vAlign w:val="center"/>
          </w:tcPr>
          <w:p>
            <w:pPr>
              <w:pStyle w:val="10"/>
            </w:pPr>
            <w:r>
              <w:t>服务拔尖人才数量</w:t>
            </w:r>
          </w:p>
        </w:tc>
        <w:tc>
          <w:tcPr>
            <w:tcW w:w="1276" w:type="dxa"/>
            <w:vAlign w:val="center"/>
          </w:tcPr>
          <w:p>
            <w:pPr>
              <w:pStyle w:val="10"/>
            </w:pPr>
            <w:r>
              <w:t>≥200个</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组织拔尖人才读书休假班期数</w:t>
            </w:r>
          </w:p>
        </w:tc>
        <w:tc>
          <w:tcPr>
            <w:tcW w:w="2891" w:type="dxa"/>
            <w:vAlign w:val="center"/>
          </w:tcPr>
          <w:p>
            <w:pPr>
              <w:pStyle w:val="10"/>
            </w:pPr>
            <w:r>
              <w:t>组织拔尖人才读书休假班期数</w:t>
            </w:r>
          </w:p>
        </w:tc>
        <w:tc>
          <w:tcPr>
            <w:tcW w:w="1276" w:type="dxa"/>
            <w:vAlign w:val="center"/>
          </w:tcPr>
          <w:p>
            <w:pPr>
              <w:pStyle w:val="10"/>
            </w:pPr>
            <w:r>
              <w:t>≥1个</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拔尖人才达标率</w:t>
            </w:r>
          </w:p>
        </w:tc>
        <w:tc>
          <w:tcPr>
            <w:tcW w:w="2891" w:type="dxa"/>
            <w:vAlign w:val="center"/>
          </w:tcPr>
          <w:p>
            <w:pPr>
              <w:pStyle w:val="10"/>
            </w:pPr>
            <w:r>
              <w:t>拔尖人才达标率</w:t>
            </w:r>
          </w:p>
        </w:tc>
        <w:tc>
          <w:tcPr>
            <w:tcW w:w="1276" w:type="dxa"/>
            <w:vAlign w:val="center"/>
          </w:tcPr>
          <w:p>
            <w:pPr>
              <w:pStyle w:val="10"/>
            </w:pPr>
            <w:r>
              <w:t>100%</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rPr>
                <w:rFonts w:hint="eastAsia"/>
                <w:lang w:eastAsia="zh-CN"/>
              </w:rPr>
              <w:t>质量指标</w:t>
            </w:r>
          </w:p>
        </w:tc>
        <w:tc>
          <w:tcPr>
            <w:tcW w:w="1332" w:type="dxa"/>
            <w:vAlign w:val="center"/>
          </w:tcPr>
          <w:p>
            <w:pPr>
              <w:pStyle w:val="10"/>
            </w:pPr>
            <w:r>
              <w:rPr>
                <w:rFonts w:hint="eastAsia"/>
                <w:lang w:eastAsia="zh-CN"/>
              </w:rPr>
              <w:t>读书活动组织成功率</w:t>
            </w:r>
          </w:p>
        </w:tc>
        <w:tc>
          <w:tcPr>
            <w:tcW w:w="2891" w:type="dxa"/>
            <w:vAlign w:val="center"/>
          </w:tcPr>
          <w:p>
            <w:pPr>
              <w:pStyle w:val="10"/>
            </w:pPr>
            <w:r>
              <w:rPr>
                <w:rFonts w:hint="eastAsia"/>
                <w:lang w:eastAsia="zh-CN"/>
              </w:rPr>
              <w:t>读书活动组织成功率</w:t>
            </w:r>
          </w:p>
        </w:tc>
        <w:tc>
          <w:tcPr>
            <w:tcW w:w="1276" w:type="dxa"/>
            <w:vAlign w:val="center"/>
          </w:tcPr>
          <w:p>
            <w:pPr>
              <w:pStyle w:val="10"/>
            </w:pPr>
            <w:r>
              <w:rPr>
                <w:lang w:eastAsia="zh-CN"/>
              </w:rPr>
              <w:t>100%</w:t>
            </w:r>
          </w:p>
        </w:tc>
        <w:tc>
          <w:tcPr>
            <w:tcW w:w="1843" w:type="dxa"/>
            <w:vAlign w:val="center"/>
          </w:tcPr>
          <w:p>
            <w:pPr>
              <w:pStyle w:val="10"/>
              <w:rPr>
                <w:lang w:eastAsia="zh-CN"/>
              </w:rPr>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rPr>
                <w:rFonts w:hint="eastAsia"/>
                <w:lang w:eastAsia="zh-CN"/>
              </w:rPr>
              <w:t>项目</w:t>
            </w:r>
            <w:r>
              <w:t>完成</w:t>
            </w:r>
            <w:r>
              <w:rPr>
                <w:rFonts w:hint="eastAsia"/>
                <w:lang w:eastAsia="zh-CN"/>
              </w:rPr>
              <w:t>及时性</w:t>
            </w:r>
          </w:p>
        </w:tc>
        <w:tc>
          <w:tcPr>
            <w:tcW w:w="2891" w:type="dxa"/>
            <w:vAlign w:val="center"/>
          </w:tcPr>
          <w:p>
            <w:pPr>
              <w:pStyle w:val="10"/>
            </w:pPr>
            <w:r>
              <w:rPr>
                <w:rFonts w:hint="eastAsia"/>
                <w:lang w:eastAsia="zh-CN"/>
              </w:rPr>
              <w:t>项目</w:t>
            </w:r>
            <w:r>
              <w:t>完成</w:t>
            </w:r>
            <w:r>
              <w:rPr>
                <w:rFonts w:hint="eastAsia"/>
                <w:lang w:eastAsia="zh-CN"/>
              </w:rPr>
              <w:t>及时性</w:t>
            </w:r>
          </w:p>
        </w:tc>
        <w:tc>
          <w:tcPr>
            <w:tcW w:w="1276" w:type="dxa"/>
            <w:vAlign w:val="center"/>
          </w:tcPr>
          <w:p>
            <w:pPr>
              <w:pStyle w:val="10"/>
            </w:pPr>
            <w:r>
              <w:rPr>
                <w:rFonts w:hint="eastAsia"/>
                <w:lang w:eastAsia="zh-CN"/>
              </w:rPr>
              <w:t>1</w:t>
            </w:r>
            <w:r>
              <w:rPr>
                <w:lang w:eastAsia="zh-CN"/>
              </w:rPr>
              <w:t>00%</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提高拔尖人才工作积极性</w:t>
            </w:r>
          </w:p>
        </w:tc>
        <w:tc>
          <w:tcPr>
            <w:tcW w:w="2891" w:type="dxa"/>
            <w:vAlign w:val="center"/>
          </w:tcPr>
          <w:p>
            <w:pPr>
              <w:pStyle w:val="10"/>
            </w:pPr>
            <w:r>
              <w:t>提高拔尖人才工作积极性</w:t>
            </w:r>
          </w:p>
        </w:tc>
        <w:tc>
          <w:tcPr>
            <w:tcW w:w="1276" w:type="dxa"/>
            <w:vAlign w:val="center"/>
          </w:tcPr>
          <w:p>
            <w:pPr>
              <w:pStyle w:val="10"/>
            </w:pPr>
            <w:r>
              <w:rPr>
                <w:rFonts w:hint="eastAsia"/>
                <w:lang w:eastAsia="zh-CN"/>
              </w:rPr>
              <w:t>同比提高</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拔尖人才满意度</w:t>
            </w:r>
          </w:p>
        </w:tc>
        <w:tc>
          <w:tcPr>
            <w:tcW w:w="2891" w:type="dxa"/>
            <w:vAlign w:val="center"/>
          </w:tcPr>
          <w:p>
            <w:pPr>
              <w:pStyle w:val="10"/>
            </w:pPr>
            <w:r>
              <w:t>拔尖人才满意度</w:t>
            </w:r>
          </w:p>
        </w:tc>
        <w:tc>
          <w:tcPr>
            <w:tcW w:w="1276" w:type="dxa"/>
            <w:vAlign w:val="center"/>
          </w:tcPr>
          <w:p>
            <w:pPr>
              <w:pStyle w:val="10"/>
            </w:pPr>
            <w:r>
              <w:t>≥90%</w:t>
            </w:r>
          </w:p>
        </w:tc>
        <w:tc>
          <w:tcPr>
            <w:tcW w:w="1843" w:type="dxa"/>
            <w:vAlign w:val="center"/>
          </w:tcPr>
          <w:p>
            <w:pPr>
              <w:pStyle w:val="10"/>
            </w:pPr>
            <w:r>
              <w:rPr>
                <w:rFonts w:hint="eastAsia"/>
                <w:lang w:eastAsia="zh-CN"/>
              </w:rPr>
              <w:t>历史标准</w:t>
            </w:r>
          </w:p>
        </w:tc>
      </w:tr>
    </w:tbl>
    <w:p>
      <w:pPr>
        <w:sectPr>
          <w:headerReference r:id="rId9" w:type="default"/>
          <w:footerReference r:id="rId11" w:type="default"/>
          <w:headerReference r:id="rId10" w:type="even"/>
          <w:footerReference r:id="rId12" w:type="even"/>
          <w:pgSz w:w="11900" w:h="16840"/>
          <w:pgMar w:top="1984" w:right="1304" w:bottom="1134" w:left="1304" w:header="720" w:footer="720" w:gutter="0"/>
          <w:pgNumType w:fmt="numberInDash"/>
          <w:cols w:space="720" w:num="1"/>
        </w:sect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114001中共青岛市委组织部本级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37020023P080003100357</w:t>
            </w:r>
          </w:p>
        </w:tc>
        <w:tc>
          <w:tcPr>
            <w:tcW w:w="1587" w:type="dxa"/>
            <w:vAlign w:val="center"/>
          </w:tcPr>
          <w:p>
            <w:pPr>
              <w:pStyle w:val="9"/>
            </w:pPr>
            <w:r>
              <w:t>项目名称</w:t>
            </w:r>
          </w:p>
        </w:tc>
        <w:tc>
          <w:tcPr>
            <w:tcW w:w="4422" w:type="dxa"/>
            <w:gridSpan w:val="3"/>
            <w:vAlign w:val="center"/>
          </w:tcPr>
          <w:p>
            <w:pPr>
              <w:pStyle w:val="10"/>
            </w:pPr>
            <w:r>
              <w:t>康复大学引进人才经费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10000.00</w:t>
            </w:r>
          </w:p>
        </w:tc>
        <w:tc>
          <w:tcPr>
            <w:tcW w:w="1587" w:type="dxa"/>
            <w:vAlign w:val="center"/>
          </w:tcPr>
          <w:p>
            <w:pPr>
              <w:pStyle w:val="9"/>
            </w:pPr>
            <w:r>
              <w:t>其中：财政    资金</w:t>
            </w:r>
          </w:p>
        </w:tc>
        <w:tc>
          <w:tcPr>
            <w:tcW w:w="1304" w:type="dxa"/>
            <w:vAlign w:val="center"/>
          </w:tcPr>
          <w:p>
            <w:pPr>
              <w:pStyle w:val="10"/>
            </w:pPr>
            <w:r>
              <w:t>10000.00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康复大学引进人才经费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10000.00</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康复大学引进人才经费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年度预算支出</w:t>
            </w:r>
          </w:p>
        </w:tc>
        <w:tc>
          <w:tcPr>
            <w:tcW w:w="2891" w:type="dxa"/>
            <w:vAlign w:val="center"/>
          </w:tcPr>
          <w:p>
            <w:pPr>
              <w:pStyle w:val="10"/>
            </w:pPr>
            <w:r>
              <w:t>康复大学引进人才经费年度预算支出</w:t>
            </w:r>
          </w:p>
        </w:tc>
        <w:tc>
          <w:tcPr>
            <w:tcW w:w="1276" w:type="dxa"/>
            <w:vAlign w:val="center"/>
          </w:tcPr>
          <w:p>
            <w:pPr>
              <w:pStyle w:val="10"/>
            </w:pPr>
            <w:r>
              <w:t>≤10000万元</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引进人才数量</w:t>
            </w:r>
          </w:p>
        </w:tc>
        <w:tc>
          <w:tcPr>
            <w:tcW w:w="2891" w:type="dxa"/>
            <w:vAlign w:val="center"/>
          </w:tcPr>
          <w:p>
            <w:pPr>
              <w:pStyle w:val="10"/>
            </w:pPr>
            <w:r>
              <w:t>引进人才数量</w:t>
            </w:r>
          </w:p>
        </w:tc>
        <w:tc>
          <w:tcPr>
            <w:tcW w:w="1276" w:type="dxa"/>
            <w:vAlign w:val="center"/>
          </w:tcPr>
          <w:p>
            <w:pPr>
              <w:pStyle w:val="10"/>
            </w:pPr>
            <w:r>
              <w:t>≥10名</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引进人才项目数量</w:t>
            </w:r>
          </w:p>
        </w:tc>
        <w:tc>
          <w:tcPr>
            <w:tcW w:w="2891" w:type="dxa"/>
            <w:vAlign w:val="center"/>
          </w:tcPr>
          <w:p>
            <w:pPr>
              <w:pStyle w:val="10"/>
            </w:pPr>
            <w:r>
              <w:t>引进人才项目数量</w:t>
            </w:r>
          </w:p>
        </w:tc>
        <w:tc>
          <w:tcPr>
            <w:tcW w:w="1276" w:type="dxa"/>
            <w:vAlign w:val="center"/>
          </w:tcPr>
          <w:p>
            <w:pPr>
              <w:pStyle w:val="10"/>
            </w:pPr>
            <w:r>
              <w:t>≥10个</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引进人才达标率</w:t>
            </w:r>
          </w:p>
        </w:tc>
        <w:tc>
          <w:tcPr>
            <w:tcW w:w="2891" w:type="dxa"/>
            <w:vAlign w:val="center"/>
          </w:tcPr>
          <w:p>
            <w:pPr>
              <w:pStyle w:val="10"/>
            </w:pPr>
            <w:r>
              <w:t>引进人才达标率</w:t>
            </w:r>
          </w:p>
        </w:tc>
        <w:tc>
          <w:tcPr>
            <w:tcW w:w="1276" w:type="dxa"/>
            <w:vAlign w:val="center"/>
          </w:tcPr>
          <w:p>
            <w:pPr>
              <w:pStyle w:val="10"/>
            </w:pPr>
            <w:r>
              <w:t>100%</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引进项目达标率</w:t>
            </w:r>
          </w:p>
        </w:tc>
        <w:tc>
          <w:tcPr>
            <w:tcW w:w="2891" w:type="dxa"/>
            <w:vAlign w:val="center"/>
          </w:tcPr>
          <w:p>
            <w:pPr>
              <w:pStyle w:val="10"/>
            </w:pPr>
            <w:r>
              <w:t>引进项目达标率</w:t>
            </w:r>
          </w:p>
        </w:tc>
        <w:tc>
          <w:tcPr>
            <w:tcW w:w="1276" w:type="dxa"/>
            <w:vAlign w:val="center"/>
          </w:tcPr>
          <w:p>
            <w:pPr>
              <w:pStyle w:val="10"/>
            </w:pPr>
            <w:r>
              <w:t>100%</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rPr>
                <w:rFonts w:hint="eastAsia"/>
                <w:lang w:eastAsia="zh-CN"/>
              </w:rPr>
              <w:t>项目</w:t>
            </w:r>
            <w:r>
              <w:t>完成</w:t>
            </w:r>
            <w:r>
              <w:rPr>
                <w:rFonts w:hint="eastAsia"/>
                <w:lang w:eastAsia="zh-CN"/>
              </w:rPr>
              <w:t>及时性</w:t>
            </w:r>
          </w:p>
        </w:tc>
        <w:tc>
          <w:tcPr>
            <w:tcW w:w="2891" w:type="dxa"/>
            <w:vAlign w:val="center"/>
          </w:tcPr>
          <w:p>
            <w:pPr>
              <w:pStyle w:val="10"/>
            </w:pPr>
            <w:r>
              <w:rPr>
                <w:rFonts w:hint="eastAsia"/>
                <w:lang w:eastAsia="zh-CN"/>
              </w:rPr>
              <w:t>项目</w:t>
            </w:r>
            <w:r>
              <w:t>完成</w:t>
            </w:r>
            <w:r>
              <w:rPr>
                <w:rFonts w:hint="eastAsia"/>
                <w:lang w:eastAsia="zh-CN"/>
              </w:rPr>
              <w:t>及时性</w:t>
            </w:r>
          </w:p>
        </w:tc>
        <w:tc>
          <w:tcPr>
            <w:tcW w:w="1276" w:type="dxa"/>
            <w:vAlign w:val="center"/>
          </w:tcPr>
          <w:p>
            <w:pPr>
              <w:pStyle w:val="10"/>
            </w:pPr>
            <w:r>
              <w:rPr>
                <w:rFonts w:hint="eastAsia"/>
                <w:lang w:eastAsia="zh-CN"/>
              </w:rPr>
              <w:t>1</w:t>
            </w:r>
            <w:r>
              <w:rPr>
                <w:lang w:eastAsia="zh-CN"/>
              </w:rPr>
              <w:t>00%</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促进康复大学学科建设</w:t>
            </w:r>
          </w:p>
        </w:tc>
        <w:tc>
          <w:tcPr>
            <w:tcW w:w="2891" w:type="dxa"/>
            <w:vAlign w:val="center"/>
          </w:tcPr>
          <w:p>
            <w:pPr>
              <w:pStyle w:val="10"/>
            </w:pPr>
            <w:r>
              <w:t>促进康复大学学科建设</w:t>
            </w:r>
          </w:p>
        </w:tc>
        <w:tc>
          <w:tcPr>
            <w:tcW w:w="1276" w:type="dxa"/>
            <w:vAlign w:val="center"/>
          </w:tcPr>
          <w:p>
            <w:pPr>
              <w:pStyle w:val="10"/>
            </w:pPr>
            <w:r>
              <w:t>有效促进</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引进人才满意度</w:t>
            </w:r>
          </w:p>
        </w:tc>
        <w:tc>
          <w:tcPr>
            <w:tcW w:w="2891" w:type="dxa"/>
            <w:vAlign w:val="center"/>
          </w:tcPr>
          <w:p>
            <w:pPr>
              <w:pStyle w:val="10"/>
            </w:pPr>
            <w:r>
              <w:t>引进人才满意度</w:t>
            </w:r>
          </w:p>
        </w:tc>
        <w:tc>
          <w:tcPr>
            <w:tcW w:w="1276" w:type="dxa"/>
            <w:vAlign w:val="center"/>
          </w:tcPr>
          <w:p>
            <w:pPr>
              <w:pStyle w:val="10"/>
            </w:pPr>
            <w:r>
              <w:t>≥95%</w:t>
            </w:r>
          </w:p>
        </w:tc>
        <w:tc>
          <w:tcPr>
            <w:tcW w:w="1843" w:type="dxa"/>
            <w:vAlign w:val="center"/>
          </w:tcPr>
          <w:p>
            <w:pPr>
              <w:pStyle w:val="10"/>
            </w:pPr>
            <w:r>
              <w:rPr>
                <w:rFonts w:hint="eastAsia"/>
                <w:lang w:eastAsia="zh-CN"/>
              </w:rPr>
              <w:t>历史标准</w:t>
            </w:r>
          </w:p>
        </w:tc>
      </w:tr>
    </w:tbl>
    <w:p>
      <w:pPr>
        <w:sectPr>
          <w:pgSz w:w="11900" w:h="16840"/>
          <w:pgMar w:top="1984" w:right="1304" w:bottom="1134" w:left="1304" w:header="720" w:footer="720" w:gutter="0"/>
          <w:pgNumType w:fmt="numberInDash"/>
          <w:cols w:space="720" w:num="1"/>
        </w:sectPr>
      </w:pPr>
    </w:p>
    <w:tbl>
      <w:tblPr>
        <w:tblStyle w:val="5"/>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650"/>
        <w:gridCol w:w="1269"/>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7"/>
            </w:pPr>
            <w:r>
              <w:t>114001中共青岛市委组织部本级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926" w:type="dxa"/>
            <w:gridSpan w:val="2"/>
            <w:vAlign w:val="center"/>
          </w:tcPr>
          <w:p>
            <w:pPr>
              <w:pStyle w:val="10"/>
            </w:pPr>
            <w:r>
              <w:t>37020023P08000210067C</w:t>
            </w:r>
          </w:p>
        </w:tc>
        <w:tc>
          <w:tcPr>
            <w:tcW w:w="1269" w:type="dxa"/>
            <w:vAlign w:val="center"/>
          </w:tcPr>
          <w:p>
            <w:pPr>
              <w:pStyle w:val="9"/>
            </w:pPr>
            <w:r>
              <w:t>项目名称</w:t>
            </w:r>
          </w:p>
        </w:tc>
        <w:tc>
          <w:tcPr>
            <w:tcW w:w="4423" w:type="dxa"/>
            <w:gridSpan w:val="3"/>
            <w:vAlign w:val="center"/>
          </w:tcPr>
          <w:p>
            <w:pPr>
              <w:pStyle w:val="10"/>
            </w:pPr>
            <w:r>
              <w:t>人才赋能资金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650" w:type="dxa"/>
            <w:vAlign w:val="center"/>
          </w:tcPr>
          <w:p>
            <w:pPr>
              <w:pStyle w:val="10"/>
            </w:pPr>
            <w:r>
              <w:t>5000.00</w:t>
            </w:r>
          </w:p>
        </w:tc>
        <w:tc>
          <w:tcPr>
            <w:tcW w:w="1269" w:type="dxa"/>
            <w:vAlign w:val="center"/>
          </w:tcPr>
          <w:p>
            <w:pPr>
              <w:pStyle w:val="9"/>
            </w:pPr>
            <w:r>
              <w:t>其中：财政    资金</w:t>
            </w:r>
          </w:p>
        </w:tc>
        <w:tc>
          <w:tcPr>
            <w:tcW w:w="1304" w:type="dxa"/>
            <w:vAlign w:val="center"/>
          </w:tcPr>
          <w:p>
            <w:pPr>
              <w:pStyle w:val="10"/>
            </w:pPr>
            <w:r>
              <w:t>5000.00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2021年，青岛人才赋能资金成立，成为市财政第一笔“拨改投”资金，首笔拨付5000万。2023年拟继续投入5000万元。用于投向青岛人才赋能资金，为符合条件的人才项目提供创业资金支持。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926" w:type="dxa"/>
            <w:gridSpan w:val="2"/>
            <w:vAlign w:val="center"/>
          </w:tcPr>
          <w:p>
            <w:pPr>
              <w:pStyle w:val="9"/>
            </w:pPr>
            <w:r>
              <w:t>3月底</w:t>
            </w:r>
          </w:p>
        </w:tc>
        <w:tc>
          <w:tcPr>
            <w:tcW w:w="1269" w:type="dxa"/>
            <w:vAlign w:val="center"/>
          </w:tcPr>
          <w:p>
            <w:pPr>
              <w:pStyle w:val="9"/>
            </w:pPr>
            <w:r>
              <w:t>6月底</w:t>
            </w:r>
          </w:p>
        </w:tc>
        <w:tc>
          <w:tcPr>
            <w:tcW w:w="1304" w:type="dxa"/>
            <w:vAlign w:val="center"/>
          </w:tcPr>
          <w:p>
            <w:pPr>
              <w:pStyle w:val="9"/>
            </w:pPr>
            <w:r>
              <w:t>10月底</w:t>
            </w:r>
          </w:p>
        </w:tc>
        <w:tc>
          <w:tcPr>
            <w:tcW w:w="3119"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926" w:type="dxa"/>
            <w:gridSpan w:val="2"/>
            <w:vAlign w:val="center"/>
          </w:tcPr>
          <w:p>
            <w:pPr>
              <w:pStyle w:val="11"/>
            </w:pPr>
            <w:r>
              <w:t xml:space="preserve"> </w:t>
            </w:r>
          </w:p>
        </w:tc>
        <w:tc>
          <w:tcPr>
            <w:tcW w:w="1269" w:type="dxa"/>
            <w:vAlign w:val="center"/>
          </w:tcPr>
          <w:p>
            <w:pPr>
              <w:pStyle w:val="11"/>
            </w:pPr>
            <w:r>
              <w:t>5000.00</w:t>
            </w:r>
          </w:p>
        </w:tc>
        <w:tc>
          <w:tcPr>
            <w:tcW w:w="1304" w:type="dxa"/>
            <w:vAlign w:val="center"/>
          </w:tcPr>
          <w:p>
            <w:pPr>
              <w:pStyle w:val="11"/>
            </w:pPr>
            <w:r>
              <w:t xml:space="preserve"> </w:t>
            </w:r>
          </w:p>
        </w:tc>
        <w:tc>
          <w:tcPr>
            <w:tcW w:w="3119" w:type="dxa"/>
            <w:gridSpan w:val="2"/>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8" w:type="dxa"/>
            <w:gridSpan w:val="6"/>
            <w:vAlign w:val="center"/>
          </w:tcPr>
          <w:p>
            <w:pPr>
              <w:pStyle w:val="10"/>
            </w:pPr>
            <w:r>
              <w:t>人才赋能资金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预算支出金额</w:t>
            </w:r>
          </w:p>
        </w:tc>
        <w:tc>
          <w:tcPr>
            <w:tcW w:w="2891" w:type="dxa"/>
            <w:vAlign w:val="center"/>
          </w:tcPr>
          <w:p>
            <w:pPr>
              <w:pStyle w:val="10"/>
            </w:pPr>
            <w:r>
              <w:t>人才赋能预算支出金额</w:t>
            </w:r>
          </w:p>
        </w:tc>
        <w:tc>
          <w:tcPr>
            <w:tcW w:w="1276" w:type="dxa"/>
            <w:vAlign w:val="center"/>
          </w:tcPr>
          <w:p>
            <w:pPr>
              <w:pStyle w:val="10"/>
            </w:pPr>
            <w:r>
              <w:t>≤5000万元</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新增高层次人才项目数量</w:t>
            </w:r>
          </w:p>
        </w:tc>
        <w:tc>
          <w:tcPr>
            <w:tcW w:w="2891" w:type="dxa"/>
            <w:vAlign w:val="center"/>
          </w:tcPr>
          <w:p>
            <w:pPr>
              <w:pStyle w:val="10"/>
            </w:pPr>
            <w:r>
              <w:t>新增高层次人才项目数量</w:t>
            </w:r>
          </w:p>
        </w:tc>
        <w:tc>
          <w:tcPr>
            <w:tcW w:w="1276" w:type="dxa"/>
            <w:vAlign w:val="center"/>
          </w:tcPr>
          <w:p>
            <w:pPr>
              <w:pStyle w:val="10"/>
            </w:pPr>
            <w:r>
              <w:t>≥5个</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服务人才数量</w:t>
            </w:r>
          </w:p>
        </w:tc>
        <w:tc>
          <w:tcPr>
            <w:tcW w:w="2891" w:type="dxa"/>
            <w:vAlign w:val="center"/>
          </w:tcPr>
          <w:p>
            <w:pPr>
              <w:pStyle w:val="10"/>
            </w:pPr>
            <w:r>
              <w:t>服务人才数量</w:t>
            </w:r>
          </w:p>
        </w:tc>
        <w:tc>
          <w:tcPr>
            <w:tcW w:w="1276" w:type="dxa"/>
            <w:vAlign w:val="center"/>
          </w:tcPr>
          <w:p>
            <w:pPr>
              <w:pStyle w:val="10"/>
            </w:pPr>
            <w:r>
              <w:t>≥5个</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扶持项目达标率</w:t>
            </w:r>
          </w:p>
        </w:tc>
        <w:tc>
          <w:tcPr>
            <w:tcW w:w="2891" w:type="dxa"/>
            <w:vAlign w:val="center"/>
          </w:tcPr>
          <w:p>
            <w:pPr>
              <w:pStyle w:val="10"/>
            </w:pPr>
            <w:r>
              <w:t>扶持项目达标率</w:t>
            </w:r>
          </w:p>
        </w:tc>
        <w:tc>
          <w:tcPr>
            <w:tcW w:w="1276" w:type="dxa"/>
            <w:vAlign w:val="center"/>
          </w:tcPr>
          <w:p>
            <w:pPr>
              <w:pStyle w:val="10"/>
            </w:pPr>
            <w:r>
              <w:t>100%</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rPr>
                <w:rFonts w:hint="eastAsia"/>
                <w:lang w:eastAsia="zh-CN"/>
              </w:rPr>
              <w:t>质量指标</w:t>
            </w:r>
          </w:p>
        </w:tc>
        <w:tc>
          <w:tcPr>
            <w:tcW w:w="1332" w:type="dxa"/>
            <w:vAlign w:val="center"/>
          </w:tcPr>
          <w:p>
            <w:pPr>
              <w:pStyle w:val="10"/>
            </w:pPr>
            <w:r>
              <w:rPr>
                <w:rFonts w:hint="eastAsia"/>
                <w:lang w:eastAsia="zh-CN"/>
              </w:rPr>
              <w:t>服务质量达标率</w:t>
            </w:r>
          </w:p>
        </w:tc>
        <w:tc>
          <w:tcPr>
            <w:tcW w:w="2891" w:type="dxa"/>
            <w:vAlign w:val="center"/>
          </w:tcPr>
          <w:p>
            <w:pPr>
              <w:pStyle w:val="10"/>
            </w:pPr>
            <w:r>
              <w:rPr>
                <w:rFonts w:hint="eastAsia"/>
                <w:lang w:eastAsia="zh-CN"/>
              </w:rPr>
              <w:t>服务质量达标率</w:t>
            </w:r>
          </w:p>
        </w:tc>
        <w:tc>
          <w:tcPr>
            <w:tcW w:w="1276" w:type="dxa"/>
            <w:vAlign w:val="center"/>
          </w:tcPr>
          <w:p>
            <w:pPr>
              <w:pStyle w:val="10"/>
            </w:pPr>
            <w:r>
              <w:rPr>
                <w:lang w:eastAsia="zh-CN"/>
              </w:rPr>
              <w:t>100%</w:t>
            </w:r>
          </w:p>
        </w:tc>
        <w:tc>
          <w:tcPr>
            <w:tcW w:w="1843" w:type="dxa"/>
            <w:vAlign w:val="center"/>
          </w:tcPr>
          <w:p>
            <w:pPr>
              <w:pStyle w:val="10"/>
              <w:rPr>
                <w:lang w:eastAsia="zh-CN"/>
              </w:rPr>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rPr>
                <w:rFonts w:hint="eastAsia"/>
                <w:lang w:eastAsia="zh-CN"/>
              </w:rPr>
              <w:t>项目</w:t>
            </w:r>
            <w:r>
              <w:t>完成</w:t>
            </w:r>
            <w:r>
              <w:rPr>
                <w:rFonts w:hint="eastAsia"/>
                <w:lang w:eastAsia="zh-CN"/>
              </w:rPr>
              <w:t>及时性</w:t>
            </w:r>
          </w:p>
        </w:tc>
        <w:tc>
          <w:tcPr>
            <w:tcW w:w="2891" w:type="dxa"/>
            <w:vAlign w:val="center"/>
          </w:tcPr>
          <w:p>
            <w:pPr>
              <w:pStyle w:val="10"/>
            </w:pPr>
            <w:r>
              <w:rPr>
                <w:rFonts w:hint="eastAsia"/>
                <w:lang w:eastAsia="zh-CN"/>
              </w:rPr>
              <w:t>项目</w:t>
            </w:r>
            <w:r>
              <w:t>完成</w:t>
            </w:r>
            <w:r>
              <w:rPr>
                <w:rFonts w:hint="eastAsia"/>
                <w:lang w:eastAsia="zh-CN"/>
              </w:rPr>
              <w:t>及时性</w:t>
            </w:r>
          </w:p>
        </w:tc>
        <w:tc>
          <w:tcPr>
            <w:tcW w:w="1276" w:type="dxa"/>
            <w:vAlign w:val="center"/>
          </w:tcPr>
          <w:p>
            <w:pPr>
              <w:pStyle w:val="10"/>
            </w:pPr>
            <w:r>
              <w:rPr>
                <w:rFonts w:hint="eastAsia"/>
                <w:lang w:eastAsia="zh-CN"/>
              </w:rPr>
              <w:t>1</w:t>
            </w:r>
            <w:r>
              <w:rPr>
                <w:lang w:eastAsia="zh-CN"/>
              </w:rPr>
              <w:t>00%</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推动高新技术产业发展</w:t>
            </w:r>
          </w:p>
        </w:tc>
        <w:tc>
          <w:tcPr>
            <w:tcW w:w="2891" w:type="dxa"/>
            <w:vAlign w:val="center"/>
          </w:tcPr>
          <w:p>
            <w:pPr>
              <w:pStyle w:val="10"/>
            </w:pPr>
            <w:r>
              <w:t>推动高新技术产业发展</w:t>
            </w:r>
          </w:p>
        </w:tc>
        <w:tc>
          <w:tcPr>
            <w:tcW w:w="1276" w:type="dxa"/>
            <w:vAlign w:val="center"/>
          </w:tcPr>
          <w:p>
            <w:pPr>
              <w:pStyle w:val="10"/>
            </w:pPr>
            <w:r>
              <w:rPr>
                <w:rFonts w:hint="eastAsia"/>
                <w:lang w:eastAsia="zh-CN"/>
              </w:rPr>
              <w:t>进一步</w:t>
            </w:r>
            <w:r>
              <w:t>推动</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服务高层次人才满意度</w:t>
            </w:r>
          </w:p>
        </w:tc>
        <w:tc>
          <w:tcPr>
            <w:tcW w:w="2891" w:type="dxa"/>
            <w:vAlign w:val="center"/>
          </w:tcPr>
          <w:p>
            <w:pPr>
              <w:pStyle w:val="10"/>
            </w:pPr>
            <w:r>
              <w:t>服务高层次人才满意度</w:t>
            </w:r>
          </w:p>
        </w:tc>
        <w:tc>
          <w:tcPr>
            <w:tcW w:w="1276" w:type="dxa"/>
            <w:vAlign w:val="center"/>
          </w:tcPr>
          <w:p>
            <w:pPr>
              <w:pStyle w:val="10"/>
            </w:pPr>
            <w:r>
              <w:t>≥90%</w:t>
            </w:r>
          </w:p>
        </w:tc>
        <w:tc>
          <w:tcPr>
            <w:tcW w:w="1843" w:type="dxa"/>
            <w:vAlign w:val="center"/>
          </w:tcPr>
          <w:p>
            <w:pPr>
              <w:pStyle w:val="10"/>
            </w:pPr>
            <w:r>
              <w:rPr>
                <w:rFonts w:hint="eastAsia"/>
                <w:lang w:eastAsia="zh-CN"/>
              </w:rPr>
              <w:t>历史标准</w:t>
            </w:r>
          </w:p>
        </w:tc>
      </w:tr>
    </w:tbl>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402001青岛市人力资源和社会保障局本级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37020023P08000210083M</w:t>
            </w:r>
          </w:p>
        </w:tc>
        <w:tc>
          <w:tcPr>
            <w:tcW w:w="1587" w:type="dxa"/>
            <w:vAlign w:val="center"/>
          </w:tcPr>
          <w:p>
            <w:pPr>
              <w:pStyle w:val="9"/>
            </w:pPr>
            <w:r>
              <w:t>项目名称</w:t>
            </w:r>
          </w:p>
        </w:tc>
        <w:tc>
          <w:tcPr>
            <w:tcW w:w="4422" w:type="dxa"/>
            <w:gridSpan w:val="3"/>
            <w:vAlign w:val="center"/>
          </w:tcPr>
          <w:p>
            <w:pPr>
              <w:pStyle w:val="10"/>
            </w:pPr>
            <w:r>
              <w:t>博士后资助资金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15000.00</w:t>
            </w:r>
          </w:p>
        </w:tc>
        <w:tc>
          <w:tcPr>
            <w:tcW w:w="1587" w:type="dxa"/>
            <w:vAlign w:val="center"/>
          </w:tcPr>
          <w:p>
            <w:pPr>
              <w:pStyle w:val="9"/>
            </w:pPr>
            <w:r>
              <w:t>其中：财政    资金</w:t>
            </w:r>
          </w:p>
        </w:tc>
        <w:tc>
          <w:tcPr>
            <w:tcW w:w="1304" w:type="dxa"/>
            <w:vAlign w:val="center"/>
          </w:tcPr>
          <w:p>
            <w:pPr>
              <w:pStyle w:val="10"/>
            </w:pPr>
            <w:r>
              <w:t>15000.00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根据政策对符合政策博士后人员及博士后站点给予资助补助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13050.00</w:t>
            </w:r>
          </w:p>
        </w:tc>
        <w:tc>
          <w:tcPr>
            <w:tcW w:w="3118" w:type="dxa"/>
            <w:gridSpan w:val="2"/>
            <w:vAlign w:val="center"/>
          </w:tcPr>
          <w:p>
            <w:pPr>
              <w:pStyle w:val="11"/>
            </w:pPr>
            <w:r>
              <w:t>15000.00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通过对符合政策博士后人员及博士后站点给予资助补助，进一步提高人才引荐效率，提高人才竞争能力。</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946"/>
        <w:gridCol w:w="2277"/>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946" w:type="dxa"/>
            <w:vAlign w:val="center"/>
          </w:tcPr>
          <w:p>
            <w:pPr>
              <w:pStyle w:val="9"/>
            </w:pPr>
            <w:r>
              <w:t>三级指标</w:t>
            </w:r>
          </w:p>
        </w:tc>
        <w:tc>
          <w:tcPr>
            <w:tcW w:w="2277"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成本指标</w:t>
            </w:r>
          </w:p>
        </w:tc>
        <w:tc>
          <w:tcPr>
            <w:tcW w:w="1276" w:type="dxa"/>
            <w:vAlign w:val="center"/>
          </w:tcPr>
          <w:p>
            <w:pPr>
              <w:pStyle w:val="10"/>
            </w:pPr>
            <w:r>
              <w:t>经济成本指标</w:t>
            </w:r>
          </w:p>
        </w:tc>
        <w:tc>
          <w:tcPr>
            <w:tcW w:w="1946" w:type="dxa"/>
            <w:vAlign w:val="center"/>
          </w:tcPr>
          <w:p>
            <w:pPr>
              <w:pStyle w:val="10"/>
            </w:pPr>
            <w:r>
              <w:t>站（基地）设立资助</w:t>
            </w:r>
          </w:p>
        </w:tc>
        <w:tc>
          <w:tcPr>
            <w:tcW w:w="2277" w:type="dxa"/>
            <w:vAlign w:val="center"/>
          </w:tcPr>
          <w:p>
            <w:pPr>
              <w:pStyle w:val="10"/>
            </w:pPr>
            <w:r>
              <w:t>反映站（基地）设立资助标准</w:t>
            </w:r>
          </w:p>
        </w:tc>
        <w:tc>
          <w:tcPr>
            <w:tcW w:w="1276" w:type="dxa"/>
            <w:vAlign w:val="center"/>
          </w:tcPr>
          <w:p>
            <w:pPr>
              <w:pStyle w:val="10"/>
            </w:pPr>
            <w:r>
              <w:t>≤50万元</w:t>
            </w:r>
          </w:p>
        </w:tc>
        <w:tc>
          <w:tcPr>
            <w:tcW w:w="1843" w:type="dxa"/>
            <w:vAlign w:val="center"/>
          </w:tcPr>
          <w:p>
            <w:pPr>
              <w:pStyle w:val="10"/>
            </w:pPr>
            <w:r>
              <w:t>青人社发【2022】7号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经济成本指标</w:t>
            </w:r>
          </w:p>
        </w:tc>
        <w:tc>
          <w:tcPr>
            <w:tcW w:w="1946" w:type="dxa"/>
            <w:vAlign w:val="center"/>
          </w:tcPr>
          <w:p>
            <w:pPr>
              <w:pStyle w:val="10"/>
            </w:pPr>
            <w:r>
              <w:t>站（基地）科研资助</w:t>
            </w:r>
          </w:p>
        </w:tc>
        <w:tc>
          <w:tcPr>
            <w:tcW w:w="2277" w:type="dxa"/>
            <w:vAlign w:val="center"/>
          </w:tcPr>
          <w:p>
            <w:pPr>
              <w:pStyle w:val="10"/>
            </w:pPr>
            <w:r>
              <w:t>反映站（基地）科研资助标准</w:t>
            </w:r>
          </w:p>
        </w:tc>
        <w:tc>
          <w:tcPr>
            <w:tcW w:w="1276" w:type="dxa"/>
            <w:vAlign w:val="center"/>
          </w:tcPr>
          <w:p>
            <w:pPr>
              <w:pStyle w:val="10"/>
            </w:pPr>
            <w:r>
              <w:t>≤5万元</w:t>
            </w:r>
          </w:p>
        </w:tc>
        <w:tc>
          <w:tcPr>
            <w:tcW w:w="1843" w:type="dxa"/>
            <w:vAlign w:val="center"/>
          </w:tcPr>
          <w:p>
            <w:pPr>
              <w:pStyle w:val="10"/>
            </w:pPr>
            <w:r>
              <w:t>青人社发【2022】7号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经济成本指标</w:t>
            </w:r>
          </w:p>
        </w:tc>
        <w:tc>
          <w:tcPr>
            <w:tcW w:w="1946" w:type="dxa"/>
            <w:vAlign w:val="center"/>
          </w:tcPr>
          <w:p>
            <w:pPr>
              <w:pStyle w:val="10"/>
              <w:rPr>
                <w:lang w:eastAsia="zh-CN"/>
              </w:rPr>
            </w:pPr>
            <w:r>
              <w:t>资助</w:t>
            </w:r>
            <w:r>
              <w:rPr>
                <w:rFonts w:hint="eastAsia"/>
                <w:lang w:eastAsia="zh-CN"/>
              </w:rPr>
              <w:t>项目</w:t>
            </w:r>
            <w:r>
              <w:t>标准</w:t>
            </w:r>
          </w:p>
        </w:tc>
        <w:tc>
          <w:tcPr>
            <w:tcW w:w="2277" w:type="dxa"/>
            <w:vAlign w:val="center"/>
          </w:tcPr>
          <w:p>
            <w:pPr>
              <w:pStyle w:val="10"/>
            </w:pPr>
            <w:r>
              <w:t>反映项目资助标准</w:t>
            </w:r>
          </w:p>
        </w:tc>
        <w:tc>
          <w:tcPr>
            <w:tcW w:w="1276" w:type="dxa"/>
            <w:vAlign w:val="center"/>
          </w:tcPr>
          <w:p>
            <w:pPr>
              <w:pStyle w:val="10"/>
            </w:pPr>
            <w:r>
              <w:t>≤10万元</w:t>
            </w:r>
          </w:p>
        </w:tc>
        <w:tc>
          <w:tcPr>
            <w:tcW w:w="1843" w:type="dxa"/>
            <w:vAlign w:val="center"/>
          </w:tcPr>
          <w:p>
            <w:pPr>
              <w:pStyle w:val="10"/>
            </w:pPr>
            <w:r>
              <w:t>青人社发【2022】7号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经济成本指标</w:t>
            </w:r>
          </w:p>
        </w:tc>
        <w:tc>
          <w:tcPr>
            <w:tcW w:w="1946" w:type="dxa"/>
            <w:vAlign w:val="center"/>
          </w:tcPr>
          <w:p>
            <w:pPr>
              <w:pStyle w:val="10"/>
            </w:pPr>
            <w:r>
              <w:t>生活资助</w:t>
            </w:r>
          </w:p>
        </w:tc>
        <w:tc>
          <w:tcPr>
            <w:tcW w:w="2277" w:type="dxa"/>
            <w:vAlign w:val="center"/>
          </w:tcPr>
          <w:p>
            <w:pPr>
              <w:pStyle w:val="10"/>
            </w:pPr>
            <w:r>
              <w:t>反映生活资助标准</w:t>
            </w:r>
          </w:p>
        </w:tc>
        <w:tc>
          <w:tcPr>
            <w:tcW w:w="1276" w:type="dxa"/>
            <w:vAlign w:val="center"/>
          </w:tcPr>
          <w:p>
            <w:pPr>
              <w:pStyle w:val="10"/>
            </w:pPr>
            <w:r>
              <w:t>≤15.6万元</w:t>
            </w:r>
          </w:p>
        </w:tc>
        <w:tc>
          <w:tcPr>
            <w:tcW w:w="1843" w:type="dxa"/>
            <w:vAlign w:val="center"/>
          </w:tcPr>
          <w:p>
            <w:pPr>
              <w:pStyle w:val="10"/>
            </w:pPr>
            <w:r>
              <w:t>青人社发【2022】7号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经济成本指标</w:t>
            </w:r>
          </w:p>
        </w:tc>
        <w:tc>
          <w:tcPr>
            <w:tcW w:w="1946" w:type="dxa"/>
            <w:vAlign w:val="center"/>
          </w:tcPr>
          <w:p>
            <w:pPr>
              <w:pStyle w:val="10"/>
            </w:pPr>
            <w:r>
              <w:t>聚青资助</w:t>
            </w:r>
          </w:p>
        </w:tc>
        <w:tc>
          <w:tcPr>
            <w:tcW w:w="2277" w:type="dxa"/>
            <w:vAlign w:val="center"/>
          </w:tcPr>
          <w:p>
            <w:pPr>
              <w:pStyle w:val="10"/>
            </w:pPr>
            <w:r>
              <w:t>反映聚青资助标准</w:t>
            </w:r>
          </w:p>
        </w:tc>
        <w:tc>
          <w:tcPr>
            <w:tcW w:w="1276" w:type="dxa"/>
            <w:vAlign w:val="center"/>
          </w:tcPr>
          <w:p>
            <w:pPr>
              <w:pStyle w:val="10"/>
            </w:pPr>
            <w:r>
              <w:t>≤40万元</w:t>
            </w:r>
          </w:p>
        </w:tc>
        <w:tc>
          <w:tcPr>
            <w:tcW w:w="1843" w:type="dxa"/>
            <w:vAlign w:val="center"/>
          </w:tcPr>
          <w:p>
            <w:pPr>
              <w:pStyle w:val="10"/>
            </w:pPr>
            <w:r>
              <w:t>青人社发【2022】7号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946" w:type="dxa"/>
            <w:vAlign w:val="center"/>
          </w:tcPr>
          <w:p>
            <w:pPr>
              <w:pStyle w:val="10"/>
            </w:pPr>
            <w:r>
              <w:t>博士后站（基地）累计数量</w:t>
            </w:r>
          </w:p>
        </w:tc>
        <w:tc>
          <w:tcPr>
            <w:tcW w:w="2277" w:type="dxa"/>
            <w:vAlign w:val="center"/>
          </w:tcPr>
          <w:p>
            <w:pPr>
              <w:pStyle w:val="10"/>
            </w:pPr>
            <w:r>
              <w:t>反映博士后站（基地）累计数量</w:t>
            </w:r>
          </w:p>
        </w:tc>
        <w:tc>
          <w:tcPr>
            <w:tcW w:w="1276" w:type="dxa"/>
            <w:vAlign w:val="center"/>
          </w:tcPr>
          <w:p>
            <w:pPr>
              <w:pStyle w:val="10"/>
            </w:pPr>
            <w:r>
              <w:t>≥260个</w:t>
            </w:r>
          </w:p>
        </w:tc>
        <w:tc>
          <w:tcPr>
            <w:tcW w:w="1843" w:type="dxa"/>
            <w:vAlign w:val="center"/>
          </w:tcPr>
          <w:p>
            <w:pPr>
              <w:pStyle w:val="10"/>
            </w:pPr>
            <w:r>
              <w:t>青人社发【2022】7号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946" w:type="dxa"/>
            <w:vAlign w:val="center"/>
          </w:tcPr>
          <w:p>
            <w:pPr>
              <w:pStyle w:val="10"/>
            </w:pPr>
            <w:r>
              <w:t>博士后新增进站（基地）数量</w:t>
            </w:r>
          </w:p>
        </w:tc>
        <w:tc>
          <w:tcPr>
            <w:tcW w:w="2277" w:type="dxa"/>
            <w:vAlign w:val="center"/>
          </w:tcPr>
          <w:p>
            <w:pPr>
              <w:pStyle w:val="10"/>
            </w:pPr>
            <w:r>
              <w:t>反映博士后新增进站（基地）数量</w:t>
            </w:r>
          </w:p>
        </w:tc>
        <w:tc>
          <w:tcPr>
            <w:tcW w:w="1276" w:type="dxa"/>
            <w:vAlign w:val="center"/>
          </w:tcPr>
          <w:p>
            <w:pPr>
              <w:pStyle w:val="10"/>
            </w:pPr>
            <w:r>
              <w:t>≥500个</w:t>
            </w:r>
          </w:p>
        </w:tc>
        <w:tc>
          <w:tcPr>
            <w:tcW w:w="1843" w:type="dxa"/>
            <w:vAlign w:val="center"/>
          </w:tcPr>
          <w:p>
            <w:pPr>
              <w:pStyle w:val="10"/>
            </w:pPr>
            <w:r>
              <w:t>青人社发【2022】7号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946" w:type="dxa"/>
            <w:vAlign w:val="center"/>
          </w:tcPr>
          <w:p>
            <w:pPr>
              <w:pStyle w:val="10"/>
            </w:pPr>
            <w:r>
              <w:t>补助博士后站准确率</w:t>
            </w:r>
          </w:p>
        </w:tc>
        <w:tc>
          <w:tcPr>
            <w:tcW w:w="2277" w:type="dxa"/>
            <w:vAlign w:val="center"/>
          </w:tcPr>
          <w:p>
            <w:pPr>
              <w:pStyle w:val="10"/>
            </w:pPr>
            <w:r>
              <w:t>反映补助博士后站是否符合政策标准</w:t>
            </w:r>
          </w:p>
        </w:tc>
        <w:tc>
          <w:tcPr>
            <w:tcW w:w="1276" w:type="dxa"/>
            <w:vAlign w:val="center"/>
          </w:tcPr>
          <w:p>
            <w:pPr>
              <w:pStyle w:val="10"/>
            </w:pPr>
            <w:r>
              <w:t>100%</w:t>
            </w:r>
          </w:p>
        </w:tc>
        <w:tc>
          <w:tcPr>
            <w:tcW w:w="1843" w:type="dxa"/>
            <w:vAlign w:val="center"/>
          </w:tcPr>
          <w:p>
            <w:pPr>
              <w:pStyle w:val="10"/>
            </w:pPr>
            <w:r>
              <w:t>青人社发【2022】7号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rPr>
                <w:rFonts w:hint="eastAsia"/>
                <w:lang w:eastAsia="zh-CN"/>
              </w:rPr>
              <w:t>质量指标</w:t>
            </w:r>
          </w:p>
        </w:tc>
        <w:tc>
          <w:tcPr>
            <w:tcW w:w="1946" w:type="dxa"/>
            <w:vAlign w:val="center"/>
          </w:tcPr>
          <w:p>
            <w:pPr>
              <w:pStyle w:val="10"/>
            </w:pPr>
            <w:r>
              <w:rPr>
                <w:rFonts w:hint="eastAsia"/>
                <w:lang w:eastAsia="zh-CN"/>
              </w:rPr>
              <w:t>补助博士后覆盖率</w:t>
            </w:r>
          </w:p>
        </w:tc>
        <w:tc>
          <w:tcPr>
            <w:tcW w:w="2277" w:type="dxa"/>
            <w:vAlign w:val="center"/>
          </w:tcPr>
          <w:p>
            <w:pPr>
              <w:pStyle w:val="10"/>
            </w:pPr>
            <w:r>
              <w:rPr>
                <w:rFonts w:hint="eastAsia"/>
                <w:lang w:eastAsia="zh-CN"/>
              </w:rPr>
              <w:t>反映补助博士后覆盖率</w:t>
            </w:r>
          </w:p>
        </w:tc>
        <w:tc>
          <w:tcPr>
            <w:tcW w:w="1276" w:type="dxa"/>
            <w:vAlign w:val="center"/>
          </w:tcPr>
          <w:p>
            <w:pPr>
              <w:pStyle w:val="10"/>
            </w:pPr>
            <w:r>
              <w:t>100%</w:t>
            </w:r>
          </w:p>
        </w:tc>
        <w:tc>
          <w:tcPr>
            <w:tcW w:w="1843" w:type="dxa"/>
            <w:vAlign w:val="center"/>
          </w:tcPr>
          <w:p>
            <w:pPr>
              <w:pStyle w:val="10"/>
            </w:pPr>
            <w:r>
              <w:t>青人社发【2022】7号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946" w:type="dxa"/>
            <w:vAlign w:val="center"/>
          </w:tcPr>
          <w:p>
            <w:pPr>
              <w:pStyle w:val="10"/>
            </w:pPr>
            <w:r>
              <w:t>补助发放及时率</w:t>
            </w:r>
          </w:p>
        </w:tc>
        <w:tc>
          <w:tcPr>
            <w:tcW w:w="2277" w:type="dxa"/>
            <w:vAlign w:val="center"/>
          </w:tcPr>
          <w:p>
            <w:pPr>
              <w:pStyle w:val="10"/>
            </w:pPr>
            <w:r>
              <w:t>反映发放及时率</w:t>
            </w:r>
          </w:p>
        </w:tc>
        <w:tc>
          <w:tcPr>
            <w:tcW w:w="1276" w:type="dxa"/>
            <w:vAlign w:val="center"/>
          </w:tcPr>
          <w:p>
            <w:pPr>
              <w:pStyle w:val="10"/>
            </w:pPr>
            <w:r>
              <w:t>100%</w:t>
            </w:r>
          </w:p>
        </w:tc>
        <w:tc>
          <w:tcPr>
            <w:tcW w:w="1843" w:type="dxa"/>
            <w:vAlign w:val="center"/>
          </w:tcPr>
          <w:p>
            <w:pPr>
              <w:pStyle w:val="10"/>
            </w:pPr>
            <w:r>
              <w:t>青人社发【2022】7号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946" w:type="dxa"/>
            <w:vAlign w:val="center"/>
          </w:tcPr>
          <w:p>
            <w:pPr>
              <w:pStyle w:val="10"/>
            </w:pPr>
            <w:r>
              <w:t>博士后累计留青率</w:t>
            </w:r>
          </w:p>
        </w:tc>
        <w:tc>
          <w:tcPr>
            <w:tcW w:w="2277" w:type="dxa"/>
            <w:vAlign w:val="center"/>
          </w:tcPr>
          <w:p>
            <w:pPr>
              <w:pStyle w:val="10"/>
            </w:pPr>
            <w:r>
              <w:rPr>
                <w:rFonts w:hint="eastAsia"/>
                <w:lang w:eastAsia="zh-CN"/>
              </w:rPr>
              <w:t>反映</w:t>
            </w:r>
            <w:r>
              <w:t>博士后累计留青率</w:t>
            </w:r>
          </w:p>
        </w:tc>
        <w:tc>
          <w:tcPr>
            <w:tcW w:w="1276" w:type="dxa"/>
            <w:vAlign w:val="center"/>
          </w:tcPr>
          <w:p>
            <w:pPr>
              <w:pStyle w:val="10"/>
            </w:pPr>
            <w:r>
              <w:t>≥70%</w:t>
            </w:r>
          </w:p>
        </w:tc>
        <w:tc>
          <w:tcPr>
            <w:tcW w:w="1843" w:type="dxa"/>
            <w:vAlign w:val="center"/>
          </w:tcPr>
          <w:p>
            <w:pPr>
              <w:pStyle w:val="10"/>
            </w:pPr>
            <w:r>
              <w:t>青人社发【2022】7号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946" w:type="dxa"/>
            <w:vAlign w:val="center"/>
          </w:tcPr>
          <w:p>
            <w:pPr>
              <w:pStyle w:val="10"/>
            </w:pPr>
            <w:r>
              <w:rPr>
                <w:rFonts w:hint="eastAsia"/>
                <w:lang w:eastAsia="zh-CN"/>
              </w:rPr>
              <w:t>博士后</w:t>
            </w:r>
            <w:r>
              <w:t>满意度指标</w:t>
            </w:r>
          </w:p>
        </w:tc>
        <w:tc>
          <w:tcPr>
            <w:tcW w:w="2277" w:type="dxa"/>
            <w:vAlign w:val="center"/>
          </w:tcPr>
          <w:p>
            <w:pPr>
              <w:pStyle w:val="10"/>
            </w:pPr>
            <w:r>
              <w:t>反映补贴对象满意度</w:t>
            </w:r>
          </w:p>
        </w:tc>
        <w:tc>
          <w:tcPr>
            <w:tcW w:w="1276" w:type="dxa"/>
            <w:vAlign w:val="center"/>
          </w:tcPr>
          <w:p>
            <w:pPr>
              <w:pStyle w:val="10"/>
            </w:pPr>
            <w:r>
              <w:t>≥90%</w:t>
            </w:r>
          </w:p>
        </w:tc>
        <w:tc>
          <w:tcPr>
            <w:tcW w:w="1843" w:type="dxa"/>
            <w:vAlign w:val="center"/>
          </w:tcPr>
          <w:p>
            <w:pPr>
              <w:pStyle w:val="10"/>
            </w:pPr>
            <w:r>
              <w:t>青人社发【2022】7号</w:t>
            </w:r>
          </w:p>
        </w:tc>
      </w:tr>
    </w:tbl>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402001青岛市人力资源和社会保障局本级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37020023P08000210091A</w:t>
            </w:r>
          </w:p>
        </w:tc>
        <w:tc>
          <w:tcPr>
            <w:tcW w:w="1587" w:type="dxa"/>
            <w:vAlign w:val="center"/>
          </w:tcPr>
          <w:p>
            <w:pPr>
              <w:pStyle w:val="9"/>
            </w:pPr>
            <w:r>
              <w:t>项目名称</w:t>
            </w:r>
          </w:p>
        </w:tc>
        <w:tc>
          <w:tcPr>
            <w:tcW w:w="4422" w:type="dxa"/>
            <w:gridSpan w:val="3"/>
            <w:vAlign w:val="center"/>
          </w:tcPr>
          <w:p>
            <w:pPr>
              <w:pStyle w:val="10"/>
            </w:pPr>
            <w:r>
              <w:t>引进和培养高层次技能人才奖励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1020.00</w:t>
            </w:r>
          </w:p>
        </w:tc>
        <w:tc>
          <w:tcPr>
            <w:tcW w:w="1587" w:type="dxa"/>
            <w:vAlign w:val="center"/>
          </w:tcPr>
          <w:p>
            <w:pPr>
              <w:pStyle w:val="9"/>
            </w:pPr>
            <w:r>
              <w:t>其中：财政    资金</w:t>
            </w:r>
          </w:p>
        </w:tc>
        <w:tc>
          <w:tcPr>
            <w:tcW w:w="1304" w:type="dxa"/>
            <w:vAlign w:val="center"/>
          </w:tcPr>
          <w:p>
            <w:pPr>
              <w:pStyle w:val="10"/>
            </w:pPr>
            <w:r>
              <w:t>1020.00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根据政策对引进高层次技能人才给予奖励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890.00</w:t>
            </w:r>
          </w:p>
        </w:tc>
        <w:tc>
          <w:tcPr>
            <w:tcW w:w="3118" w:type="dxa"/>
            <w:gridSpan w:val="2"/>
            <w:vAlign w:val="center"/>
          </w:tcPr>
          <w:p>
            <w:pPr>
              <w:pStyle w:val="11"/>
            </w:pPr>
            <w:r>
              <w:t>1020.00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通过对引进和培养高层次技能人才给予奖励，进一步提高人才引进效率，提高人才竞争能力。</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rPr>
                <w:rFonts w:hint="eastAsia"/>
                <w:lang w:eastAsia="zh-CN"/>
              </w:rPr>
              <w:t>人才奖励</w:t>
            </w:r>
            <w:r>
              <w:t>项目预算控制数</w:t>
            </w:r>
          </w:p>
        </w:tc>
        <w:tc>
          <w:tcPr>
            <w:tcW w:w="2891" w:type="dxa"/>
            <w:vAlign w:val="center"/>
          </w:tcPr>
          <w:p>
            <w:pPr>
              <w:pStyle w:val="10"/>
            </w:pPr>
            <w:r>
              <w:t>反映项目资金投入成本</w:t>
            </w:r>
          </w:p>
        </w:tc>
        <w:tc>
          <w:tcPr>
            <w:tcW w:w="1276" w:type="dxa"/>
            <w:vAlign w:val="center"/>
          </w:tcPr>
          <w:p>
            <w:pPr>
              <w:pStyle w:val="10"/>
            </w:pPr>
            <w:r>
              <w:t>≤1020万元</w:t>
            </w:r>
          </w:p>
        </w:tc>
        <w:tc>
          <w:tcPr>
            <w:tcW w:w="1843" w:type="dxa"/>
            <w:vAlign w:val="center"/>
          </w:tcPr>
          <w:p>
            <w:pPr>
              <w:pStyle w:val="10"/>
            </w:pPr>
            <w:r>
              <w:t>《关于实施新旧动能转换技能人才支撑计划的意见》（青厅字〔2018〕33号）、《关于实施人才支撑新旧动能转换五大工程的意见》（青发〔2018〕26号）规定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时效指标</w:t>
            </w:r>
          </w:p>
        </w:tc>
        <w:tc>
          <w:tcPr>
            <w:tcW w:w="1332" w:type="dxa"/>
            <w:vAlign w:val="center"/>
          </w:tcPr>
          <w:p>
            <w:pPr>
              <w:pStyle w:val="10"/>
            </w:pPr>
            <w:r>
              <w:t>奖励发放及时率</w:t>
            </w:r>
          </w:p>
        </w:tc>
        <w:tc>
          <w:tcPr>
            <w:tcW w:w="2891" w:type="dxa"/>
            <w:vAlign w:val="center"/>
          </w:tcPr>
          <w:p>
            <w:pPr>
              <w:pStyle w:val="10"/>
            </w:pPr>
            <w:r>
              <w:t>反映奖励发放及时性</w:t>
            </w:r>
          </w:p>
        </w:tc>
        <w:tc>
          <w:tcPr>
            <w:tcW w:w="1276" w:type="dxa"/>
            <w:vAlign w:val="center"/>
          </w:tcPr>
          <w:p>
            <w:pPr>
              <w:pStyle w:val="10"/>
            </w:pPr>
            <w:r>
              <w:t>100%</w:t>
            </w:r>
          </w:p>
        </w:tc>
        <w:tc>
          <w:tcPr>
            <w:tcW w:w="1843" w:type="dxa"/>
            <w:vAlign w:val="center"/>
          </w:tcPr>
          <w:p>
            <w:pPr>
              <w:pStyle w:val="10"/>
            </w:pPr>
            <w:r>
              <w:t>《关于实施新旧动能转换技能人才支撑计划的意见》（青厅字〔2018〕33号）、《关于实施人才支撑新旧动能转换五大工程的意见》（青发〔2018〕26号）规定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奖励引进国家、省领军人才数量</w:t>
            </w:r>
          </w:p>
        </w:tc>
        <w:tc>
          <w:tcPr>
            <w:tcW w:w="2891" w:type="dxa"/>
            <w:vAlign w:val="center"/>
          </w:tcPr>
          <w:p>
            <w:pPr>
              <w:pStyle w:val="10"/>
            </w:pPr>
            <w:r>
              <w:t>反映奖励引进国家、省领军人才数量</w:t>
            </w:r>
          </w:p>
        </w:tc>
        <w:tc>
          <w:tcPr>
            <w:tcW w:w="1276" w:type="dxa"/>
            <w:vAlign w:val="center"/>
          </w:tcPr>
          <w:p>
            <w:pPr>
              <w:pStyle w:val="10"/>
            </w:pPr>
            <w:r>
              <w:t>≥4人</w:t>
            </w:r>
          </w:p>
        </w:tc>
        <w:tc>
          <w:tcPr>
            <w:tcW w:w="1843" w:type="dxa"/>
            <w:vAlign w:val="center"/>
          </w:tcPr>
          <w:p>
            <w:pPr>
              <w:pStyle w:val="10"/>
            </w:pPr>
            <w:r>
              <w:t>《关于实施新旧动能转换技能人才支撑计划的意见》（青厅字〔2018〕33号）、《关于实施人才支撑新旧动能转换五大工程的意见》（青发〔2018〕26号）规定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奖励自主培养高技能人才数量</w:t>
            </w:r>
          </w:p>
        </w:tc>
        <w:tc>
          <w:tcPr>
            <w:tcW w:w="2891" w:type="dxa"/>
            <w:vAlign w:val="center"/>
          </w:tcPr>
          <w:p>
            <w:pPr>
              <w:pStyle w:val="10"/>
            </w:pPr>
            <w:r>
              <w:t>反映奖励自主培养高技能人才数量</w:t>
            </w:r>
          </w:p>
        </w:tc>
        <w:tc>
          <w:tcPr>
            <w:tcW w:w="1276" w:type="dxa"/>
            <w:vAlign w:val="center"/>
          </w:tcPr>
          <w:p>
            <w:pPr>
              <w:pStyle w:val="10"/>
            </w:pPr>
            <w:r>
              <w:t>≥12人</w:t>
            </w:r>
          </w:p>
        </w:tc>
        <w:tc>
          <w:tcPr>
            <w:tcW w:w="1843" w:type="dxa"/>
            <w:vAlign w:val="center"/>
          </w:tcPr>
          <w:p>
            <w:pPr>
              <w:pStyle w:val="10"/>
            </w:pPr>
            <w:r>
              <w:t>《关于实施新旧动能转换技能人才支撑计划的意见》（青厅字〔2018〕33号）、《关于实施人才支撑新旧动能转换五大工程的意见》（青发〔2018〕26号）规定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奖励发放准确率</w:t>
            </w:r>
          </w:p>
        </w:tc>
        <w:tc>
          <w:tcPr>
            <w:tcW w:w="2891" w:type="dxa"/>
            <w:vAlign w:val="center"/>
          </w:tcPr>
          <w:p>
            <w:pPr>
              <w:pStyle w:val="10"/>
            </w:pPr>
            <w:r>
              <w:t>反映奖励发放准确率</w:t>
            </w:r>
          </w:p>
        </w:tc>
        <w:tc>
          <w:tcPr>
            <w:tcW w:w="1276" w:type="dxa"/>
            <w:vAlign w:val="center"/>
          </w:tcPr>
          <w:p>
            <w:pPr>
              <w:pStyle w:val="10"/>
            </w:pPr>
            <w:r>
              <w:t>100%</w:t>
            </w:r>
          </w:p>
        </w:tc>
        <w:tc>
          <w:tcPr>
            <w:tcW w:w="1843" w:type="dxa"/>
            <w:vAlign w:val="center"/>
          </w:tcPr>
          <w:p>
            <w:pPr>
              <w:pStyle w:val="10"/>
            </w:pPr>
            <w:r>
              <w:t>《关于实施新旧动能转换技能人才支撑计划的意见》（青厅字〔2018〕33号）、《关于实施人才支撑新旧动能转换五大工程的意见》（青发〔2018〕26号）规定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专款专用率</w:t>
            </w:r>
          </w:p>
        </w:tc>
        <w:tc>
          <w:tcPr>
            <w:tcW w:w="2891" w:type="dxa"/>
            <w:vAlign w:val="center"/>
          </w:tcPr>
          <w:p>
            <w:pPr>
              <w:pStyle w:val="10"/>
            </w:pPr>
            <w:r>
              <w:t>反映专款专用率</w:t>
            </w:r>
          </w:p>
        </w:tc>
        <w:tc>
          <w:tcPr>
            <w:tcW w:w="1276" w:type="dxa"/>
            <w:vAlign w:val="center"/>
          </w:tcPr>
          <w:p>
            <w:pPr>
              <w:pStyle w:val="10"/>
            </w:pPr>
            <w:r>
              <w:t>100%</w:t>
            </w:r>
          </w:p>
        </w:tc>
        <w:tc>
          <w:tcPr>
            <w:tcW w:w="1843" w:type="dxa"/>
            <w:vAlign w:val="center"/>
          </w:tcPr>
          <w:p>
            <w:pPr>
              <w:pStyle w:val="10"/>
            </w:pPr>
            <w:r>
              <w:t>《关于实施新旧动能转换技能人才支撑计划的意见》（青厅字〔2018〕33号）、《关于实施人才支撑新旧动能转换五大工程的意见》（青发〔2018〕26号）规定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技能人才质量提升</w:t>
            </w:r>
          </w:p>
        </w:tc>
        <w:tc>
          <w:tcPr>
            <w:tcW w:w="2891" w:type="dxa"/>
            <w:vAlign w:val="center"/>
          </w:tcPr>
          <w:p>
            <w:pPr>
              <w:pStyle w:val="10"/>
            </w:pPr>
            <w:r>
              <w:t>反映技能人才质量提升</w:t>
            </w:r>
          </w:p>
        </w:tc>
        <w:tc>
          <w:tcPr>
            <w:tcW w:w="1276" w:type="dxa"/>
            <w:vAlign w:val="center"/>
          </w:tcPr>
          <w:p>
            <w:pPr>
              <w:pStyle w:val="10"/>
            </w:pPr>
            <w:r>
              <w:t>提升</w:t>
            </w:r>
          </w:p>
        </w:tc>
        <w:tc>
          <w:tcPr>
            <w:tcW w:w="1843" w:type="dxa"/>
            <w:vAlign w:val="center"/>
          </w:tcPr>
          <w:p>
            <w:pPr>
              <w:pStyle w:val="10"/>
            </w:pPr>
            <w:r>
              <w:t>《关于实施新旧动能转换技能人才支撑计划的意见》（青厅字〔2018〕33号）、《关于实施人才支撑新旧动能转换五大工程的意见》（青发〔2018〕26号）规定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被奖励人员满意度</w:t>
            </w:r>
          </w:p>
        </w:tc>
        <w:tc>
          <w:tcPr>
            <w:tcW w:w="2891" w:type="dxa"/>
            <w:vAlign w:val="center"/>
          </w:tcPr>
          <w:p>
            <w:pPr>
              <w:pStyle w:val="10"/>
            </w:pPr>
            <w:r>
              <w:t>反映被奖励人员满意度</w:t>
            </w:r>
          </w:p>
        </w:tc>
        <w:tc>
          <w:tcPr>
            <w:tcW w:w="1276" w:type="dxa"/>
            <w:vAlign w:val="center"/>
          </w:tcPr>
          <w:p>
            <w:pPr>
              <w:pStyle w:val="10"/>
            </w:pPr>
            <w:r>
              <w:t>≥95%</w:t>
            </w:r>
          </w:p>
        </w:tc>
        <w:tc>
          <w:tcPr>
            <w:tcW w:w="1843" w:type="dxa"/>
            <w:vAlign w:val="center"/>
          </w:tcPr>
          <w:p>
            <w:pPr>
              <w:pStyle w:val="10"/>
            </w:pPr>
            <w:r>
              <w:t>《关于实施新旧动能转换技能人才支撑计划的意见》（青厅字〔2018〕33号）、《关于实施人才支撑新旧动能转换五大工程的意见》（青发〔2018〕26号）规定</w:t>
            </w:r>
          </w:p>
        </w:tc>
      </w:tr>
    </w:tbl>
    <w:p>
      <w:pPr>
        <w:sectPr>
          <w:pgSz w:w="11900" w:h="16840"/>
          <w:pgMar w:top="1984" w:right="1304" w:bottom="1134" w:left="1304" w:header="720" w:footer="720" w:gutter="0"/>
          <w:pgNumType w:fmt="numberInDash"/>
          <w:cols w:space="720" w:num="1"/>
        </w:sectPr>
      </w:pPr>
    </w:p>
    <w:p>
      <w:pPr>
        <w:jc w:val="center"/>
      </w:pPr>
      <w:r>
        <w:rPr>
          <w:rFonts w:ascii="方正仿宋_GBK" w:hAnsi="方正仿宋_GBK" w:eastAsia="方正仿宋_GBK" w:cs="方正仿宋_GBK"/>
          <w:color w:val="000000"/>
          <w:sz w:val="28"/>
        </w:rPr>
        <w:t xml:space="preserve">  </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402004青岛市公共就业和人才服务中心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37020023P08000210090N</w:t>
            </w:r>
          </w:p>
        </w:tc>
        <w:tc>
          <w:tcPr>
            <w:tcW w:w="1587" w:type="dxa"/>
            <w:vAlign w:val="center"/>
          </w:tcPr>
          <w:p>
            <w:pPr>
              <w:pStyle w:val="9"/>
            </w:pPr>
            <w:r>
              <w:t>项目名称</w:t>
            </w:r>
          </w:p>
        </w:tc>
        <w:tc>
          <w:tcPr>
            <w:tcW w:w="4422" w:type="dxa"/>
            <w:gridSpan w:val="3"/>
            <w:vAlign w:val="center"/>
          </w:tcPr>
          <w:p>
            <w:pPr>
              <w:pStyle w:val="10"/>
            </w:pPr>
            <w:r>
              <w:t>顶尖人才奖励资助资金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1069.00</w:t>
            </w:r>
          </w:p>
        </w:tc>
        <w:tc>
          <w:tcPr>
            <w:tcW w:w="1587" w:type="dxa"/>
            <w:vAlign w:val="center"/>
          </w:tcPr>
          <w:p>
            <w:pPr>
              <w:pStyle w:val="9"/>
            </w:pPr>
            <w:r>
              <w:t>其中：财政    资金</w:t>
            </w:r>
          </w:p>
        </w:tc>
        <w:tc>
          <w:tcPr>
            <w:tcW w:w="1304" w:type="dxa"/>
            <w:vAlign w:val="center"/>
          </w:tcPr>
          <w:p>
            <w:pPr>
              <w:pStyle w:val="10"/>
            </w:pPr>
            <w:r>
              <w:t>1069.00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拟用于为新认定顶尖人才和通过绩效评估的已认定定金人才发放奖励资助资金。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1069.00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2023年度，按照《关于做好2021年顶尖人才 、重点人才工程（柔性引进）奖励资助认定申报工作的通知》（青人社函〔2021〕47号）、关于印发《青岛市引进培养顶尖人才认定奖励实施细则》的通知 (青人社发〔2022〕13号)有关要求，按规定发放奖励资助资金，通过项目的实施强化引进培养顶尖人才创新创业聚集效应。</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奖励资金总额成本</w:t>
            </w:r>
          </w:p>
        </w:tc>
        <w:tc>
          <w:tcPr>
            <w:tcW w:w="2891" w:type="dxa"/>
            <w:vAlign w:val="center"/>
          </w:tcPr>
          <w:p>
            <w:pPr>
              <w:pStyle w:val="10"/>
            </w:pPr>
            <w:r>
              <w:t>反映顶尖人才奖励资金总额情况</w:t>
            </w:r>
          </w:p>
        </w:tc>
        <w:tc>
          <w:tcPr>
            <w:tcW w:w="1276" w:type="dxa"/>
            <w:vAlign w:val="center"/>
          </w:tcPr>
          <w:p>
            <w:pPr>
              <w:pStyle w:val="10"/>
            </w:pPr>
            <w:r>
              <w:t>≤1069万</w:t>
            </w:r>
          </w:p>
        </w:tc>
        <w:tc>
          <w:tcPr>
            <w:tcW w:w="1843" w:type="dxa"/>
            <w:vAlign w:val="center"/>
          </w:tcPr>
          <w:p>
            <w:pPr>
              <w:pStyle w:val="10"/>
            </w:pPr>
            <w:r>
              <w:t>（青人社函〔2021〕47号、青人社发〔2022〕13号）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柔性引进顶尖人才劳动报酬资助数量</w:t>
            </w:r>
          </w:p>
        </w:tc>
        <w:tc>
          <w:tcPr>
            <w:tcW w:w="2891" w:type="dxa"/>
            <w:vAlign w:val="center"/>
          </w:tcPr>
          <w:p>
            <w:pPr>
              <w:pStyle w:val="10"/>
            </w:pPr>
            <w:r>
              <w:t>反映柔性引进顶尖人才劳动报酬资助数量情况</w:t>
            </w:r>
          </w:p>
        </w:tc>
        <w:tc>
          <w:tcPr>
            <w:tcW w:w="1276" w:type="dxa"/>
            <w:vAlign w:val="center"/>
          </w:tcPr>
          <w:p>
            <w:pPr>
              <w:pStyle w:val="10"/>
            </w:pPr>
            <w:r>
              <w:t>11人</w:t>
            </w:r>
          </w:p>
        </w:tc>
        <w:tc>
          <w:tcPr>
            <w:tcW w:w="1843" w:type="dxa"/>
            <w:vAlign w:val="center"/>
          </w:tcPr>
          <w:p>
            <w:pPr>
              <w:pStyle w:val="10"/>
            </w:pPr>
            <w:r>
              <w:t>（青人社函〔2021〕47号、青人社发〔2022〕13号）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新当选和全职引进顶尖人才奖励安家费数量</w:t>
            </w:r>
          </w:p>
        </w:tc>
        <w:tc>
          <w:tcPr>
            <w:tcW w:w="2891" w:type="dxa"/>
            <w:vAlign w:val="center"/>
          </w:tcPr>
          <w:p>
            <w:pPr>
              <w:pStyle w:val="10"/>
            </w:pPr>
            <w:r>
              <w:t>反映新当选和全职引进顶尖人才奖励安家费数量情况</w:t>
            </w:r>
          </w:p>
        </w:tc>
        <w:tc>
          <w:tcPr>
            <w:tcW w:w="1276" w:type="dxa"/>
            <w:vAlign w:val="center"/>
          </w:tcPr>
          <w:p>
            <w:pPr>
              <w:pStyle w:val="10"/>
            </w:pPr>
            <w:r>
              <w:t>6人</w:t>
            </w:r>
          </w:p>
        </w:tc>
        <w:tc>
          <w:tcPr>
            <w:tcW w:w="1843" w:type="dxa"/>
            <w:vAlign w:val="center"/>
          </w:tcPr>
          <w:p>
            <w:pPr>
              <w:pStyle w:val="10"/>
            </w:pPr>
            <w:r>
              <w:t>（青人社函〔2021〕47号、青人社发〔2022〕13号）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创办企业的顶尖人才奖励数量</w:t>
            </w:r>
          </w:p>
        </w:tc>
        <w:tc>
          <w:tcPr>
            <w:tcW w:w="2891" w:type="dxa"/>
            <w:vAlign w:val="center"/>
          </w:tcPr>
          <w:p>
            <w:pPr>
              <w:pStyle w:val="10"/>
            </w:pPr>
            <w:r>
              <w:t>反映纳税奖励情况。包括：2020年创办企业的顶尖人才1人×（100万×30%）×30%=9万元；2021年和2023年年创办企业的顶尖人才2人×（200万×30%）×30%=36万元。</w:t>
            </w:r>
          </w:p>
        </w:tc>
        <w:tc>
          <w:tcPr>
            <w:tcW w:w="1276" w:type="dxa"/>
            <w:vAlign w:val="center"/>
          </w:tcPr>
          <w:p>
            <w:pPr>
              <w:pStyle w:val="10"/>
            </w:pPr>
            <w:r>
              <w:t>3人</w:t>
            </w:r>
          </w:p>
        </w:tc>
        <w:tc>
          <w:tcPr>
            <w:tcW w:w="1843" w:type="dxa"/>
            <w:vAlign w:val="center"/>
          </w:tcPr>
          <w:p>
            <w:pPr>
              <w:pStyle w:val="10"/>
            </w:pPr>
            <w:r>
              <w:t>（青人社函〔2021〕47号、青人社发〔2022〕13号）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顶尖人才认定合格率</w:t>
            </w:r>
          </w:p>
        </w:tc>
        <w:tc>
          <w:tcPr>
            <w:tcW w:w="2891" w:type="dxa"/>
            <w:vAlign w:val="center"/>
          </w:tcPr>
          <w:p>
            <w:pPr>
              <w:pStyle w:val="10"/>
            </w:pPr>
            <w:r>
              <w:t>反映顶尖人才认定合格率情况和反映资金发放准确率情况</w:t>
            </w:r>
          </w:p>
        </w:tc>
        <w:tc>
          <w:tcPr>
            <w:tcW w:w="1276" w:type="dxa"/>
            <w:vAlign w:val="center"/>
          </w:tcPr>
          <w:p>
            <w:pPr>
              <w:pStyle w:val="10"/>
            </w:pPr>
            <w:r>
              <w:t>≥100%</w:t>
            </w:r>
          </w:p>
        </w:tc>
        <w:tc>
          <w:tcPr>
            <w:tcW w:w="1843" w:type="dxa"/>
            <w:vAlign w:val="center"/>
          </w:tcPr>
          <w:p>
            <w:pPr>
              <w:pStyle w:val="10"/>
            </w:pPr>
            <w:r>
              <w:t>（青人社函〔2021〕47号、青人社发〔2022〕13号）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资金发放准确率</w:t>
            </w:r>
          </w:p>
        </w:tc>
        <w:tc>
          <w:tcPr>
            <w:tcW w:w="2891" w:type="dxa"/>
            <w:vAlign w:val="center"/>
          </w:tcPr>
          <w:p>
            <w:pPr>
              <w:pStyle w:val="10"/>
            </w:pPr>
            <w:r>
              <w:t>反映资金核拨质量情况</w:t>
            </w:r>
          </w:p>
        </w:tc>
        <w:tc>
          <w:tcPr>
            <w:tcW w:w="1276" w:type="dxa"/>
            <w:vAlign w:val="center"/>
          </w:tcPr>
          <w:p>
            <w:pPr>
              <w:pStyle w:val="10"/>
            </w:pPr>
            <w:r>
              <w:t>≥100%</w:t>
            </w:r>
          </w:p>
        </w:tc>
        <w:tc>
          <w:tcPr>
            <w:tcW w:w="1843" w:type="dxa"/>
            <w:vAlign w:val="center"/>
          </w:tcPr>
          <w:p>
            <w:pPr>
              <w:pStyle w:val="10"/>
            </w:pPr>
            <w:r>
              <w:t>（青人社函〔2021〕47号、青人社发〔2022〕13号）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rPr>
                <w:lang w:eastAsia="zh-CN"/>
              </w:rPr>
            </w:pPr>
            <w:r>
              <w:t>经费审核发放</w:t>
            </w:r>
            <w:r>
              <w:rPr>
                <w:rFonts w:hint="eastAsia"/>
                <w:lang w:eastAsia="zh-CN"/>
              </w:rPr>
              <w:t>及时率</w:t>
            </w:r>
          </w:p>
        </w:tc>
        <w:tc>
          <w:tcPr>
            <w:tcW w:w="2891" w:type="dxa"/>
            <w:vAlign w:val="center"/>
          </w:tcPr>
          <w:p>
            <w:pPr>
              <w:pStyle w:val="10"/>
            </w:pPr>
            <w:r>
              <w:t>反映经费审核发放时间</w:t>
            </w:r>
          </w:p>
        </w:tc>
        <w:tc>
          <w:tcPr>
            <w:tcW w:w="1276" w:type="dxa"/>
            <w:vAlign w:val="center"/>
          </w:tcPr>
          <w:p>
            <w:pPr>
              <w:pStyle w:val="10"/>
              <w:rPr>
                <w:lang w:eastAsia="zh-CN"/>
              </w:rPr>
            </w:pPr>
            <w:r>
              <w:t>1</w:t>
            </w:r>
            <w:r>
              <w:rPr>
                <w:rFonts w:hint="eastAsia"/>
                <w:lang w:eastAsia="zh-CN"/>
              </w:rPr>
              <w:t>00%</w:t>
            </w:r>
          </w:p>
        </w:tc>
        <w:tc>
          <w:tcPr>
            <w:tcW w:w="1843" w:type="dxa"/>
            <w:vAlign w:val="center"/>
          </w:tcPr>
          <w:p>
            <w:pPr>
              <w:pStyle w:val="10"/>
            </w:pPr>
            <w:r>
              <w:t>（青人社函〔2021〕47号、青人社发〔2022〕13号）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强化引进培养顶尖人才</w:t>
            </w:r>
          </w:p>
          <w:p>
            <w:pPr>
              <w:pStyle w:val="10"/>
            </w:pPr>
            <w:r>
              <w:t>创新创业聚集效应</w:t>
            </w:r>
          </w:p>
        </w:tc>
        <w:tc>
          <w:tcPr>
            <w:tcW w:w="2891" w:type="dxa"/>
            <w:vAlign w:val="center"/>
          </w:tcPr>
          <w:p>
            <w:pPr>
              <w:pStyle w:val="10"/>
            </w:pPr>
            <w:r>
              <w:t>反映强化引进培养顶尖人才创新创业聚集效应情况</w:t>
            </w:r>
          </w:p>
        </w:tc>
        <w:tc>
          <w:tcPr>
            <w:tcW w:w="1276" w:type="dxa"/>
            <w:vAlign w:val="center"/>
          </w:tcPr>
          <w:p>
            <w:pPr>
              <w:pStyle w:val="10"/>
            </w:pPr>
            <w:r>
              <w:t>100%</w:t>
            </w:r>
          </w:p>
        </w:tc>
        <w:tc>
          <w:tcPr>
            <w:tcW w:w="1843" w:type="dxa"/>
            <w:vAlign w:val="center"/>
          </w:tcPr>
          <w:p>
            <w:pPr>
              <w:pStyle w:val="10"/>
            </w:pPr>
            <w:r>
              <w:t>（青人社函〔2021〕47号、青人社发〔2022〕13号）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创办企业项目成果转化效益</w:t>
            </w:r>
          </w:p>
        </w:tc>
        <w:tc>
          <w:tcPr>
            <w:tcW w:w="2891" w:type="dxa"/>
            <w:vAlign w:val="center"/>
          </w:tcPr>
          <w:p>
            <w:pPr>
              <w:pStyle w:val="10"/>
            </w:pPr>
            <w:r>
              <w:t>反映创办企业项目成果转化效益情况</w:t>
            </w:r>
          </w:p>
        </w:tc>
        <w:tc>
          <w:tcPr>
            <w:tcW w:w="1276" w:type="dxa"/>
            <w:vAlign w:val="center"/>
          </w:tcPr>
          <w:p>
            <w:pPr>
              <w:pStyle w:val="10"/>
            </w:pPr>
            <w:r>
              <w:t>100%</w:t>
            </w:r>
          </w:p>
        </w:tc>
        <w:tc>
          <w:tcPr>
            <w:tcW w:w="1843" w:type="dxa"/>
            <w:vAlign w:val="center"/>
          </w:tcPr>
          <w:p>
            <w:pPr>
              <w:pStyle w:val="10"/>
            </w:pPr>
            <w:r>
              <w:t>（青人社函〔2021〕47号、青人社发〔2022〕13号）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发挥顶尖人才引领创新创业作用</w:t>
            </w:r>
          </w:p>
        </w:tc>
        <w:tc>
          <w:tcPr>
            <w:tcW w:w="2891" w:type="dxa"/>
            <w:vAlign w:val="center"/>
          </w:tcPr>
          <w:p>
            <w:pPr>
              <w:pStyle w:val="10"/>
            </w:pPr>
            <w:r>
              <w:t>反映发挥顶尖人才引领创新创业作用情况</w:t>
            </w:r>
          </w:p>
        </w:tc>
        <w:tc>
          <w:tcPr>
            <w:tcW w:w="1276" w:type="dxa"/>
            <w:vAlign w:val="center"/>
          </w:tcPr>
          <w:p>
            <w:pPr>
              <w:pStyle w:val="10"/>
              <w:rPr>
                <w:lang w:eastAsia="zh-CN"/>
              </w:rPr>
            </w:pPr>
            <w:r>
              <w:rPr>
                <w:rFonts w:hint="eastAsia"/>
                <w:lang w:eastAsia="zh-CN"/>
              </w:rPr>
              <w:t>效果明显</w:t>
            </w:r>
          </w:p>
        </w:tc>
        <w:tc>
          <w:tcPr>
            <w:tcW w:w="1843" w:type="dxa"/>
            <w:vAlign w:val="center"/>
          </w:tcPr>
          <w:p>
            <w:pPr>
              <w:pStyle w:val="10"/>
            </w:pPr>
            <w:r>
              <w:t>（青人社函〔2021〕47号、青人社发〔2022〕13号）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用人单位和人才对资助满意</w:t>
            </w:r>
          </w:p>
        </w:tc>
        <w:tc>
          <w:tcPr>
            <w:tcW w:w="2891" w:type="dxa"/>
            <w:vAlign w:val="center"/>
          </w:tcPr>
          <w:p>
            <w:pPr>
              <w:pStyle w:val="10"/>
            </w:pPr>
            <w:r>
              <w:t>反映用人单位和人才对资助满意情况</w:t>
            </w:r>
          </w:p>
        </w:tc>
        <w:tc>
          <w:tcPr>
            <w:tcW w:w="1276" w:type="dxa"/>
            <w:vAlign w:val="center"/>
          </w:tcPr>
          <w:p>
            <w:pPr>
              <w:pStyle w:val="10"/>
            </w:pPr>
            <w:r>
              <w:t>≥95%</w:t>
            </w:r>
          </w:p>
        </w:tc>
        <w:tc>
          <w:tcPr>
            <w:tcW w:w="1843" w:type="dxa"/>
            <w:vAlign w:val="center"/>
          </w:tcPr>
          <w:p>
            <w:pPr>
              <w:pStyle w:val="10"/>
            </w:pPr>
            <w:r>
              <w:t>（青人社函〔2021〕47号、青人社发〔2022〕13号）</w:t>
            </w:r>
          </w:p>
        </w:tc>
      </w:tr>
    </w:tbl>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206001青岛市教育局本级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37020023P08000210098K</w:t>
            </w:r>
          </w:p>
        </w:tc>
        <w:tc>
          <w:tcPr>
            <w:tcW w:w="1587" w:type="dxa"/>
            <w:vAlign w:val="center"/>
          </w:tcPr>
          <w:p>
            <w:pPr>
              <w:pStyle w:val="9"/>
            </w:pPr>
            <w:r>
              <w:t>项目名称</w:t>
            </w:r>
          </w:p>
        </w:tc>
        <w:tc>
          <w:tcPr>
            <w:tcW w:w="4422" w:type="dxa"/>
            <w:gridSpan w:val="3"/>
            <w:vAlign w:val="center"/>
          </w:tcPr>
          <w:p>
            <w:pPr>
              <w:pStyle w:val="10"/>
            </w:pPr>
            <w:r>
              <w:t>重点人才工程奖励资助配套经费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1480.00</w:t>
            </w:r>
          </w:p>
        </w:tc>
        <w:tc>
          <w:tcPr>
            <w:tcW w:w="1587" w:type="dxa"/>
            <w:vAlign w:val="center"/>
          </w:tcPr>
          <w:p>
            <w:pPr>
              <w:pStyle w:val="9"/>
            </w:pPr>
            <w:r>
              <w:t>其中：财政    资金</w:t>
            </w:r>
          </w:p>
        </w:tc>
        <w:tc>
          <w:tcPr>
            <w:tcW w:w="1304" w:type="dxa"/>
            <w:vAlign w:val="center"/>
          </w:tcPr>
          <w:p>
            <w:pPr>
              <w:pStyle w:val="10"/>
            </w:pPr>
            <w:r>
              <w:t>1480.00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重点人才工程奖励资助配套经费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rPr>
                <w:rFonts w:hint="eastAsia"/>
                <w:lang w:eastAsia="zh-CN"/>
              </w:rP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1480.00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通过着重奖励入选高层次人才和用人主体，实现优化我市人才队伍梯队建设，加强重点产业领域人才支持力度，打造技术和人才高地，奋力推进青岛经济社会高质量发展的效果。</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重点人才工程奖励资助配套经费预算控制数</w:t>
            </w:r>
          </w:p>
        </w:tc>
        <w:tc>
          <w:tcPr>
            <w:tcW w:w="2891" w:type="dxa"/>
            <w:vAlign w:val="center"/>
          </w:tcPr>
          <w:p>
            <w:pPr>
              <w:pStyle w:val="10"/>
            </w:pPr>
            <w:r>
              <w:t>重点人才工程奖励资助配套经费预算控制数</w:t>
            </w:r>
          </w:p>
        </w:tc>
        <w:tc>
          <w:tcPr>
            <w:tcW w:w="1276" w:type="dxa"/>
            <w:vAlign w:val="center"/>
          </w:tcPr>
          <w:p>
            <w:pPr>
              <w:pStyle w:val="10"/>
            </w:pPr>
            <w:r>
              <w:t>≤1480万元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补助人才数量</w:t>
            </w:r>
          </w:p>
        </w:tc>
        <w:tc>
          <w:tcPr>
            <w:tcW w:w="2891" w:type="dxa"/>
            <w:vAlign w:val="center"/>
          </w:tcPr>
          <w:p>
            <w:pPr>
              <w:pStyle w:val="10"/>
            </w:pPr>
            <w:r>
              <w:t>补助人才数量</w:t>
            </w:r>
          </w:p>
        </w:tc>
        <w:tc>
          <w:tcPr>
            <w:tcW w:w="1276" w:type="dxa"/>
            <w:vAlign w:val="center"/>
          </w:tcPr>
          <w:p>
            <w:pPr>
              <w:pStyle w:val="10"/>
            </w:pPr>
            <w:r>
              <w:t>16人</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奖补单位数量</w:t>
            </w:r>
          </w:p>
        </w:tc>
        <w:tc>
          <w:tcPr>
            <w:tcW w:w="2891" w:type="dxa"/>
            <w:vAlign w:val="center"/>
          </w:tcPr>
          <w:p>
            <w:pPr>
              <w:pStyle w:val="10"/>
            </w:pPr>
            <w:r>
              <w:t>奖补单位数量</w:t>
            </w:r>
          </w:p>
        </w:tc>
        <w:tc>
          <w:tcPr>
            <w:tcW w:w="1276" w:type="dxa"/>
            <w:vAlign w:val="center"/>
          </w:tcPr>
          <w:p>
            <w:pPr>
              <w:pStyle w:val="10"/>
            </w:pPr>
            <w:r>
              <w:t>1个</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补助覆盖率</w:t>
            </w:r>
          </w:p>
        </w:tc>
        <w:tc>
          <w:tcPr>
            <w:tcW w:w="2891" w:type="dxa"/>
            <w:vAlign w:val="center"/>
          </w:tcPr>
          <w:p>
            <w:pPr>
              <w:pStyle w:val="10"/>
            </w:pPr>
            <w:r>
              <w:t>补助覆盖率</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5"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rPr>
                <w:lang w:eastAsia="zh-CN"/>
              </w:rPr>
            </w:pPr>
            <w:r>
              <w:t>资金拨付及时</w:t>
            </w:r>
            <w:r>
              <w:rPr>
                <w:rFonts w:hint="eastAsia"/>
                <w:lang w:eastAsia="zh-CN"/>
              </w:rPr>
              <w:t>率</w:t>
            </w:r>
          </w:p>
        </w:tc>
        <w:tc>
          <w:tcPr>
            <w:tcW w:w="2891" w:type="dxa"/>
            <w:vAlign w:val="center"/>
          </w:tcPr>
          <w:p>
            <w:pPr>
              <w:pStyle w:val="10"/>
            </w:pPr>
            <w:r>
              <w:t>资金拨付及时性</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完成月份</w:t>
            </w:r>
          </w:p>
        </w:tc>
        <w:tc>
          <w:tcPr>
            <w:tcW w:w="2891" w:type="dxa"/>
            <w:vAlign w:val="center"/>
          </w:tcPr>
          <w:p>
            <w:pPr>
              <w:pStyle w:val="10"/>
            </w:pPr>
            <w:r>
              <w:t>完成月份</w:t>
            </w:r>
          </w:p>
        </w:tc>
        <w:tc>
          <w:tcPr>
            <w:tcW w:w="1276" w:type="dxa"/>
            <w:vAlign w:val="center"/>
          </w:tcPr>
          <w:p>
            <w:pPr>
              <w:pStyle w:val="10"/>
              <w:rPr>
                <w:lang w:eastAsia="zh-CN"/>
              </w:rPr>
            </w:pPr>
            <w:r>
              <w:rPr>
                <w:rFonts w:hint="eastAsia"/>
                <w:lang w:eastAsia="zh-CN"/>
              </w:rPr>
              <w:t>≤12月</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优化人才队伍梯队建设</w:t>
            </w:r>
          </w:p>
        </w:tc>
        <w:tc>
          <w:tcPr>
            <w:tcW w:w="2891" w:type="dxa"/>
            <w:vAlign w:val="center"/>
          </w:tcPr>
          <w:p>
            <w:pPr>
              <w:pStyle w:val="10"/>
            </w:pPr>
            <w:r>
              <w:t>人才队伍梯队建设</w:t>
            </w:r>
          </w:p>
        </w:tc>
        <w:tc>
          <w:tcPr>
            <w:tcW w:w="1276" w:type="dxa"/>
            <w:vAlign w:val="center"/>
          </w:tcPr>
          <w:p>
            <w:pPr>
              <w:pStyle w:val="10"/>
              <w:rPr>
                <w:lang w:eastAsia="zh-CN"/>
              </w:rPr>
            </w:pPr>
            <w:r>
              <w:rPr>
                <w:rFonts w:hint="eastAsia"/>
                <w:lang w:eastAsia="zh-CN"/>
              </w:rPr>
              <w:t>效果明显</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引进人才满意度</w:t>
            </w:r>
          </w:p>
        </w:tc>
        <w:tc>
          <w:tcPr>
            <w:tcW w:w="2891" w:type="dxa"/>
            <w:vAlign w:val="center"/>
          </w:tcPr>
          <w:p>
            <w:pPr>
              <w:pStyle w:val="10"/>
            </w:pPr>
            <w:r>
              <w:t>引进人才满意度</w:t>
            </w:r>
          </w:p>
        </w:tc>
        <w:tc>
          <w:tcPr>
            <w:tcW w:w="1276" w:type="dxa"/>
            <w:vAlign w:val="center"/>
          </w:tcPr>
          <w:p>
            <w:pPr>
              <w:pStyle w:val="10"/>
            </w:pPr>
            <w:r>
              <w:t>≥95%</w:t>
            </w:r>
          </w:p>
        </w:tc>
        <w:tc>
          <w:tcPr>
            <w:tcW w:w="1843" w:type="dxa"/>
            <w:vAlign w:val="center"/>
          </w:tcPr>
          <w:p>
            <w:pPr>
              <w:pStyle w:val="10"/>
            </w:pPr>
            <w:r>
              <w:t>计划标准</w:t>
            </w:r>
          </w:p>
        </w:tc>
      </w:tr>
    </w:tbl>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3.民航业发展资金</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604001青岛市交通运输局本级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37020023P09000310002Y</w:t>
            </w:r>
          </w:p>
        </w:tc>
        <w:tc>
          <w:tcPr>
            <w:tcW w:w="1587" w:type="dxa"/>
            <w:vAlign w:val="center"/>
          </w:tcPr>
          <w:p>
            <w:pPr>
              <w:pStyle w:val="9"/>
            </w:pPr>
            <w:r>
              <w:t>项目名称</w:t>
            </w:r>
          </w:p>
        </w:tc>
        <w:tc>
          <w:tcPr>
            <w:tcW w:w="4422" w:type="dxa"/>
            <w:gridSpan w:val="3"/>
            <w:vAlign w:val="center"/>
          </w:tcPr>
          <w:p>
            <w:pPr>
              <w:pStyle w:val="10"/>
            </w:pPr>
            <w:r>
              <w:t>客货运航线补贴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60163.00</w:t>
            </w:r>
          </w:p>
        </w:tc>
        <w:tc>
          <w:tcPr>
            <w:tcW w:w="1587" w:type="dxa"/>
            <w:vAlign w:val="center"/>
          </w:tcPr>
          <w:p>
            <w:pPr>
              <w:pStyle w:val="9"/>
            </w:pPr>
            <w:r>
              <w:t>其中：财政    资金</w:t>
            </w:r>
          </w:p>
        </w:tc>
        <w:tc>
          <w:tcPr>
            <w:tcW w:w="1304" w:type="dxa"/>
            <w:vAlign w:val="center"/>
          </w:tcPr>
          <w:p>
            <w:pPr>
              <w:pStyle w:val="10"/>
            </w:pPr>
            <w:r>
              <w:t>60163.00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推进国际航线开发，视疫情影响情况逐步恢复已开洲际及远程国际航线运营。进一步提升民航对外联通能力。促进机场运输生产，提升空地保障能力，确保机场完成运输生产目标。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21466.90</w:t>
            </w:r>
          </w:p>
        </w:tc>
        <w:tc>
          <w:tcPr>
            <w:tcW w:w="1587" w:type="dxa"/>
            <w:vAlign w:val="center"/>
          </w:tcPr>
          <w:p>
            <w:pPr>
              <w:pStyle w:val="11"/>
            </w:pPr>
            <w:r>
              <w:t>58489.60</w:t>
            </w:r>
          </w:p>
        </w:tc>
        <w:tc>
          <w:tcPr>
            <w:tcW w:w="1304" w:type="dxa"/>
            <w:vAlign w:val="center"/>
          </w:tcPr>
          <w:p>
            <w:pPr>
              <w:pStyle w:val="11"/>
            </w:pPr>
            <w:r>
              <w:t>60163.00</w:t>
            </w:r>
          </w:p>
        </w:tc>
        <w:tc>
          <w:tcPr>
            <w:tcW w:w="3118" w:type="dxa"/>
            <w:gridSpan w:val="2"/>
            <w:vAlign w:val="center"/>
          </w:tcPr>
          <w:p>
            <w:pPr>
              <w:pStyle w:val="11"/>
            </w:pPr>
            <w:r>
              <w:t>60163.00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推进国际航线开发，视疫情影响情况逐步恢复已开洲际及远程国际航线运营。进一步提升民航对外联通能力。促进机场运输生产，提升空地保障能力，确保机场完成运输生产目标。</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洲际货运航线</w:t>
            </w:r>
          </w:p>
        </w:tc>
        <w:tc>
          <w:tcPr>
            <w:tcW w:w="2891" w:type="dxa"/>
            <w:vAlign w:val="center"/>
          </w:tcPr>
          <w:p>
            <w:pPr>
              <w:pStyle w:val="10"/>
            </w:pPr>
            <w:r>
              <w:t>每条洲际货运航线年度补贴标准</w:t>
            </w:r>
          </w:p>
        </w:tc>
        <w:tc>
          <w:tcPr>
            <w:tcW w:w="1276" w:type="dxa"/>
            <w:vAlign w:val="center"/>
          </w:tcPr>
          <w:p>
            <w:pPr>
              <w:pStyle w:val="10"/>
            </w:pPr>
            <w:r>
              <w:t>≤15000万元</w:t>
            </w:r>
          </w:p>
        </w:tc>
        <w:tc>
          <w:tcPr>
            <w:tcW w:w="1843" w:type="dxa"/>
            <w:vAlign w:val="center"/>
          </w:tcPr>
          <w:p>
            <w:pPr>
              <w:pStyle w:val="10"/>
            </w:pPr>
            <w:r>
              <w:t>计划/历史标准（政策）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国际（地区）客运航线数量</w:t>
            </w:r>
          </w:p>
        </w:tc>
        <w:tc>
          <w:tcPr>
            <w:tcW w:w="2891" w:type="dxa"/>
            <w:vAlign w:val="center"/>
          </w:tcPr>
          <w:p>
            <w:pPr>
              <w:pStyle w:val="10"/>
            </w:pPr>
            <w:r>
              <w:t>机场年度内国际（地区）客运航线运营数量</w:t>
            </w:r>
          </w:p>
        </w:tc>
        <w:tc>
          <w:tcPr>
            <w:tcW w:w="1276" w:type="dxa"/>
            <w:vAlign w:val="center"/>
          </w:tcPr>
          <w:p>
            <w:pPr>
              <w:pStyle w:val="10"/>
            </w:pPr>
            <w:r>
              <w:t>≥11条</w:t>
            </w:r>
          </w:p>
        </w:tc>
        <w:tc>
          <w:tcPr>
            <w:tcW w:w="1843" w:type="dxa"/>
            <w:vAlign w:val="center"/>
          </w:tcPr>
          <w:p>
            <w:pPr>
              <w:pStyle w:val="10"/>
            </w:pPr>
            <w:r>
              <w:t>计划/历史标准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国际（地区）货运航线数量</w:t>
            </w:r>
          </w:p>
        </w:tc>
        <w:tc>
          <w:tcPr>
            <w:tcW w:w="2891" w:type="dxa"/>
            <w:vAlign w:val="center"/>
          </w:tcPr>
          <w:p>
            <w:pPr>
              <w:pStyle w:val="10"/>
            </w:pPr>
            <w:r>
              <w:t>机场年度内国际（地区）货运航线运营数量</w:t>
            </w:r>
          </w:p>
        </w:tc>
        <w:tc>
          <w:tcPr>
            <w:tcW w:w="1276" w:type="dxa"/>
            <w:vAlign w:val="center"/>
          </w:tcPr>
          <w:p>
            <w:pPr>
              <w:pStyle w:val="10"/>
            </w:pPr>
            <w:r>
              <w:t>≥10条</w:t>
            </w:r>
          </w:p>
        </w:tc>
        <w:tc>
          <w:tcPr>
            <w:tcW w:w="1843" w:type="dxa"/>
            <w:vAlign w:val="center"/>
          </w:tcPr>
          <w:p>
            <w:pPr>
              <w:pStyle w:val="10"/>
            </w:pPr>
            <w:r>
              <w:t>计划/历史标准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补贴政策符合度</w:t>
            </w:r>
          </w:p>
        </w:tc>
        <w:tc>
          <w:tcPr>
            <w:tcW w:w="2891" w:type="dxa"/>
            <w:vAlign w:val="center"/>
          </w:tcPr>
          <w:p>
            <w:pPr>
              <w:pStyle w:val="10"/>
            </w:pPr>
            <w:r>
              <w:t>符合客货运航线补贴政策</w:t>
            </w:r>
          </w:p>
        </w:tc>
        <w:tc>
          <w:tcPr>
            <w:tcW w:w="1276" w:type="dxa"/>
            <w:vAlign w:val="center"/>
          </w:tcPr>
          <w:p>
            <w:pPr>
              <w:pStyle w:val="10"/>
              <w:rPr>
                <w:lang w:eastAsia="zh-CN"/>
              </w:rPr>
            </w:pPr>
            <w:r>
              <w:rPr>
                <w:rFonts w:hint="eastAsia"/>
                <w:lang w:eastAsia="zh-CN"/>
              </w:rPr>
              <w:t>1</w:t>
            </w:r>
            <w:r>
              <w:rPr>
                <w:lang w:eastAsia="zh-CN"/>
              </w:rPr>
              <w:t>00%</w:t>
            </w:r>
          </w:p>
        </w:tc>
        <w:tc>
          <w:tcPr>
            <w:tcW w:w="1843" w:type="dxa"/>
            <w:vAlign w:val="center"/>
          </w:tcPr>
          <w:p>
            <w:pPr>
              <w:pStyle w:val="10"/>
            </w:pPr>
            <w:r>
              <w:t>计划/历史标准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rPr>
                <w:rFonts w:hint="eastAsia"/>
                <w:lang w:eastAsia="zh-CN"/>
              </w:rPr>
              <w:t>补贴足额率</w:t>
            </w:r>
          </w:p>
        </w:tc>
        <w:tc>
          <w:tcPr>
            <w:tcW w:w="2891" w:type="dxa"/>
            <w:vAlign w:val="center"/>
          </w:tcPr>
          <w:p>
            <w:pPr>
              <w:pStyle w:val="10"/>
            </w:pPr>
            <w:r>
              <w:rPr>
                <w:rFonts w:hint="eastAsia"/>
                <w:lang w:eastAsia="zh-CN"/>
              </w:rPr>
              <w:t>补贴足额率</w:t>
            </w:r>
          </w:p>
        </w:tc>
        <w:tc>
          <w:tcPr>
            <w:tcW w:w="1276" w:type="dxa"/>
            <w:vAlign w:val="center"/>
          </w:tcPr>
          <w:p>
            <w:pPr>
              <w:pStyle w:val="10"/>
              <w:rPr>
                <w:lang w:eastAsia="zh-CN"/>
              </w:rPr>
            </w:pPr>
            <w:r>
              <w:rPr>
                <w:rFonts w:hint="eastAsia"/>
                <w:lang w:eastAsia="zh-CN"/>
              </w:rPr>
              <w:t>1</w:t>
            </w:r>
            <w:r>
              <w:rPr>
                <w:lang w:eastAsia="zh-CN"/>
              </w:rPr>
              <w:t>00%</w:t>
            </w:r>
          </w:p>
        </w:tc>
        <w:tc>
          <w:tcPr>
            <w:tcW w:w="1843" w:type="dxa"/>
            <w:vAlign w:val="center"/>
          </w:tcPr>
          <w:p>
            <w:pPr>
              <w:pStyle w:val="10"/>
            </w:pPr>
            <w:r>
              <w:t>计划/历史标准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资金补贴及时性</w:t>
            </w:r>
          </w:p>
        </w:tc>
        <w:tc>
          <w:tcPr>
            <w:tcW w:w="2891" w:type="dxa"/>
            <w:vAlign w:val="center"/>
          </w:tcPr>
          <w:p>
            <w:pPr>
              <w:pStyle w:val="10"/>
            </w:pPr>
            <w:r>
              <w:t>财政资金到账后，45个工作日内拨付完毕</w:t>
            </w:r>
          </w:p>
        </w:tc>
        <w:tc>
          <w:tcPr>
            <w:tcW w:w="1276" w:type="dxa"/>
            <w:vAlign w:val="center"/>
          </w:tcPr>
          <w:p>
            <w:pPr>
              <w:pStyle w:val="10"/>
            </w:pPr>
            <w:r>
              <w:t>≤45天</w:t>
            </w:r>
          </w:p>
        </w:tc>
        <w:tc>
          <w:tcPr>
            <w:tcW w:w="1843" w:type="dxa"/>
            <w:vAlign w:val="center"/>
          </w:tcPr>
          <w:p>
            <w:pPr>
              <w:pStyle w:val="10"/>
            </w:pPr>
            <w:r>
              <w:t>计划/历史标准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机场对外联通性</w:t>
            </w:r>
          </w:p>
        </w:tc>
        <w:tc>
          <w:tcPr>
            <w:tcW w:w="2891" w:type="dxa"/>
            <w:vAlign w:val="center"/>
          </w:tcPr>
          <w:p>
            <w:pPr>
              <w:pStyle w:val="10"/>
            </w:pPr>
            <w:r>
              <w:t>机场国际（地区）客货运航线数量提升</w:t>
            </w:r>
          </w:p>
        </w:tc>
        <w:tc>
          <w:tcPr>
            <w:tcW w:w="1276" w:type="dxa"/>
            <w:vAlign w:val="center"/>
          </w:tcPr>
          <w:p>
            <w:pPr>
              <w:pStyle w:val="10"/>
            </w:pPr>
            <w:r>
              <w:t>提升</w:t>
            </w:r>
          </w:p>
        </w:tc>
        <w:tc>
          <w:tcPr>
            <w:tcW w:w="1843" w:type="dxa"/>
            <w:vAlign w:val="center"/>
          </w:tcPr>
          <w:p>
            <w:pPr>
              <w:pStyle w:val="10"/>
            </w:pPr>
            <w:r>
              <w:t>计划/历史标准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受益对象满意度</w:t>
            </w:r>
          </w:p>
        </w:tc>
        <w:tc>
          <w:tcPr>
            <w:tcW w:w="2891" w:type="dxa"/>
            <w:vAlign w:val="center"/>
          </w:tcPr>
          <w:p>
            <w:pPr>
              <w:pStyle w:val="10"/>
            </w:pPr>
            <w:r>
              <w:t>受益对象满意度</w:t>
            </w:r>
          </w:p>
        </w:tc>
        <w:tc>
          <w:tcPr>
            <w:tcW w:w="1276" w:type="dxa"/>
            <w:vAlign w:val="center"/>
          </w:tcPr>
          <w:p>
            <w:pPr>
              <w:pStyle w:val="10"/>
            </w:pPr>
            <w:r>
              <w:t>≥90%</w:t>
            </w:r>
          </w:p>
        </w:tc>
        <w:tc>
          <w:tcPr>
            <w:tcW w:w="1843" w:type="dxa"/>
            <w:vAlign w:val="center"/>
          </w:tcPr>
          <w:p>
            <w:pPr>
              <w:pStyle w:val="10"/>
            </w:pPr>
            <w:r>
              <w:t>计划/历史标准</w:t>
            </w:r>
          </w:p>
        </w:tc>
      </w:tr>
    </w:tbl>
    <w:p>
      <w:pPr>
        <w:sectPr>
          <w:pgSz w:w="11900" w:h="16840"/>
          <w:pgMar w:top="1984" w:right="1304" w:bottom="1134" w:left="1304" w:header="720" w:footer="720" w:gutter="0"/>
          <w:pgNumType w:fmt="numberInDash"/>
          <w:cols w:space="720" w:num="1"/>
        </w:sectPr>
      </w:pPr>
    </w:p>
    <w:p>
      <w:pPr>
        <w:numPr>
          <w:ilvl w:val="0"/>
          <w:numId w:val="3"/>
        </w:numPr>
        <w:ind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金融业发展资金</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931001青岛市地方金融监督管理局本级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37020023P11002710002L</w:t>
            </w:r>
          </w:p>
        </w:tc>
        <w:tc>
          <w:tcPr>
            <w:tcW w:w="1587" w:type="dxa"/>
            <w:vAlign w:val="center"/>
          </w:tcPr>
          <w:p>
            <w:pPr>
              <w:pStyle w:val="9"/>
            </w:pPr>
            <w:r>
              <w:t>项目名称</w:t>
            </w:r>
          </w:p>
        </w:tc>
        <w:tc>
          <w:tcPr>
            <w:tcW w:w="4422" w:type="dxa"/>
            <w:gridSpan w:val="3"/>
            <w:vAlign w:val="center"/>
          </w:tcPr>
          <w:p>
            <w:pPr>
              <w:pStyle w:val="10"/>
            </w:pPr>
            <w:r>
              <w:t>金融服务实体经济贷款投放奖励资金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1800.00</w:t>
            </w:r>
          </w:p>
        </w:tc>
        <w:tc>
          <w:tcPr>
            <w:tcW w:w="1587" w:type="dxa"/>
            <w:vAlign w:val="center"/>
          </w:tcPr>
          <w:p>
            <w:pPr>
              <w:pStyle w:val="9"/>
            </w:pPr>
            <w:r>
              <w:t>其中：财政    资金</w:t>
            </w:r>
          </w:p>
        </w:tc>
        <w:tc>
          <w:tcPr>
            <w:tcW w:w="1304" w:type="dxa"/>
            <w:vAlign w:val="center"/>
          </w:tcPr>
          <w:p>
            <w:pPr>
              <w:pStyle w:val="10"/>
            </w:pPr>
            <w:r>
              <w:t>1800.00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用于鼓励支持银行机构增加信贷供给、优化信贷结构、提高资产质量，提升服务实体经济能力和水平。</w:t>
            </w:r>
            <w:r>
              <w:tab/>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1800.00</w:t>
            </w:r>
          </w:p>
        </w:tc>
        <w:tc>
          <w:tcPr>
            <w:tcW w:w="3118" w:type="dxa"/>
            <w:gridSpan w:val="2"/>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通过资金奖励银行机构，达到银行机构增加信贷供给、优化信贷结构、提高资产质量。</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金融服务实体经济贷款投放奖励资金</w:t>
            </w:r>
            <w:r>
              <w:rPr>
                <w:rFonts w:hint="eastAsia"/>
              </w:rPr>
              <w:t>预算控制数</w:t>
            </w:r>
          </w:p>
        </w:tc>
        <w:tc>
          <w:tcPr>
            <w:tcW w:w="2891" w:type="dxa"/>
            <w:vAlign w:val="center"/>
          </w:tcPr>
          <w:p>
            <w:pPr>
              <w:pStyle w:val="10"/>
            </w:pPr>
            <w:r>
              <w:t>金融服务实体经济贷款投放奖励资金</w:t>
            </w:r>
            <w:r>
              <w:rPr>
                <w:rFonts w:hint="eastAsia"/>
              </w:rPr>
              <w:t>预算控制数</w:t>
            </w:r>
          </w:p>
        </w:tc>
        <w:tc>
          <w:tcPr>
            <w:tcW w:w="1276" w:type="dxa"/>
            <w:vAlign w:val="center"/>
          </w:tcPr>
          <w:p>
            <w:pPr>
              <w:pStyle w:val="10"/>
            </w:pPr>
            <w:r>
              <w:t>≤1800万元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2022年新增贷款</w:t>
            </w:r>
          </w:p>
        </w:tc>
        <w:tc>
          <w:tcPr>
            <w:tcW w:w="2891" w:type="dxa"/>
            <w:vAlign w:val="center"/>
          </w:tcPr>
          <w:p>
            <w:pPr>
              <w:pStyle w:val="10"/>
            </w:pPr>
            <w:r>
              <w:t>反映2022年末比年初增加的本外币贷款</w:t>
            </w:r>
          </w:p>
        </w:tc>
        <w:tc>
          <w:tcPr>
            <w:tcW w:w="1276" w:type="dxa"/>
            <w:vAlign w:val="center"/>
          </w:tcPr>
          <w:p>
            <w:pPr>
              <w:pStyle w:val="10"/>
            </w:pPr>
            <w:r>
              <w:t>≥2000亿元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奖励机构数量</w:t>
            </w:r>
          </w:p>
        </w:tc>
        <w:tc>
          <w:tcPr>
            <w:tcW w:w="2891" w:type="dxa"/>
            <w:vAlign w:val="center"/>
          </w:tcPr>
          <w:p>
            <w:pPr>
              <w:pStyle w:val="10"/>
            </w:pPr>
            <w:r>
              <w:t>反映获得奖励的银行机构数量</w:t>
            </w:r>
          </w:p>
        </w:tc>
        <w:tc>
          <w:tcPr>
            <w:tcW w:w="1276" w:type="dxa"/>
            <w:vAlign w:val="center"/>
          </w:tcPr>
          <w:p>
            <w:pPr>
              <w:pStyle w:val="10"/>
            </w:pPr>
            <w:r>
              <w:t>≥5家</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rPr>
                <w:lang w:eastAsia="zh-CN"/>
              </w:rPr>
            </w:pPr>
            <w:r>
              <w:t>奖励对象</w:t>
            </w:r>
            <w:r>
              <w:rPr>
                <w:rFonts w:hint="eastAsia"/>
                <w:lang w:eastAsia="zh-CN"/>
              </w:rPr>
              <w:t>资格达标率</w:t>
            </w:r>
          </w:p>
        </w:tc>
        <w:tc>
          <w:tcPr>
            <w:tcW w:w="2891" w:type="dxa"/>
            <w:vAlign w:val="center"/>
          </w:tcPr>
          <w:p>
            <w:pPr>
              <w:pStyle w:val="10"/>
            </w:pPr>
            <w:r>
              <w:t>奖励对象</w:t>
            </w:r>
            <w:r>
              <w:rPr>
                <w:rFonts w:hint="eastAsia"/>
                <w:lang w:eastAsia="zh-CN"/>
              </w:rPr>
              <w:t>资格达标率</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rPr>
                <w:lang w:eastAsia="zh-CN"/>
              </w:rPr>
            </w:pPr>
            <w:r>
              <w:t>奖励对象业务</w:t>
            </w:r>
            <w:r>
              <w:rPr>
                <w:rFonts w:hint="eastAsia"/>
                <w:lang w:eastAsia="zh-CN"/>
              </w:rPr>
              <w:t>规模达标率</w:t>
            </w:r>
          </w:p>
        </w:tc>
        <w:tc>
          <w:tcPr>
            <w:tcW w:w="2891" w:type="dxa"/>
            <w:vAlign w:val="center"/>
          </w:tcPr>
          <w:p>
            <w:pPr>
              <w:pStyle w:val="10"/>
            </w:pPr>
            <w:r>
              <w:t>奖励对象业务</w:t>
            </w:r>
            <w:r>
              <w:rPr>
                <w:rFonts w:hint="eastAsia"/>
                <w:lang w:eastAsia="zh-CN"/>
              </w:rPr>
              <w:t>规模达标率</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奖励资金拨付时间</w:t>
            </w:r>
          </w:p>
        </w:tc>
        <w:tc>
          <w:tcPr>
            <w:tcW w:w="2891" w:type="dxa"/>
            <w:vAlign w:val="center"/>
          </w:tcPr>
          <w:p>
            <w:pPr>
              <w:pStyle w:val="10"/>
            </w:pPr>
            <w:r>
              <w:t>2023年8月底前完成奖励兑现</w:t>
            </w:r>
          </w:p>
        </w:tc>
        <w:tc>
          <w:tcPr>
            <w:tcW w:w="1276" w:type="dxa"/>
            <w:vAlign w:val="center"/>
          </w:tcPr>
          <w:p>
            <w:pPr>
              <w:pStyle w:val="10"/>
            </w:pPr>
            <w:r>
              <w:t>2023年8月底前</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经济效益指标</w:t>
            </w:r>
          </w:p>
        </w:tc>
        <w:tc>
          <w:tcPr>
            <w:tcW w:w="1332" w:type="dxa"/>
            <w:vAlign w:val="center"/>
          </w:tcPr>
          <w:p>
            <w:pPr>
              <w:pStyle w:val="10"/>
            </w:pPr>
            <w:r>
              <w:t>2022年贷款增速</w:t>
            </w:r>
          </w:p>
        </w:tc>
        <w:tc>
          <w:tcPr>
            <w:tcW w:w="2891" w:type="dxa"/>
            <w:vAlign w:val="center"/>
          </w:tcPr>
          <w:p>
            <w:pPr>
              <w:pStyle w:val="10"/>
            </w:pPr>
            <w:r>
              <w:t>反映2022年末本外币贷款余额比2022年初增长的速度</w:t>
            </w:r>
          </w:p>
        </w:tc>
        <w:tc>
          <w:tcPr>
            <w:tcW w:w="1276" w:type="dxa"/>
            <w:vAlign w:val="center"/>
          </w:tcPr>
          <w:p>
            <w:pPr>
              <w:pStyle w:val="10"/>
            </w:pPr>
            <w:r>
              <w:t>≥10%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受益银行机构满意度</w:t>
            </w:r>
          </w:p>
        </w:tc>
        <w:tc>
          <w:tcPr>
            <w:tcW w:w="2891" w:type="dxa"/>
            <w:vAlign w:val="center"/>
          </w:tcPr>
          <w:p>
            <w:pPr>
              <w:pStyle w:val="10"/>
            </w:pPr>
            <w:r>
              <w:t>反映获得奖励资金的银行机构的满意程度</w:t>
            </w:r>
          </w:p>
        </w:tc>
        <w:tc>
          <w:tcPr>
            <w:tcW w:w="1276" w:type="dxa"/>
            <w:vAlign w:val="center"/>
          </w:tcPr>
          <w:p>
            <w:pPr>
              <w:pStyle w:val="10"/>
            </w:pPr>
            <w:r>
              <w:t>100%</w:t>
            </w:r>
          </w:p>
        </w:tc>
        <w:tc>
          <w:tcPr>
            <w:tcW w:w="1843" w:type="dxa"/>
            <w:vAlign w:val="center"/>
          </w:tcPr>
          <w:p>
            <w:pPr>
              <w:pStyle w:val="10"/>
            </w:pPr>
            <w:r>
              <w:t>计划标准</w:t>
            </w:r>
          </w:p>
        </w:tc>
      </w:tr>
    </w:tbl>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3"/>
        </w:num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会展业发展资金</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503001青岛市商务局本级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37020023P12000510042G</w:t>
            </w:r>
          </w:p>
        </w:tc>
        <w:tc>
          <w:tcPr>
            <w:tcW w:w="1587" w:type="dxa"/>
            <w:vAlign w:val="center"/>
          </w:tcPr>
          <w:p>
            <w:pPr>
              <w:pStyle w:val="9"/>
            </w:pPr>
            <w:r>
              <w:t>项目名称</w:t>
            </w:r>
          </w:p>
        </w:tc>
        <w:tc>
          <w:tcPr>
            <w:tcW w:w="4422" w:type="dxa"/>
            <w:gridSpan w:val="3"/>
            <w:vAlign w:val="center"/>
          </w:tcPr>
          <w:p>
            <w:pPr>
              <w:pStyle w:val="10"/>
            </w:pPr>
            <w:r>
              <w:t>跨国公司领导人青岛峰会经费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1300.00</w:t>
            </w:r>
          </w:p>
        </w:tc>
        <w:tc>
          <w:tcPr>
            <w:tcW w:w="1587" w:type="dxa"/>
            <w:vAlign w:val="center"/>
          </w:tcPr>
          <w:p>
            <w:pPr>
              <w:pStyle w:val="9"/>
            </w:pPr>
            <w:r>
              <w:t>其中：财政    资金</w:t>
            </w:r>
          </w:p>
        </w:tc>
        <w:tc>
          <w:tcPr>
            <w:tcW w:w="1304" w:type="dxa"/>
            <w:vAlign w:val="center"/>
          </w:tcPr>
          <w:p>
            <w:pPr>
              <w:pStyle w:val="10"/>
            </w:pPr>
            <w:r>
              <w:t>1300.00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保障跨国公司领导人青岛峰会顺利进行。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1300.00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利用峰会平台，彰显我国全面扩大高水平对外开放的信心和决心，向世界展示新发展格局下山东对外开放的新优势、新成效、新形象，更广泛传递中国声音，宣示中国继续扩大开放的决心。统筹网上网下，融合传统媒体、新兴媒体，综合利用各类新闻媒介和新媒体平台，就中国扩大开放政策、跨国公司在华投资经验等进行全媒体、全平台、全方位报道，全方位、多角度、深层次展示跨国公司与中国合作互利共赢的新机遇，分享跨国公司的成功经验。集中签约一批合作项目，集中体现跨国公司看好中国、投资山东的强烈意愿。</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跨国公司领导人青岛峰会预算控制数</w:t>
            </w:r>
          </w:p>
        </w:tc>
        <w:tc>
          <w:tcPr>
            <w:tcW w:w="2891" w:type="dxa"/>
            <w:vAlign w:val="center"/>
          </w:tcPr>
          <w:p>
            <w:pPr>
              <w:pStyle w:val="10"/>
            </w:pPr>
            <w:r>
              <w:t>跨国公司领导人青岛峰会预算控制数</w:t>
            </w:r>
          </w:p>
        </w:tc>
        <w:tc>
          <w:tcPr>
            <w:tcW w:w="1276" w:type="dxa"/>
            <w:vAlign w:val="center"/>
          </w:tcPr>
          <w:p>
            <w:pPr>
              <w:pStyle w:val="10"/>
            </w:pPr>
            <w:r>
              <w:t>≤1300万元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活动场次数</w:t>
            </w:r>
          </w:p>
        </w:tc>
        <w:tc>
          <w:tcPr>
            <w:tcW w:w="2891" w:type="dxa"/>
            <w:vAlign w:val="center"/>
          </w:tcPr>
          <w:p>
            <w:pPr>
              <w:pStyle w:val="10"/>
            </w:pPr>
            <w:r>
              <w:t>考察峰会活动场次数</w:t>
            </w:r>
          </w:p>
        </w:tc>
        <w:tc>
          <w:tcPr>
            <w:tcW w:w="1276" w:type="dxa"/>
            <w:vAlign w:val="center"/>
          </w:tcPr>
          <w:p>
            <w:pPr>
              <w:pStyle w:val="10"/>
            </w:pPr>
            <w:r>
              <w:t>≥15个</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参会跨国公司国家和地区数</w:t>
            </w:r>
          </w:p>
        </w:tc>
        <w:tc>
          <w:tcPr>
            <w:tcW w:w="2891" w:type="dxa"/>
            <w:vAlign w:val="center"/>
          </w:tcPr>
          <w:p>
            <w:pPr>
              <w:pStyle w:val="10"/>
            </w:pPr>
            <w:r>
              <w:t>考察参会跨国公司国家和地区的数量</w:t>
            </w:r>
          </w:p>
        </w:tc>
        <w:tc>
          <w:tcPr>
            <w:tcW w:w="1276" w:type="dxa"/>
            <w:vAlign w:val="center"/>
          </w:tcPr>
          <w:p>
            <w:pPr>
              <w:pStyle w:val="10"/>
            </w:pPr>
            <w:r>
              <w:t>≥12个</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参会跨国公司主体嘉宾占有率</w:t>
            </w:r>
          </w:p>
        </w:tc>
        <w:tc>
          <w:tcPr>
            <w:tcW w:w="2891" w:type="dxa"/>
            <w:vAlign w:val="center"/>
          </w:tcPr>
          <w:p>
            <w:pPr>
              <w:pStyle w:val="10"/>
            </w:pPr>
            <w:r>
              <w:t>考察峰会核心嘉宾的占有率</w:t>
            </w:r>
          </w:p>
        </w:tc>
        <w:tc>
          <w:tcPr>
            <w:tcW w:w="1276" w:type="dxa"/>
            <w:vAlign w:val="center"/>
          </w:tcPr>
          <w:p>
            <w:pPr>
              <w:pStyle w:val="10"/>
            </w:pPr>
            <w:r>
              <w:t>≥60%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峰会开展成功率</w:t>
            </w:r>
          </w:p>
        </w:tc>
        <w:tc>
          <w:tcPr>
            <w:tcW w:w="2891" w:type="dxa"/>
            <w:vAlign w:val="center"/>
          </w:tcPr>
          <w:p>
            <w:pPr>
              <w:pStyle w:val="10"/>
            </w:pPr>
            <w:r>
              <w:t>考察峰会开展的成功率</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媒体发布峰会信息时间</w:t>
            </w:r>
          </w:p>
        </w:tc>
        <w:tc>
          <w:tcPr>
            <w:tcW w:w="2891" w:type="dxa"/>
            <w:vAlign w:val="center"/>
          </w:tcPr>
          <w:p>
            <w:pPr>
              <w:pStyle w:val="10"/>
            </w:pPr>
            <w:r>
              <w:t>考察媒体发布峰会信息的时间</w:t>
            </w:r>
          </w:p>
        </w:tc>
        <w:tc>
          <w:tcPr>
            <w:tcW w:w="1276" w:type="dxa"/>
            <w:vAlign w:val="center"/>
          </w:tcPr>
          <w:p>
            <w:pPr>
              <w:pStyle w:val="10"/>
            </w:pPr>
            <w:r>
              <w:t>≤12月</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经济效益指标</w:t>
            </w:r>
          </w:p>
        </w:tc>
        <w:tc>
          <w:tcPr>
            <w:tcW w:w="1332" w:type="dxa"/>
            <w:vAlign w:val="center"/>
          </w:tcPr>
          <w:p>
            <w:pPr>
              <w:pStyle w:val="10"/>
            </w:pPr>
            <w:r>
              <w:t>对接项目数</w:t>
            </w:r>
          </w:p>
        </w:tc>
        <w:tc>
          <w:tcPr>
            <w:tcW w:w="2891" w:type="dxa"/>
            <w:vAlign w:val="center"/>
          </w:tcPr>
          <w:p>
            <w:pPr>
              <w:pStyle w:val="10"/>
            </w:pPr>
            <w:r>
              <w:t>考察通过峰会实施后，对接项目的数量</w:t>
            </w:r>
          </w:p>
        </w:tc>
        <w:tc>
          <w:tcPr>
            <w:tcW w:w="1276" w:type="dxa"/>
            <w:vAlign w:val="center"/>
          </w:tcPr>
          <w:p>
            <w:pPr>
              <w:pStyle w:val="10"/>
            </w:pPr>
            <w:r>
              <w:t>≥50个</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参会嘉宾满意度</w:t>
            </w:r>
          </w:p>
        </w:tc>
        <w:tc>
          <w:tcPr>
            <w:tcW w:w="2891" w:type="dxa"/>
            <w:vAlign w:val="center"/>
          </w:tcPr>
          <w:p>
            <w:pPr>
              <w:pStyle w:val="10"/>
            </w:pPr>
            <w:r>
              <w:t>考察参会嘉宾满意度</w:t>
            </w:r>
          </w:p>
        </w:tc>
        <w:tc>
          <w:tcPr>
            <w:tcW w:w="1276" w:type="dxa"/>
            <w:vAlign w:val="center"/>
          </w:tcPr>
          <w:p>
            <w:pPr>
              <w:pStyle w:val="10"/>
            </w:pPr>
            <w:r>
              <w:t>≥85%</w:t>
            </w:r>
          </w:p>
        </w:tc>
        <w:tc>
          <w:tcPr>
            <w:tcW w:w="1843" w:type="dxa"/>
            <w:vAlign w:val="center"/>
          </w:tcPr>
          <w:p>
            <w:pPr>
              <w:pStyle w:val="10"/>
            </w:pPr>
            <w:r>
              <w:t>计划标准</w:t>
            </w:r>
          </w:p>
        </w:tc>
      </w:tr>
    </w:tbl>
    <w:p>
      <w:pPr>
        <w:sectPr>
          <w:pgSz w:w="11900" w:h="16840"/>
          <w:pgMar w:top="1984" w:right="1304" w:bottom="1134" w:left="1304" w:header="720" w:footer="720" w:gutter="0"/>
          <w:pgNumType w:fmt="numberInDash"/>
          <w:cols w:space="720" w:num="1"/>
        </w:sect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503001青岛市商务局本级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37020023P12000510049R</w:t>
            </w:r>
          </w:p>
        </w:tc>
        <w:tc>
          <w:tcPr>
            <w:tcW w:w="1587" w:type="dxa"/>
            <w:vAlign w:val="center"/>
          </w:tcPr>
          <w:p>
            <w:pPr>
              <w:pStyle w:val="9"/>
            </w:pPr>
            <w:r>
              <w:t>项目名称</w:t>
            </w:r>
          </w:p>
        </w:tc>
        <w:tc>
          <w:tcPr>
            <w:tcW w:w="4422" w:type="dxa"/>
            <w:gridSpan w:val="3"/>
            <w:vAlign w:val="center"/>
          </w:tcPr>
          <w:p>
            <w:pPr>
              <w:pStyle w:val="10"/>
            </w:pPr>
            <w:r>
              <w:t>中国国际消费电子博览会资金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1000.00</w:t>
            </w:r>
          </w:p>
        </w:tc>
        <w:tc>
          <w:tcPr>
            <w:tcW w:w="1587" w:type="dxa"/>
            <w:vAlign w:val="center"/>
          </w:tcPr>
          <w:p>
            <w:pPr>
              <w:pStyle w:val="9"/>
            </w:pPr>
            <w:r>
              <w:t>其中：财政    资金</w:t>
            </w:r>
          </w:p>
        </w:tc>
        <w:tc>
          <w:tcPr>
            <w:tcW w:w="1304" w:type="dxa"/>
            <w:vAlign w:val="center"/>
          </w:tcPr>
          <w:p>
            <w:pPr>
              <w:pStyle w:val="10"/>
            </w:pPr>
            <w:r>
              <w:t>1000.00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用于展会的组织筹备工作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300.00</w:t>
            </w:r>
          </w:p>
        </w:tc>
        <w:tc>
          <w:tcPr>
            <w:tcW w:w="1587" w:type="dxa"/>
            <w:vAlign w:val="center"/>
          </w:tcPr>
          <w:p>
            <w:pPr>
              <w:pStyle w:val="11"/>
            </w:pPr>
            <w:r>
              <w:t>600.00</w:t>
            </w:r>
          </w:p>
        </w:tc>
        <w:tc>
          <w:tcPr>
            <w:tcW w:w="1304" w:type="dxa"/>
            <w:vAlign w:val="center"/>
          </w:tcPr>
          <w:p>
            <w:pPr>
              <w:pStyle w:val="11"/>
            </w:pPr>
            <w:r>
              <w:t>600.00</w:t>
            </w:r>
          </w:p>
        </w:tc>
        <w:tc>
          <w:tcPr>
            <w:tcW w:w="3118" w:type="dxa"/>
            <w:gridSpan w:val="2"/>
            <w:vAlign w:val="center"/>
          </w:tcPr>
          <w:p>
            <w:pPr>
              <w:pStyle w:val="11"/>
            </w:pPr>
            <w:r>
              <w:t>1000.00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rPr>
                <w:lang w:eastAsia="zh-CN"/>
              </w:rPr>
            </w:pPr>
            <w:r>
              <w:rPr>
                <w:rFonts w:hint="eastAsia"/>
                <w:lang w:eastAsia="zh-CN"/>
              </w:rPr>
              <w:t>展会计划</w:t>
            </w:r>
            <w:r>
              <w:t>展览面积40000平米</w:t>
            </w:r>
            <w:r>
              <w:rPr>
                <w:rFonts w:hint="eastAsia"/>
                <w:lang w:eastAsia="zh-CN"/>
              </w:rPr>
              <w:t>，</w:t>
            </w:r>
            <w:r>
              <w:t>参会观众27000人次</w:t>
            </w:r>
            <w:r>
              <w:rPr>
                <w:rFonts w:hint="eastAsia"/>
                <w:lang w:eastAsia="zh-CN"/>
              </w:rPr>
              <w:t>，</w:t>
            </w:r>
            <w:r>
              <w:t>参展商230家</w:t>
            </w:r>
            <w:r>
              <w:rPr>
                <w:rFonts w:hint="eastAsia"/>
                <w:lang w:eastAsia="zh-CN"/>
              </w:rPr>
              <w:t>，提高</w:t>
            </w:r>
            <w:r>
              <w:t>城市知名度</w:t>
            </w:r>
            <w:r>
              <w:rPr>
                <w:rFonts w:hint="eastAsia"/>
                <w:lang w:eastAsia="zh-CN"/>
              </w:rPr>
              <w:t>，更多</w:t>
            </w:r>
            <w:r>
              <w:t>引进落地项目</w:t>
            </w:r>
            <w:r>
              <w:rPr>
                <w:rFonts w:hint="eastAsia"/>
                <w:lang w:eastAsia="zh-CN"/>
              </w:rPr>
              <w:t>。</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展会总支出</w:t>
            </w:r>
          </w:p>
        </w:tc>
        <w:tc>
          <w:tcPr>
            <w:tcW w:w="2891" w:type="dxa"/>
            <w:vAlign w:val="center"/>
          </w:tcPr>
          <w:p>
            <w:pPr>
              <w:pStyle w:val="10"/>
            </w:pPr>
            <w:r>
              <w:t>展会预算金额</w:t>
            </w:r>
          </w:p>
        </w:tc>
        <w:tc>
          <w:tcPr>
            <w:tcW w:w="1276" w:type="dxa"/>
            <w:vAlign w:val="center"/>
          </w:tcPr>
          <w:p>
            <w:pPr>
              <w:pStyle w:val="10"/>
            </w:pPr>
            <w:r>
              <w:t>≤1000万元</w:t>
            </w:r>
          </w:p>
        </w:tc>
        <w:tc>
          <w:tcPr>
            <w:tcW w:w="1843" w:type="dxa"/>
            <w:vAlign w:val="center"/>
          </w:tcPr>
          <w:p>
            <w:pPr>
              <w:pStyle w:val="10"/>
            </w:pPr>
            <w:r>
              <w:t>国内同类同等展会参考值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展览面积</w:t>
            </w:r>
          </w:p>
        </w:tc>
        <w:tc>
          <w:tcPr>
            <w:tcW w:w="2891" w:type="dxa"/>
            <w:vAlign w:val="center"/>
          </w:tcPr>
          <w:p>
            <w:pPr>
              <w:pStyle w:val="10"/>
            </w:pPr>
            <w:r>
              <w:t>展览毛面积</w:t>
            </w:r>
          </w:p>
        </w:tc>
        <w:tc>
          <w:tcPr>
            <w:tcW w:w="1276" w:type="dxa"/>
            <w:vAlign w:val="center"/>
          </w:tcPr>
          <w:p>
            <w:pPr>
              <w:pStyle w:val="10"/>
            </w:pPr>
            <w:r>
              <w:t>≥40000平米</w:t>
            </w:r>
          </w:p>
        </w:tc>
        <w:tc>
          <w:tcPr>
            <w:tcW w:w="1843" w:type="dxa"/>
            <w:vAlign w:val="center"/>
          </w:tcPr>
          <w:p>
            <w:pPr>
              <w:pStyle w:val="10"/>
            </w:pPr>
            <w:r>
              <w:t>往届展会平均水平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参展商数量</w:t>
            </w:r>
          </w:p>
        </w:tc>
        <w:tc>
          <w:tcPr>
            <w:tcW w:w="2891" w:type="dxa"/>
            <w:vAlign w:val="center"/>
          </w:tcPr>
          <w:p>
            <w:pPr>
              <w:pStyle w:val="10"/>
            </w:pPr>
            <w:r>
              <w:t>参展企业家数</w:t>
            </w:r>
          </w:p>
        </w:tc>
        <w:tc>
          <w:tcPr>
            <w:tcW w:w="1276" w:type="dxa"/>
            <w:vAlign w:val="center"/>
          </w:tcPr>
          <w:p>
            <w:pPr>
              <w:pStyle w:val="10"/>
            </w:pPr>
            <w:r>
              <w:t>≥230家</w:t>
            </w:r>
          </w:p>
        </w:tc>
        <w:tc>
          <w:tcPr>
            <w:tcW w:w="1843" w:type="dxa"/>
            <w:vAlign w:val="center"/>
          </w:tcPr>
          <w:p>
            <w:pPr>
              <w:pStyle w:val="10"/>
            </w:pPr>
            <w:r>
              <w:t>往届展会平均水平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参会观众人次</w:t>
            </w:r>
          </w:p>
        </w:tc>
        <w:tc>
          <w:tcPr>
            <w:tcW w:w="2891" w:type="dxa"/>
            <w:vAlign w:val="center"/>
          </w:tcPr>
          <w:p>
            <w:pPr>
              <w:pStyle w:val="10"/>
            </w:pPr>
            <w:r>
              <w:t>展会观众、会议论坛听众</w:t>
            </w:r>
          </w:p>
        </w:tc>
        <w:tc>
          <w:tcPr>
            <w:tcW w:w="1276" w:type="dxa"/>
            <w:vAlign w:val="center"/>
          </w:tcPr>
          <w:p>
            <w:pPr>
              <w:pStyle w:val="10"/>
            </w:pPr>
            <w:r>
              <w:t>≥27000人次</w:t>
            </w:r>
          </w:p>
        </w:tc>
        <w:tc>
          <w:tcPr>
            <w:tcW w:w="1843" w:type="dxa"/>
            <w:vAlign w:val="center"/>
          </w:tcPr>
          <w:p>
            <w:pPr>
              <w:pStyle w:val="10"/>
            </w:pPr>
            <w:r>
              <w:t>往届展会平均水平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rPr>
                <w:lang w:eastAsia="zh-CN"/>
              </w:rPr>
            </w:pPr>
            <w:r>
              <w:rPr>
                <w:rFonts w:hint="eastAsia"/>
                <w:lang w:eastAsia="zh-CN"/>
              </w:rPr>
              <w:t>资金使用合规度</w:t>
            </w:r>
          </w:p>
        </w:tc>
        <w:tc>
          <w:tcPr>
            <w:tcW w:w="2891" w:type="dxa"/>
            <w:vAlign w:val="center"/>
          </w:tcPr>
          <w:p>
            <w:pPr>
              <w:pStyle w:val="10"/>
            </w:pPr>
            <w:r>
              <w:rPr>
                <w:rFonts w:hint="eastAsia"/>
                <w:lang w:eastAsia="zh-CN"/>
              </w:rPr>
              <w:t>资金使用合规情况</w:t>
            </w:r>
          </w:p>
        </w:tc>
        <w:tc>
          <w:tcPr>
            <w:tcW w:w="1276" w:type="dxa"/>
            <w:vAlign w:val="center"/>
          </w:tcPr>
          <w:p>
            <w:pPr>
              <w:pStyle w:val="10"/>
              <w:rPr>
                <w:lang w:eastAsia="zh-CN"/>
              </w:rPr>
            </w:pPr>
            <w:r>
              <w:rPr>
                <w:rFonts w:hint="eastAsia"/>
                <w:lang w:eastAsia="zh-CN"/>
              </w:rPr>
              <w:t>100%</w:t>
            </w:r>
          </w:p>
        </w:tc>
        <w:tc>
          <w:tcPr>
            <w:tcW w:w="1843" w:type="dxa"/>
            <w:vAlign w:val="center"/>
          </w:tcPr>
          <w:p>
            <w:pPr>
              <w:pStyle w:val="10"/>
            </w:pPr>
            <w:r>
              <w:t>往届展会平均水平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行业知名企业占比</w:t>
            </w:r>
          </w:p>
        </w:tc>
        <w:tc>
          <w:tcPr>
            <w:tcW w:w="2891" w:type="dxa"/>
            <w:vAlign w:val="center"/>
          </w:tcPr>
          <w:p>
            <w:pPr>
              <w:pStyle w:val="10"/>
            </w:pPr>
            <w:r>
              <w:t>行业知名企业占比</w:t>
            </w:r>
          </w:p>
        </w:tc>
        <w:tc>
          <w:tcPr>
            <w:tcW w:w="1276" w:type="dxa"/>
            <w:vAlign w:val="center"/>
          </w:tcPr>
          <w:p>
            <w:pPr>
              <w:pStyle w:val="10"/>
              <w:rPr>
                <w:lang w:eastAsia="zh-CN"/>
              </w:rPr>
            </w:pPr>
            <w:r>
              <w:t>≥</w:t>
            </w:r>
            <w:r>
              <w:rPr>
                <w:rFonts w:hint="eastAsia"/>
                <w:lang w:eastAsia="zh-CN"/>
              </w:rPr>
              <w:t>13%</w:t>
            </w:r>
          </w:p>
        </w:tc>
        <w:tc>
          <w:tcPr>
            <w:tcW w:w="1843" w:type="dxa"/>
            <w:vAlign w:val="center"/>
          </w:tcPr>
          <w:p>
            <w:pPr>
              <w:pStyle w:val="10"/>
            </w:pPr>
            <w:r>
              <w:t>往届展会平均水平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rPr>
                <w:rFonts w:hint="eastAsia"/>
                <w:lang w:eastAsia="zh-CN"/>
              </w:rPr>
              <w:t>展会</w:t>
            </w:r>
            <w:r>
              <w:t>项目完成时限</w:t>
            </w:r>
          </w:p>
        </w:tc>
        <w:tc>
          <w:tcPr>
            <w:tcW w:w="2891" w:type="dxa"/>
            <w:vAlign w:val="center"/>
          </w:tcPr>
          <w:p>
            <w:pPr>
              <w:pStyle w:val="10"/>
            </w:pPr>
            <w:r>
              <w:rPr>
                <w:rFonts w:hint="eastAsia"/>
                <w:lang w:eastAsia="zh-CN"/>
              </w:rPr>
              <w:t>展会</w:t>
            </w:r>
            <w:r>
              <w:t>项目完成时限</w:t>
            </w:r>
          </w:p>
        </w:tc>
        <w:tc>
          <w:tcPr>
            <w:tcW w:w="1276" w:type="dxa"/>
            <w:vAlign w:val="center"/>
          </w:tcPr>
          <w:p>
            <w:pPr>
              <w:pStyle w:val="10"/>
              <w:rPr>
                <w:lang w:eastAsia="zh-CN"/>
              </w:rPr>
            </w:pPr>
            <w:r>
              <w:t>≤12</w:t>
            </w:r>
            <w:r>
              <w:rPr>
                <w:rFonts w:hint="eastAsia"/>
                <w:lang w:eastAsia="zh-CN"/>
              </w:rPr>
              <w:t>月</w:t>
            </w:r>
          </w:p>
        </w:tc>
        <w:tc>
          <w:tcPr>
            <w:tcW w:w="1843" w:type="dxa"/>
            <w:vAlign w:val="center"/>
          </w:tcPr>
          <w:p>
            <w:pPr>
              <w:pStyle w:val="10"/>
            </w:pPr>
            <w:r>
              <w:t>往届展会惯例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t>经济效益指标</w:t>
            </w:r>
          </w:p>
        </w:tc>
        <w:tc>
          <w:tcPr>
            <w:tcW w:w="1332" w:type="dxa"/>
            <w:vAlign w:val="center"/>
          </w:tcPr>
          <w:p>
            <w:pPr>
              <w:pStyle w:val="10"/>
            </w:pPr>
            <w:r>
              <w:t>引进项目落地意向额</w:t>
            </w:r>
          </w:p>
        </w:tc>
        <w:tc>
          <w:tcPr>
            <w:tcW w:w="2891" w:type="dxa"/>
            <w:vAlign w:val="center"/>
          </w:tcPr>
          <w:p>
            <w:pPr>
              <w:pStyle w:val="10"/>
            </w:pPr>
            <w:r>
              <w:t>引进项目落地意向额</w:t>
            </w:r>
          </w:p>
        </w:tc>
        <w:tc>
          <w:tcPr>
            <w:tcW w:w="1276" w:type="dxa"/>
            <w:vAlign w:val="center"/>
          </w:tcPr>
          <w:p>
            <w:pPr>
              <w:pStyle w:val="10"/>
            </w:pPr>
            <w:r>
              <w:t>≥1亿元人民币</w:t>
            </w:r>
          </w:p>
        </w:tc>
        <w:tc>
          <w:tcPr>
            <w:tcW w:w="1843" w:type="dxa"/>
            <w:vAlign w:val="center"/>
          </w:tcPr>
          <w:p>
            <w:pPr>
              <w:pStyle w:val="10"/>
            </w:pPr>
            <w:r>
              <w:t>国内同类同等展会参考值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意向成交额</w:t>
            </w:r>
          </w:p>
        </w:tc>
        <w:tc>
          <w:tcPr>
            <w:tcW w:w="2891" w:type="dxa"/>
            <w:vAlign w:val="center"/>
          </w:tcPr>
          <w:p>
            <w:pPr>
              <w:pStyle w:val="10"/>
            </w:pPr>
            <w:r>
              <w:t>国内贸易意向成交额</w:t>
            </w:r>
          </w:p>
        </w:tc>
        <w:tc>
          <w:tcPr>
            <w:tcW w:w="1276" w:type="dxa"/>
            <w:vAlign w:val="center"/>
          </w:tcPr>
          <w:p>
            <w:pPr>
              <w:pStyle w:val="10"/>
            </w:pPr>
            <w:r>
              <w:t>≥8000万元人民币</w:t>
            </w:r>
          </w:p>
        </w:tc>
        <w:tc>
          <w:tcPr>
            <w:tcW w:w="1843" w:type="dxa"/>
            <w:vAlign w:val="center"/>
          </w:tcPr>
          <w:p>
            <w:pPr>
              <w:pStyle w:val="10"/>
            </w:pPr>
            <w:r>
              <w:t>国内同类同等展会参考值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rPr>
                <w:lang w:eastAsia="zh-CN"/>
              </w:rPr>
            </w:pPr>
            <w:r>
              <w:t>国家级、市级媒体报道</w:t>
            </w:r>
            <w:r>
              <w:rPr>
                <w:rFonts w:hint="eastAsia"/>
                <w:lang w:eastAsia="zh-CN"/>
              </w:rPr>
              <w:t>数量</w:t>
            </w:r>
          </w:p>
        </w:tc>
        <w:tc>
          <w:tcPr>
            <w:tcW w:w="2891" w:type="dxa"/>
            <w:vAlign w:val="center"/>
          </w:tcPr>
          <w:p>
            <w:pPr>
              <w:pStyle w:val="10"/>
              <w:rPr>
                <w:lang w:eastAsia="zh-CN"/>
              </w:rPr>
            </w:pPr>
            <w:r>
              <w:t>国家级、市级媒体报道</w:t>
            </w:r>
            <w:r>
              <w:rPr>
                <w:rFonts w:hint="eastAsia"/>
                <w:lang w:eastAsia="zh-CN"/>
              </w:rPr>
              <w:t>数量</w:t>
            </w:r>
          </w:p>
        </w:tc>
        <w:tc>
          <w:tcPr>
            <w:tcW w:w="1276" w:type="dxa"/>
            <w:vAlign w:val="center"/>
          </w:tcPr>
          <w:p>
            <w:pPr>
              <w:pStyle w:val="10"/>
            </w:pPr>
            <w:r>
              <w:t>≥60篇</w:t>
            </w:r>
          </w:p>
        </w:tc>
        <w:tc>
          <w:tcPr>
            <w:tcW w:w="1843" w:type="dxa"/>
            <w:vAlign w:val="center"/>
          </w:tcPr>
          <w:p>
            <w:pPr>
              <w:pStyle w:val="10"/>
            </w:pPr>
            <w:r>
              <w:t>往届展会平均水平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参展企业满意度</w:t>
            </w:r>
          </w:p>
        </w:tc>
        <w:tc>
          <w:tcPr>
            <w:tcW w:w="2891" w:type="dxa"/>
            <w:vAlign w:val="center"/>
          </w:tcPr>
          <w:p>
            <w:pPr>
              <w:pStyle w:val="10"/>
            </w:pPr>
            <w:r>
              <w:t>参展企业满意度</w:t>
            </w:r>
          </w:p>
        </w:tc>
        <w:tc>
          <w:tcPr>
            <w:tcW w:w="1276" w:type="dxa"/>
            <w:vAlign w:val="center"/>
          </w:tcPr>
          <w:p>
            <w:pPr>
              <w:pStyle w:val="10"/>
            </w:pPr>
            <w:r>
              <w:t>≥90%</w:t>
            </w:r>
          </w:p>
        </w:tc>
        <w:tc>
          <w:tcPr>
            <w:tcW w:w="1843" w:type="dxa"/>
            <w:vAlign w:val="center"/>
          </w:tcPr>
          <w:p>
            <w:pPr>
              <w:pStyle w:val="10"/>
            </w:pPr>
            <w:r>
              <w:t>往届展会平均水平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服务对象满意度指标</w:t>
            </w:r>
          </w:p>
        </w:tc>
        <w:tc>
          <w:tcPr>
            <w:tcW w:w="1332" w:type="dxa"/>
            <w:vAlign w:val="center"/>
          </w:tcPr>
          <w:p>
            <w:pPr>
              <w:pStyle w:val="10"/>
            </w:pPr>
            <w:r>
              <w:t>专业观众满意度</w:t>
            </w:r>
          </w:p>
        </w:tc>
        <w:tc>
          <w:tcPr>
            <w:tcW w:w="2891" w:type="dxa"/>
            <w:vAlign w:val="center"/>
          </w:tcPr>
          <w:p>
            <w:pPr>
              <w:pStyle w:val="10"/>
            </w:pPr>
            <w:r>
              <w:t>专业观众满意度</w:t>
            </w:r>
          </w:p>
        </w:tc>
        <w:tc>
          <w:tcPr>
            <w:tcW w:w="1276" w:type="dxa"/>
            <w:vAlign w:val="center"/>
          </w:tcPr>
          <w:p>
            <w:pPr>
              <w:pStyle w:val="10"/>
            </w:pPr>
            <w:r>
              <w:t>≥90%</w:t>
            </w:r>
          </w:p>
        </w:tc>
        <w:tc>
          <w:tcPr>
            <w:tcW w:w="1843" w:type="dxa"/>
            <w:vAlign w:val="center"/>
          </w:tcPr>
          <w:p>
            <w:pPr>
              <w:pStyle w:val="10"/>
            </w:pPr>
            <w:r>
              <w:t>往届展会平均水平</w:t>
            </w:r>
          </w:p>
        </w:tc>
      </w:tr>
    </w:tbl>
    <w:p>
      <w:pPr>
        <w:sectPr>
          <w:pgSz w:w="11900" w:h="16840"/>
          <w:pgMar w:top="1984" w:right="1304" w:bottom="1134" w:left="1304" w:header="720" w:footer="720" w:gutter="0"/>
          <w:pgNumType w:fmt="numberInDash"/>
          <w:cols w:space="720" w:num="1"/>
        </w:sectPr>
      </w:pPr>
    </w:p>
    <w:tbl>
      <w:tblPr>
        <w:tblStyle w:val="5"/>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625"/>
        <w:gridCol w:w="1294"/>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7"/>
            </w:pPr>
            <w:r>
              <w:t>506001中国国际贸易促进委员会青岛市分会本级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901" w:type="dxa"/>
            <w:gridSpan w:val="2"/>
            <w:vAlign w:val="center"/>
          </w:tcPr>
          <w:p>
            <w:pPr>
              <w:pStyle w:val="10"/>
            </w:pPr>
            <w:r>
              <w:t>37020023P12000110002A</w:t>
            </w:r>
          </w:p>
        </w:tc>
        <w:tc>
          <w:tcPr>
            <w:tcW w:w="1294" w:type="dxa"/>
            <w:vAlign w:val="center"/>
          </w:tcPr>
          <w:p>
            <w:pPr>
              <w:pStyle w:val="9"/>
            </w:pPr>
            <w:r>
              <w:t>项目名称</w:t>
            </w:r>
          </w:p>
        </w:tc>
        <w:tc>
          <w:tcPr>
            <w:tcW w:w="4423" w:type="dxa"/>
            <w:gridSpan w:val="3"/>
            <w:vAlign w:val="center"/>
          </w:tcPr>
          <w:p>
            <w:pPr>
              <w:pStyle w:val="10"/>
            </w:pPr>
            <w:r>
              <w:t>市场化会展项目补助及其他新会展项目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625" w:type="dxa"/>
            <w:vAlign w:val="center"/>
          </w:tcPr>
          <w:p>
            <w:pPr>
              <w:pStyle w:val="10"/>
            </w:pPr>
            <w:r>
              <w:t>1086.00</w:t>
            </w:r>
          </w:p>
        </w:tc>
        <w:tc>
          <w:tcPr>
            <w:tcW w:w="1294" w:type="dxa"/>
            <w:vAlign w:val="center"/>
          </w:tcPr>
          <w:p>
            <w:pPr>
              <w:pStyle w:val="9"/>
            </w:pPr>
            <w:r>
              <w:t>其中：财政    资金</w:t>
            </w:r>
          </w:p>
        </w:tc>
        <w:tc>
          <w:tcPr>
            <w:tcW w:w="1304" w:type="dxa"/>
            <w:vAlign w:val="center"/>
          </w:tcPr>
          <w:p>
            <w:pPr>
              <w:pStyle w:val="10"/>
            </w:pPr>
            <w:r>
              <w:t>1086.00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根据《青岛市促进会展业发展10条政策》，对符合条件的市场化展会项目进行补助。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t>资金支出计划</w:t>
            </w:r>
          </w:p>
        </w:tc>
        <w:tc>
          <w:tcPr>
            <w:tcW w:w="2901" w:type="dxa"/>
            <w:gridSpan w:val="2"/>
            <w:vAlign w:val="center"/>
          </w:tcPr>
          <w:p>
            <w:pPr>
              <w:pStyle w:val="9"/>
            </w:pPr>
            <w:r>
              <w:t>3月底</w:t>
            </w:r>
          </w:p>
        </w:tc>
        <w:tc>
          <w:tcPr>
            <w:tcW w:w="1294" w:type="dxa"/>
            <w:vAlign w:val="center"/>
          </w:tcPr>
          <w:p>
            <w:pPr>
              <w:pStyle w:val="9"/>
            </w:pPr>
            <w:r>
              <w:t>6月底</w:t>
            </w:r>
          </w:p>
        </w:tc>
        <w:tc>
          <w:tcPr>
            <w:tcW w:w="1304" w:type="dxa"/>
            <w:vAlign w:val="center"/>
          </w:tcPr>
          <w:p>
            <w:pPr>
              <w:pStyle w:val="9"/>
            </w:pPr>
            <w:r>
              <w:t>10月底</w:t>
            </w:r>
          </w:p>
        </w:tc>
        <w:tc>
          <w:tcPr>
            <w:tcW w:w="3119"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901" w:type="dxa"/>
            <w:gridSpan w:val="2"/>
            <w:vAlign w:val="center"/>
          </w:tcPr>
          <w:p>
            <w:pPr>
              <w:pStyle w:val="11"/>
            </w:pPr>
            <w:r>
              <w:t xml:space="preserve"> </w:t>
            </w:r>
          </w:p>
        </w:tc>
        <w:tc>
          <w:tcPr>
            <w:tcW w:w="1294" w:type="dxa"/>
            <w:vAlign w:val="center"/>
          </w:tcPr>
          <w:p>
            <w:pPr>
              <w:pStyle w:val="11"/>
            </w:pPr>
            <w:r>
              <w:t xml:space="preserve"> </w:t>
            </w:r>
          </w:p>
        </w:tc>
        <w:tc>
          <w:tcPr>
            <w:tcW w:w="1304" w:type="dxa"/>
            <w:vAlign w:val="center"/>
          </w:tcPr>
          <w:p>
            <w:pPr>
              <w:pStyle w:val="11"/>
            </w:pPr>
            <w:r>
              <w:t xml:space="preserve"> </w:t>
            </w:r>
          </w:p>
        </w:tc>
        <w:tc>
          <w:tcPr>
            <w:tcW w:w="3119" w:type="dxa"/>
            <w:gridSpan w:val="2"/>
            <w:vAlign w:val="center"/>
          </w:tcPr>
          <w:p>
            <w:pPr>
              <w:pStyle w:val="11"/>
            </w:pPr>
            <w:r>
              <w:t>1086.00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8" w:type="dxa"/>
            <w:gridSpan w:val="6"/>
            <w:vAlign w:val="center"/>
          </w:tcPr>
          <w:p>
            <w:pPr>
              <w:pStyle w:val="10"/>
            </w:pPr>
            <w:r>
              <w:t>根据《青岛市促进会展业发展10条政策》，对符合条件的市场化展会项目进行补助</w:t>
            </w:r>
            <w:r>
              <w:rPr>
                <w:rFonts w:hint="eastAsia"/>
                <w:lang w:eastAsia="zh-CN"/>
              </w:rPr>
              <w:t>，</w:t>
            </w:r>
            <w:r>
              <w:rPr>
                <w:lang w:eastAsia="zh-CN"/>
              </w:rPr>
              <w:t>从而推动</w:t>
            </w:r>
            <w:r>
              <w:t>培育国家级会展项目，扶持市场化会展项目发展。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804"/>
        <w:gridCol w:w="2419"/>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804" w:type="dxa"/>
            <w:vAlign w:val="center"/>
          </w:tcPr>
          <w:p>
            <w:pPr>
              <w:pStyle w:val="9"/>
            </w:pPr>
            <w:r>
              <w:t>三级指标</w:t>
            </w:r>
          </w:p>
        </w:tc>
        <w:tc>
          <w:tcPr>
            <w:tcW w:w="2419"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804" w:type="dxa"/>
            <w:vAlign w:val="center"/>
          </w:tcPr>
          <w:p>
            <w:pPr>
              <w:pStyle w:val="10"/>
            </w:pPr>
            <w:r>
              <w:t>会展项目预算控制数</w:t>
            </w:r>
          </w:p>
        </w:tc>
        <w:tc>
          <w:tcPr>
            <w:tcW w:w="2419" w:type="dxa"/>
            <w:vAlign w:val="center"/>
          </w:tcPr>
          <w:p>
            <w:pPr>
              <w:pStyle w:val="10"/>
            </w:pPr>
            <w:r>
              <w:t>会展项目预算控制数</w:t>
            </w:r>
          </w:p>
        </w:tc>
        <w:tc>
          <w:tcPr>
            <w:tcW w:w="1276" w:type="dxa"/>
            <w:vAlign w:val="center"/>
          </w:tcPr>
          <w:p>
            <w:pPr>
              <w:pStyle w:val="10"/>
            </w:pPr>
            <w:r>
              <w:t>≤1086万元</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804" w:type="dxa"/>
            <w:vAlign w:val="center"/>
          </w:tcPr>
          <w:p>
            <w:pPr>
              <w:pStyle w:val="10"/>
            </w:pPr>
            <w:r>
              <w:t>国家级品牌会展项目数量</w:t>
            </w:r>
          </w:p>
        </w:tc>
        <w:tc>
          <w:tcPr>
            <w:tcW w:w="2419" w:type="dxa"/>
            <w:vAlign w:val="center"/>
          </w:tcPr>
          <w:p>
            <w:pPr>
              <w:pStyle w:val="10"/>
            </w:pPr>
            <w:r>
              <w:t>考核举办国家级会展活动数量</w:t>
            </w:r>
          </w:p>
        </w:tc>
        <w:tc>
          <w:tcPr>
            <w:tcW w:w="1276" w:type="dxa"/>
            <w:vAlign w:val="center"/>
          </w:tcPr>
          <w:p>
            <w:pPr>
              <w:pStyle w:val="10"/>
            </w:pPr>
            <w:r>
              <w:t>≥1个</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804" w:type="dxa"/>
            <w:vAlign w:val="center"/>
          </w:tcPr>
          <w:p>
            <w:pPr>
              <w:pStyle w:val="10"/>
            </w:pPr>
            <w:r>
              <w:t>市场化会展项目补助数量</w:t>
            </w:r>
          </w:p>
        </w:tc>
        <w:tc>
          <w:tcPr>
            <w:tcW w:w="2419" w:type="dxa"/>
            <w:vAlign w:val="center"/>
          </w:tcPr>
          <w:p>
            <w:pPr>
              <w:pStyle w:val="10"/>
            </w:pPr>
            <w:r>
              <w:t>考核优质市场化会展项目数量</w:t>
            </w:r>
          </w:p>
        </w:tc>
        <w:tc>
          <w:tcPr>
            <w:tcW w:w="1276" w:type="dxa"/>
            <w:vAlign w:val="center"/>
          </w:tcPr>
          <w:p>
            <w:pPr>
              <w:pStyle w:val="10"/>
            </w:pPr>
            <w:r>
              <w:t>≥10个</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804" w:type="dxa"/>
            <w:vAlign w:val="center"/>
          </w:tcPr>
          <w:p>
            <w:pPr>
              <w:pStyle w:val="10"/>
            </w:pPr>
            <w:r>
              <w:t>获得补助的会展项目合规率</w:t>
            </w:r>
          </w:p>
        </w:tc>
        <w:tc>
          <w:tcPr>
            <w:tcW w:w="2419" w:type="dxa"/>
            <w:vAlign w:val="center"/>
          </w:tcPr>
          <w:p>
            <w:pPr>
              <w:pStyle w:val="10"/>
            </w:pPr>
            <w:r>
              <w:t>获得补助的会展项目合规情况</w:t>
            </w:r>
          </w:p>
        </w:tc>
        <w:tc>
          <w:tcPr>
            <w:tcW w:w="1276" w:type="dxa"/>
            <w:vAlign w:val="center"/>
          </w:tcPr>
          <w:p>
            <w:pPr>
              <w:pStyle w:val="10"/>
            </w:pPr>
            <w:r>
              <w:t>100%</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804" w:type="dxa"/>
            <w:vAlign w:val="center"/>
          </w:tcPr>
          <w:p>
            <w:pPr>
              <w:pStyle w:val="10"/>
            </w:pPr>
            <w:r>
              <w:t>国家级品牌会展项目合规率</w:t>
            </w:r>
          </w:p>
        </w:tc>
        <w:tc>
          <w:tcPr>
            <w:tcW w:w="2419" w:type="dxa"/>
            <w:vAlign w:val="center"/>
          </w:tcPr>
          <w:p>
            <w:pPr>
              <w:pStyle w:val="10"/>
            </w:pPr>
            <w:r>
              <w:t>国家级品牌会展项目合规情况</w:t>
            </w:r>
          </w:p>
        </w:tc>
        <w:tc>
          <w:tcPr>
            <w:tcW w:w="1276" w:type="dxa"/>
            <w:vAlign w:val="center"/>
          </w:tcPr>
          <w:p>
            <w:pPr>
              <w:pStyle w:val="10"/>
            </w:pPr>
            <w:r>
              <w:t>100%</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804" w:type="dxa"/>
            <w:vAlign w:val="center"/>
          </w:tcPr>
          <w:p>
            <w:pPr>
              <w:pStyle w:val="10"/>
            </w:pPr>
            <w:r>
              <w:rPr>
                <w:rFonts w:hint="eastAsia"/>
                <w:lang w:eastAsia="zh-CN"/>
              </w:rPr>
              <w:t>补助工作</w:t>
            </w:r>
            <w:r>
              <w:t>完成时间</w:t>
            </w:r>
          </w:p>
        </w:tc>
        <w:tc>
          <w:tcPr>
            <w:tcW w:w="2419" w:type="dxa"/>
            <w:vAlign w:val="center"/>
          </w:tcPr>
          <w:p>
            <w:pPr>
              <w:pStyle w:val="10"/>
            </w:pPr>
            <w:r>
              <w:rPr>
                <w:rFonts w:hint="eastAsia"/>
                <w:lang w:eastAsia="zh-CN"/>
              </w:rPr>
              <w:t>补助工作</w:t>
            </w:r>
            <w:r>
              <w:t>完成时间</w:t>
            </w:r>
          </w:p>
        </w:tc>
        <w:tc>
          <w:tcPr>
            <w:tcW w:w="1276" w:type="dxa"/>
            <w:vAlign w:val="center"/>
          </w:tcPr>
          <w:p>
            <w:pPr>
              <w:pStyle w:val="10"/>
            </w:pPr>
            <w:r>
              <w:t>2023年12月</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804" w:type="dxa"/>
            <w:vAlign w:val="center"/>
          </w:tcPr>
          <w:p>
            <w:pPr>
              <w:pStyle w:val="10"/>
            </w:pPr>
            <w:r>
              <w:t>培育国家级会展项目，扶持市场化会展项目发展</w:t>
            </w:r>
          </w:p>
        </w:tc>
        <w:tc>
          <w:tcPr>
            <w:tcW w:w="2419" w:type="dxa"/>
            <w:vAlign w:val="center"/>
          </w:tcPr>
          <w:p>
            <w:pPr>
              <w:pStyle w:val="10"/>
            </w:pPr>
            <w:r>
              <w:t>培育国家级会展项目，扶持市场化会展项目发展</w:t>
            </w:r>
          </w:p>
        </w:tc>
        <w:tc>
          <w:tcPr>
            <w:tcW w:w="1276" w:type="dxa"/>
            <w:vAlign w:val="center"/>
          </w:tcPr>
          <w:p>
            <w:pPr>
              <w:pStyle w:val="10"/>
            </w:pPr>
            <w:r>
              <w:t>效果明显</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满意度指标</w:t>
            </w:r>
          </w:p>
        </w:tc>
        <w:tc>
          <w:tcPr>
            <w:tcW w:w="1276" w:type="dxa"/>
            <w:vAlign w:val="center"/>
          </w:tcPr>
          <w:p>
            <w:pPr>
              <w:pStyle w:val="10"/>
            </w:pPr>
            <w:r>
              <w:t>服务对象满意度指标</w:t>
            </w:r>
          </w:p>
        </w:tc>
        <w:tc>
          <w:tcPr>
            <w:tcW w:w="1804" w:type="dxa"/>
            <w:vAlign w:val="center"/>
          </w:tcPr>
          <w:p>
            <w:pPr>
              <w:pStyle w:val="10"/>
            </w:pPr>
            <w:r>
              <w:t>获得补助的企业满意度</w:t>
            </w:r>
          </w:p>
        </w:tc>
        <w:tc>
          <w:tcPr>
            <w:tcW w:w="2419" w:type="dxa"/>
            <w:vAlign w:val="center"/>
          </w:tcPr>
          <w:p>
            <w:pPr>
              <w:pStyle w:val="10"/>
            </w:pPr>
            <w:r>
              <w:t>获得补助的企业满意度</w:t>
            </w:r>
          </w:p>
        </w:tc>
        <w:tc>
          <w:tcPr>
            <w:tcW w:w="1276" w:type="dxa"/>
            <w:vAlign w:val="center"/>
          </w:tcPr>
          <w:p>
            <w:pPr>
              <w:pStyle w:val="10"/>
            </w:pPr>
            <w:r>
              <w:t>≥95%</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服务对象满意度指标</w:t>
            </w:r>
          </w:p>
        </w:tc>
        <w:tc>
          <w:tcPr>
            <w:tcW w:w="1804" w:type="dxa"/>
            <w:vAlign w:val="center"/>
          </w:tcPr>
          <w:p>
            <w:pPr>
              <w:pStyle w:val="10"/>
            </w:pPr>
            <w:r>
              <w:t>参加会展活动的各类市场主体满意度</w:t>
            </w:r>
          </w:p>
        </w:tc>
        <w:tc>
          <w:tcPr>
            <w:tcW w:w="2419" w:type="dxa"/>
            <w:vAlign w:val="center"/>
          </w:tcPr>
          <w:p>
            <w:pPr>
              <w:pStyle w:val="10"/>
            </w:pPr>
            <w:r>
              <w:t>参加会展活动的各类市场主体满意度</w:t>
            </w:r>
          </w:p>
        </w:tc>
        <w:tc>
          <w:tcPr>
            <w:tcW w:w="1276" w:type="dxa"/>
            <w:vAlign w:val="center"/>
          </w:tcPr>
          <w:p>
            <w:pPr>
              <w:pStyle w:val="10"/>
            </w:pPr>
            <w:r>
              <w:t>≥90%</w:t>
            </w:r>
          </w:p>
        </w:tc>
        <w:tc>
          <w:tcPr>
            <w:tcW w:w="1843" w:type="dxa"/>
            <w:vAlign w:val="center"/>
          </w:tcPr>
          <w:p>
            <w:pPr>
              <w:pStyle w:val="10"/>
            </w:pPr>
            <w:r>
              <w:t>历史标准</w:t>
            </w:r>
          </w:p>
        </w:tc>
      </w:tr>
    </w:tbl>
    <w:p>
      <w:pPr>
        <w:sectPr>
          <w:pgSz w:w="11900" w:h="16840"/>
          <w:pgMar w:top="1984" w:right="1304" w:bottom="1134" w:left="1304" w:header="720" w:footer="720" w:gutter="0"/>
          <w:pgNumType w:fmt="numberInDash"/>
          <w:cols w:space="720" w:num="1"/>
        </w:sect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507001青岛市民营经济发展局本级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37020023P12000210013F</w:t>
            </w:r>
          </w:p>
        </w:tc>
        <w:tc>
          <w:tcPr>
            <w:tcW w:w="1587" w:type="dxa"/>
            <w:vAlign w:val="center"/>
          </w:tcPr>
          <w:p>
            <w:pPr>
              <w:pStyle w:val="9"/>
            </w:pPr>
            <w:r>
              <w:t>项目名称</w:t>
            </w:r>
          </w:p>
        </w:tc>
        <w:tc>
          <w:tcPr>
            <w:tcW w:w="4422" w:type="dxa"/>
            <w:gridSpan w:val="3"/>
            <w:vAlign w:val="center"/>
          </w:tcPr>
          <w:p>
            <w:pPr>
              <w:pStyle w:val="10"/>
            </w:pPr>
            <w:r>
              <w:t>第十二届APEC中小企业技术交流暨展览会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1000.00</w:t>
            </w:r>
          </w:p>
        </w:tc>
        <w:tc>
          <w:tcPr>
            <w:tcW w:w="1587" w:type="dxa"/>
            <w:vAlign w:val="center"/>
          </w:tcPr>
          <w:p>
            <w:pPr>
              <w:pStyle w:val="9"/>
            </w:pPr>
            <w:r>
              <w:t>其中：财政    资金</w:t>
            </w:r>
          </w:p>
        </w:tc>
        <w:tc>
          <w:tcPr>
            <w:tcW w:w="1304" w:type="dxa"/>
            <w:vAlign w:val="center"/>
          </w:tcPr>
          <w:p>
            <w:pPr>
              <w:pStyle w:val="10"/>
            </w:pPr>
            <w:r>
              <w:t>1000.00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举办APEC中小企业技术交流大会、专业配套论坛、线下线上展览展示及两个分会场配套活动,发布“专精特新”中小企业技术创新优秀成果。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1000.00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邀请重要嘉宾100人以上，邀请境外参会嘉宾200人以上，设置展位1600个以上，开展各类活动论坛不少于5场。青岛企业与客商展商对接不少于500家次，参会观展人数1万人以上。</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活动组织费用</w:t>
            </w:r>
          </w:p>
        </w:tc>
        <w:tc>
          <w:tcPr>
            <w:tcW w:w="2891" w:type="dxa"/>
            <w:vAlign w:val="center"/>
          </w:tcPr>
          <w:p>
            <w:pPr>
              <w:pStyle w:val="10"/>
            </w:pPr>
            <w:r>
              <w:t>活动组织费用</w:t>
            </w:r>
          </w:p>
        </w:tc>
        <w:tc>
          <w:tcPr>
            <w:tcW w:w="1276" w:type="dxa"/>
            <w:vAlign w:val="center"/>
          </w:tcPr>
          <w:p>
            <w:pPr>
              <w:pStyle w:val="10"/>
            </w:pPr>
            <w:r>
              <w:t>≤1000万元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rPr>
                <w:lang w:eastAsia="zh-CN"/>
              </w:rPr>
            </w:pPr>
            <w:r>
              <w:t>重要嘉宾</w:t>
            </w:r>
            <w:r>
              <w:rPr>
                <w:rFonts w:hint="eastAsia"/>
                <w:lang w:eastAsia="zh-CN"/>
              </w:rPr>
              <w:t>人数</w:t>
            </w:r>
          </w:p>
        </w:tc>
        <w:tc>
          <w:tcPr>
            <w:tcW w:w="2891" w:type="dxa"/>
            <w:vAlign w:val="center"/>
          </w:tcPr>
          <w:p>
            <w:pPr>
              <w:pStyle w:val="10"/>
              <w:rPr>
                <w:lang w:eastAsia="zh-CN"/>
              </w:rPr>
            </w:pPr>
            <w:r>
              <w:t>参加活动的重要嘉宾</w:t>
            </w:r>
            <w:r>
              <w:rPr>
                <w:rFonts w:hint="eastAsia"/>
                <w:lang w:eastAsia="zh-CN"/>
              </w:rPr>
              <w:t>人数</w:t>
            </w:r>
          </w:p>
        </w:tc>
        <w:tc>
          <w:tcPr>
            <w:tcW w:w="1276" w:type="dxa"/>
            <w:vAlign w:val="center"/>
          </w:tcPr>
          <w:p>
            <w:pPr>
              <w:pStyle w:val="10"/>
            </w:pPr>
            <w:r>
              <w:t>≥100人</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展位数</w:t>
            </w:r>
          </w:p>
        </w:tc>
        <w:tc>
          <w:tcPr>
            <w:tcW w:w="2891" w:type="dxa"/>
            <w:vAlign w:val="center"/>
          </w:tcPr>
          <w:p>
            <w:pPr>
              <w:pStyle w:val="10"/>
            </w:pPr>
            <w:r>
              <w:t>为国内外参展企业设置的展位</w:t>
            </w:r>
          </w:p>
        </w:tc>
        <w:tc>
          <w:tcPr>
            <w:tcW w:w="1276" w:type="dxa"/>
            <w:vAlign w:val="center"/>
          </w:tcPr>
          <w:p>
            <w:pPr>
              <w:pStyle w:val="10"/>
            </w:pPr>
            <w:r>
              <w:t>≥1600个</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国内展位数</w:t>
            </w:r>
          </w:p>
        </w:tc>
        <w:tc>
          <w:tcPr>
            <w:tcW w:w="2891" w:type="dxa"/>
            <w:vAlign w:val="center"/>
          </w:tcPr>
          <w:p>
            <w:pPr>
              <w:pStyle w:val="10"/>
            </w:pPr>
            <w:r>
              <w:t>为国内企业参展设置的展位</w:t>
            </w:r>
          </w:p>
        </w:tc>
        <w:tc>
          <w:tcPr>
            <w:tcW w:w="1276" w:type="dxa"/>
            <w:vAlign w:val="center"/>
          </w:tcPr>
          <w:p>
            <w:pPr>
              <w:pStyle w:val="10"/>
            </w:pPr>
            <w:r>
              <w:t>≥800个</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活动论坛数量</w:t>
            </w:r>
          </w:p>
        </w:tc>
        <w:tc>
          <w:tcPr>
            <w:tcW w:w="2891" w:type="dxa"/>
            <w:vAlign w:val="center"/>
          </w:tcPr>
          <w:p>
            <w:pPr>
              <w:pStyle w:val="10"/>
            </w:pPr>
            <w:r>
              <w:t>开展的主要活动及配套活动</w:t>
            </w:r>
          </w:p>
        </w:tc>
        <w:tc>
          <w:tcPr>
            <w:tcW w:w="1276" w:type="dxa"/>
            <w:vAlign w:val="center"/>
          </w:tcPr>
          <w:p>
            <w:pPr>
              <w:pStyle w:val="10"/>
            </w:pPr>
            <w:r>
              <w:t>≥5场</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国家、省、市级媒体新闻报道次数</w:t>
            </w:r>
          </w:p>
        </w:tc>
        <w:tc>
          <w:tcPr>
            <w:tcW w:w="2891" w:type="dxa"/>
            <w:vAlign w:val="center"/>
          </w:tcPr>
          <w:p>
            <w:pPr>
              <w:pStyle w:val="10"/>
            </w:pPr>
            <w:r>
              <w:t>国家、省、市级媒体新闻报道次数</w:t>
            </w:r>
          </w:p>
        </w:tc>
        <w:tc>
          <w:tcPr>
            <w:tcW w:w="1276" w:type="dxa"/>
            <w:vAlign w:val="center"/>
          </w:tcPr>
          <w:p>
            <w:pPr>
              <w:pStyle w:val="10"/>
            </w:pPr>
            <w:r>
              <w:t>≥50篇</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外宾</w:t>
            </w:r>
            <w:r>
              <w:rPr>
                <w:rFonts w:hint="eastAsia"/>
                <w:lang w:eastAsia="zh-CN"/>
              </w:rPr>
              <w:t>参与</w:t>
            </w:r>
            <w:r>
              <w:t>人数</w:t>
            </w:r>
          </w:p>
        </w:tc>
        <w:tc>
          <w:tcPr>
            <w:tcW w:w="2891" w:type="dxa"/>
            <w:vAlign w:val="center"/>
          </w:tcPr>
          <w:p>
            <w:pPr>
              <w:pStyle w:val="10"/>
            </w:pPr>
            <w:r>
              <w:t>外宾</w:t>
            </w:r>
            <w:r>
              <w:rPr>
                <w:rFonts w:hint="eastAsia"/>
                <w:lang w:eastAsia="zh-CN"/>
              </w:rPr>
              <w:t>参与</w:t>
            </w:r>
            <w:r>
              <w:t>人数</w:t>
            </w:r>
          </w:p>
        </w:tc>
        <w:tc>
          <w:tcPr>
            <w:tcW w:w="1276" w:type="dxa"/>
            <w:vAlign w:val="center"/>
          </w:tcPr>
          <w:p>
            <w:pPr>
              <w:pStyle w:val="10"/>
            </w:pPr>
            <w:r>
              <w:t>≥200人</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rPr>
                <w:lang w:eastAsia="zh-CN"/>
              </w:rPr>
            </w:pPr>
            <w:r>
              <w:t>国外展位</w:t>
            </w:r>
            <w:r>
              <w:rPr>
                <w:rFonts w:hint="eastAsia"/>
                <w:lang w:eastAsia="zh-CN"/>
              </w:rPr>
              <w:t>占比</w:t>
            </w:r>
          </w:p>
        </w:tc>
        <w:tc>
          <w:tcPr>
            <w:tcW w:w="2891" w:type="dxa"/>
            <w:vAlign w:val="center"/>
          </w:tcPr>
          <w:p>
            <w:pPr>
              <w:pStyle w:val="10"/>
              <w:rPr>
                <w:lang w:eastAsia="zh-CN"/>
              </w:rPr>
            </w:pPr>
            <w:r>
              <w:t>为国外企业参展设置的展位</w:t>
            </w:r>
            <w:r>
              <w:rPr>
                <w:rFonts w:hint="eastAsia"/>
                <w:lang w:eastAsia="zh-CN"/>
              </w:rPr>
              <w:t>占比情况</w:t>
            </w:r>
          </w:p>
        </w:tc>
        <w:tc>
          <w:tcPr>
            <w:tcW w:w="1276" w:type="dxa"/>
            <w:vAlign w:val="center"/>
          </w:tcPr>
          <w:p>
            <w:pPr>
              <w:pStyle w:val="10"/>
              <w:rPr>
                <w:lang w:eastAsia="zh-CN"/>
              </w:rPr>
            </w:pPr>
            <w:r>
              <w:t>≥</w:t>
            </w:r>
            <w:r>
              <w:rPr>
                <w:rFonts w:hint="eastAsia"/>
                <w:lang w:eastAsia="zh-CN"/>
              </w:rPr>
              <w:t>25%</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rPr>
                <w:lang w:eastAsia="zh-CN"/>
              </w:rPr>
            </w:pPr>
            <w:r>
              <w:t>专业展位</w:t>
            </w:r>
            <w:r>
              <w:rPr>
                <w:rFonts w:hint="eastAsia"/>
                <w:lang w:eastAsia="zh-CN"/>
              </w:rPr>
              <w:t>占比</w:t>
            </w:r>
          </w:p>
        </w:tc>
        <w:tc>
          <w:tcPr>
            <w:tcW w:w="2891" w:type="dxa"/>
            <w:vAlign w:val="center"/>
          </w:tcPr>
          <w:p>
            <w:pPr>
              <w:pStyle w:val="10"/>
              <w:rPr>
                <w:lang w:eastAsia="zh-CN"/>
              </w:rPr>
            </w:pPr>
            <w:r>
              <w:t>按照行业领域设置的展位</w:t>
            </w:r>
            <w:r>
              <w:rPr>
                <w:rFonts w:hint="eastAsia"/>
                <w:lang w:eastAsia="zh-CN"/>
              </w:rPr>
              <w:t>占比情况</w:t>
            </w:r>
          </w:p>
        </w:tc>
        <w:tc>
          <w:tcPr>
            <w:tcW w:w="1276" w:type="dxa"/>
            <w:vAlign w:val="center"/>
          </w:tcPr>
          <w:p>
            <w:pPr>
              <w:pStyle w:val="10"/>
              <w:rPr>
                <w:lang w:eastAsia="zh-CN"/>
              </w:rPr>
            </w:pPr>
            <w:r>
              <w:t>≥</w:t>
            </w:r>
            <w:r>
              <w:rPr>
                <w:rFonts w:hint="eastAsia"/>
                <w:lang w:eastAsia="zh-CN"/>
              </w:rPr>
              <w:t>25%</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rPr>
                <w:rFonts w:hint="eastAsia"/>
                <w:lang w:eastAsia="zh-CN"/>
              </w:rPr>
              <w:t>展览会</w:t>
            </w:r>
            <w:r>
              <w:t>完成时间</w:t>
            </w:r>
          </w:p>
        </w:tc>
        <w:tc>
          <w:tcPr>
            <w:tcW w:w="2891" w:type="dxa"/>
            <w:vAlign w:val="center"/>
          </w:tcPr>
          <w:p>
            <w:pPr>
              <w:pStyle w:val="10"/>
            </w:pPr>
            <w:r>
              <w:rPr>
                <w:rFonts w:hint="eastAsia"/>
                <w:lang w:eastAsia="zh-CN"/>
              </w:rPr>
              <w:t>展览会</w:t>
            </w:r>
            <w:r>
              <w:t>完成时间</w:t>
            </w:r>
          </w:p>
        </w:tc>
        <w:tc>
          <w:tcPr>
            <w:tcW w:w="1276" w:type="dxa"/>
            <w:vAlign w:val="center"/>
          </w:tcPr>
          <w:p>
            <w:pPr>
              <w:pStyle w:val="10"/>
            </w:pPr>
            <w:r>
              <w:t>2023年11月底之前</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青岛企业与客商展商对接次数</w:t>
            </w:r>
          </w:p>
        </w:tc>
        <w:tc>
          <w:tcPr>
            <w:tcW w:w="2891" w:type="dxa"/>
            <w:vAlign w:val="center"/>
          </w:tcPr>
          <w:p>
            <w:pPr>
              <w:pStyle w:val="10"/>
            </w:pPr>
            <w:r>
              <w:t>青岛企业与客商展商对接次数</w:t>
            </w:r>
          </w:p>
        </w:tc>
        <w:tc>
          <w:tcPr>
            <w:tcW w:w="1276" w:type="dxa"/>
            <w:vAlign w:val="center"/>
          </w:tcPr>
          <w:p>
            <w:pPr>
              <w:pStyle w:val="10"/>
            </w:pPr>
            <w:r>
              <w:t>≥500家次</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参会观展人数</w:t>
            </w:r>
          </w:p>
        </w:tc>
        <w:tc>
          <w:tcPr>
            <w:tcW w:w="2891" w:type="dxa"/>
            <w:vAlign w:val="center"/>
          </w:tcPr>
          <w:p>
            <w:pPr>
              <w:pStyle w:val="10"/>
              <w:rPr>
                <w:lang w:eastAsia="zh-CN"/>
              </w:rPr>
            </w:pPr>
            <w:r>
              <w:t>参会观展人数</w:t>
            </w:r>
            <w:r>
              <w:rPr>
                <w:rFonts w:hint="eastAsia"/>
                <w:lang w:eastAsia="zh-CN"/>
              </w:rPr>
              <w:t>情况</w:t>
            </w:r>
          </w:p>
        </w:tc>
        <w:tc>
          <w:tcPr>
            <w:tcW w:w="1276" w:type="dxa"/>
            <w:vAlign w:val="center"/>
          </w:tcPr>
          <w:p>
            <w:pPr>
              <w:pStyle w:val="10"/>
              <w:rPr>
                <w:lang w:eastAsia="zh-CN"/>
              </w:rPr>
            </w:pPr>
            <w:r>
              <w:t>≥</w:t>
            </w:r>
            <w:r>
              <w:rPr>
                <w:rFonts w:hint="eastAsia"/>
                <w:lang w:eastAsia="zh-CN"/>
              </w:rPr>
              <w:t>10000人</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服务企业满意度</w:t>
            </w:r>
          </w:p>
        </w:tc>
        <w:tc>
          <w:tcPr>
            <w:tcW w:w="2891" w:type="dxa"/>
            <w:vAlign w:val="center"/>
          </w:tcPr>
          <w:p>
            <w:pPr>
              <w:pStyle w:val="10"/>
            </w:pPr>
            <w:r>
              <w:t xml:space="preserve"> 服务企业满意度</w:t>
            </w:r>
          </w:p>
        </w:tc>
        <w:tc>
          <w:tcPr>
            <w:tcW w:w="1276" w:type="dxa"/>
            <w:vAlign w:val="center"/>
          </w:tcPr>
          <w:p>
            <w:pPr>
              <w:pStyle w:val="10"/>
            </w:pPr>
            <w:r>
              <w:t>≥90%</w:t>
            </w:r>
          </w:p>
        </w:tc>
        <w:tc>
          <w:tcPr>
            <w:tcW w:w="1843" w:type="dxa"/>
            <w:vAlign w:val="center"/>
          </w:tcPr>
          <w:p>
            <w:pPr>
              <w:pStyle w:val="10"/>
            </w:pPr>
            <w:r>
              <w:t>计划标准</w:t>
            </w:r>
          </w:p>
        </w:tc>
      </w:tr>
    </w:tbl>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rPr>
          <w:rFonts w:hint="eastAsia" w:ascii="黑体" w:hAnsi="黑体" w:eastAsia="黑体" w:cs="黑体"/>
          <w:sz w:val="32"/>
          <w:szCs w:val="32"/>
          <w:lang w:val="en-US" w:eastAsia="zh-CN"/>
        </w:rPr>
      </w:pPr>
    </w:p>
    <w:p>
      <w:pPr>
        <w:jc w:val="left"/>
      </w:pPr>
      <w:r>
        <w:rPr>
          <w:rFonts w:hint="eastAsia" w:ascii="黑体" w:hAnsi="黑体" w:eastAsia="黑体" w:cs="黑体"/>
          <w:sz w:val="32"/>
          <w:szCs w:val="32"/>
          <w:lang w:val="en-US" w:eastAsia="zh-CN"/>
        </w:rPr>
        <w:t>6.先进制造业发展资金</w:t>
      </w:r>
      <w:r>
        <w:rPr>
          <w:rFonts w:ascii="方正仿宋_GBK" w:hAnsi="方正仿宋_GBK" w:eastAsia="方正仿宋_GBK" w:cs="方正仿宋_GBK"/>
          <w:color w:val="000000"/>
          <w:sz w:val="28"/>
        </w:rPr>
        <w:t xml:space="preserve"> </w:t>
      </w:r>
    </w:p>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502001青岛市工业和信息化局本级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37020023P13000210023H</w:t>
            </w:r>
          </w:p>
        </w:tc>
        <w:tc>
          <w:tcPr>
            <w:tcW w:w="1587" w:type="dxa"/>
            <w:vAlign w:val="center"/>
          </w:tcPr>
          <w:p>
            <w:pPr>
              <w:pStyle w:val="9"/>
            </w:pPr>
            <w:r>
              <w:t>项目名称</w:t>
            </w:r>
          </w:p>
        </w:tc>
        <w:tc>
          <w:tcPr>
            <w:tcW w:w="4422" w:type="dxa"/>
            <w:gridSpan w:val="3"/>
            <w:vAlign w:val="center"/>
          </w:tcPr>
          <w:p>
            <w:pPr>
              <w:pStyle w:val="10"/>
            </w:pPr>
            <w:r>
              <w:t>工赋青岛示范支持资金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1420.00</w:t>
            </w:r>
          </w:p>
        </w:tc>
        <w:tc>
          <w:tcPr>
            <w:tcW w:w="1587" w:type="dxa"/>
            <w:vAlign w:val="center"/>
          </w:tcPr>
          <w:p>
            <w:pPr>
              <w:pStyle w:val="9"/>
            </w:pPr>
            <w:r>
              <w:t>其中：财政    资金</w:t>
            </w:r>
          </w:p>
        </w:tc>
        <w:tc>
          <w:tcPr>
            <w:tcW w:w="1304" w:type="dxa"/>
            <w:vAlign w:val="center"/>
          </w:tcPr>
          <w:p>
            <w:pPr>
              <w:pStyle w:val="10"/>
            </w:pPr>
            <w:r>
              <w:t>1420.00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工赋青岛示范支持资金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1420.00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rPr>
                <w:rFonts w:hint="eastAsia"/>
                <w:lang w:eastAsia="zh-CN"/>
              </w:rPr>
              <w:t>1</w:t>
            </w:r>
            <w:r>
              <w:t>.举办717青岛品牌日，开展“增品种、提品质、创品牌”专项行动，提高青岛制造国内外影响力。</w:t>
            </w:r>
          </w:p>
          <w:p>
            <w:pPr>
              <w:pStyle w:val="10"/>
            </w:pPr>
            <w:r>
              <w:rPr>
                <w:rFonts w:hint="eastAsia"/>
                <w:lang w:eastAsia="zh-CN"/>
              </w:rPr>
              <w:t>2</w:t>
            </w:r>
            <w:r>
              <w:t>.搭建“工赋青岛”融媒体交流展示平台，对企业家、行业代表和专家进行深度访谈报道，推动产业链协同创新。</w:t>
            </w:r>
          </w:p>
          <w:p>
            <w:pPr>
              <w:pStyle w:val="10"/>
            </w:pPr>
            <w:r>
              <w:rPr>
                <w:rFonts w:hint="eastAsia"/>
                <w:lang w:eastAsia="zh-CN"/>
              </w:rPr>
              <w:t>3</w:t>
            </w:r>
            <w:r>
              <w:t>.举办“工赋青岛”示范推广系列活动，围绕重点发展产业和前沿方向，促进各类要素资源向先进制造业集聚。</w:t>
            </w:r>
          </w:p>
          <w:p>
            <w:pPr>
              <w:pStyle w:val="10"/>
            </w:pPr>
            <w:r>
              <w:rPr>
                <w:rFonts w:hint="eastAsia"/>
                <w:lang w:eastAsia="zh-CN"/>
              </w:rPr>
              <w:t>4</w:t>
            </w:r>
            <w:r>
              <w:t>.加强“工赋青岛”推介，以“工赋青岛 智造强市”为统领，在中央、省、市各类媒介推介青岛优势产业和企业，为制造业高质量发展营造良好环境。</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工赋青岛示范支持资金</w:t>
            </w:r>
          </w:p>
        </w:tc>
        <w:tc>
          <w:tcPr>
            <w:tcW w:w="2891" w:type="dxa"/>
            <w:vAlign w:val="center"/>
          </w:tcPr>
          <w:p>
            <w:pPr>
              <w:pStyle w:val="10"/>
            </w:pPr>
            <w:r>
              <w:t>支持项目实施单位，通过举办717青岛品牌日、搭建工赋青岛融媒体交流展示平台。</w:t>
            </w:r>
          </w:p>
        </w:tc>
        <w:tc>
          <w:tcPr>
            <w:tcW w:w="1276" w:type="dxa"/>
            <w:vAlign w:val="center"/>
          </w:tcPr>
          <w:p>
            <w:pPr>
              <w:pStyle w:val="10"/>
            </w:pPr>
            <w:r>
              <w:t>≤1420万元</w:t>
            </w:r>
          </w:p>
        </w:tc>
        <w:tc>
          <w:tcPr>
            <w:tcW w:w="1843" w:type="dxa"/>
            <w:vAlign w:val="center"/>
          </w:tcPr>
          <w:p>
            <w:pPr>
              <w:pStyle w:val="10"/>
            </w:pPr>
            <w:r>
              <w:t>根据2021年2022年项目公开招标结果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制作“工赋青岛”融媒体及短视频节目数量</w:t>
            </w:r>
          </w:p>
        </w:tc>
        <w:tc>
          <w:tcPr>
            <w:tcW w:w="2891" w:type="dxa"/>
            <w:vAlign w:val="center"/>
          </w:tcPr>
          <w:p>
            <w:pPr>
              <w:pStyle w:val="10"/>
            </w:pPr>
            <w:r>
              <w:t>会同青岛电视台联合制作搭建“工赋青岛”交流平台</w:t>
            </w:r>
          </w:p>
        </w:tc>
        <w:tc>
          <w:tcPr>
            <w:tcW w:w="1276" w:type="dxa"/>
            <w:vAlign w:val="center"/>
          </w:tcPr>
          <w:p>
            <w:pPr>
              <w:pStyle w:val="10"/>
            </w:pPr>
            <w:r>
              <w:t>≥30期</w:t>
            </w:r>
          </w:p>
        </w:tc>
        <w:tc>
          <w:tcPr>
            <w:tcW w:w="1843" w:type="dxa"/>
            <w:vAlign w:val="center"/>
          </w:tcPr>
          <w:p>
            <w:pPr>
              <w:pStyle w:val="10"/>
            </w:pPr>
            <w:r>
              <w:t>2023年整体活动方案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“工赋青岛”智库交流活动场数</w:t>
            </w:r>
          </w:p>
        </w:tc>
        <w:tc>
          <w:tcPr>
            <w:tcW w:w="2891" w:type="dxa"/>
            <w:vAlign w:val="center"/>
          </w:tcPr>
          <w:p>
            <w:pPr>
              <w:pStyle w:val="10"/>
            </w:pPr>
            <w:r>
              <w:t>“工赋青岛”智库交流活动场数</w:t>
            </w:r>
          </w:p>
        </w:tc>
        <w:tc>
          <w:tcPr>
            <w:tcW w:w="1276" w:type="dxa"/>
            <w:vAlign w:val="center"/>
          </w:tcPr>
          <w:p>
            <w:pPr>
              <w:pStyle w:val="10"/>
            </w:pPr>
            <w:r>
              <w:t>≥3场</w:t>
            </w:r>
          </w:p>
        </w:tc>
        <w:tc>
          <w:tcPr>
            <w:tcW w:w="1843" w:type="dxa"/>
            <w:vAlign w:val="center"/>
          </w:tcPr>
          <w:p>
            <w:pPr>
              <w:pStyle w:val="10"/>
            </w:pPr>
            <w:r>
              <w:t>2023年整体活动方案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“工赋青岛”推介场次</w:t>
            </w:r>
          </w:p>
        </w:tc>
        <w:tc>
          <w:tcPr>
            <w:tcW w:w="2891" w:type="dxa"/>
            <w:vAlign w:val="center"/>
          </w:tcPr>
          <w:p>
            <w:pPr>
              <w:pStyle w:val="10"/>
            </w:pPr>
            <w:r>
              <w:t>新华网、人民网等国家级、省级媒体，青岛各类媒介，以及快手、今日头条等新媒体对“工赋青岛”推介场次</w:t>
            </w:r>
          </w:p>
        </w:tc>
        <w:tc>
          <w:tcPr>
            <w:tcW w:w="1276" w:type="dxa"/>
            <w:vAlign w:val="center"/>
          </w:tcPr>
          <w:p>
            <w:pPr>
              <w:pStyle w:val="10"/>
            </w:pPr>
            <w:r>
              <w:t>≥30场次</w:t>
            </w:r>
          </w:p>
        </w:tc>
        <w:tc>
          <w:tcPr>
            <w:tcW w:w="1843" w:type="dxa"/>
            <w:vAlign w:val="center"/>
          </w:tcPr>
          <w:p>
            <w:pPr>
              <w:pStyle w:val="10"/>
            </w:pPr>
            <w:r>
              <w:t>2023年整体活动方案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视频文案审核率</w:t>
            </w:r>
          </w:p>
        </w:tc>
        <w:tc>
          <w:tcPr>
            <w:tcW w:w="2891" w:type="dxa"/>
            <w:vAlign w:val="center"/>
          </w:tcPr>
          <w:p>
            <w:pPr>
              <w:pStyle w:val="10"/>
            </w:pPr>
            <w:r>
              <w:t>所有投放的视频和文案均需通过审查</w:t>
            </w:r>
          </w:p>
        </w:tc>
        <w:tc>
          <w:tcPr>
            <w:tcW w:w="1276" w:type="dxa"/>
            <w:vAlign w:val="center"/>
          </w:tcPr>
          <w:p>
            <w:pPr>
              <w:pStyle w:val="10"/>
            </w:pPr>
            <w:r>
              <w:t>100%</w:t>
            </w:r>
          </w:p>
        </w:tc>
        <w:tc>
          <w:tcPr>
            <w:tcW w:w="1843" w:type="dxa"/>
            <w:vAlign w:val="center"/>
          </w:tcPr>
          <w:p>
            <w:pPr>
              <w:pStyle w:val="10"/>
            </w:pPr>
            <w:r>
              <w:t>有关部门批准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政府采购率</w:t>
            </w:r>
          </w:p>
        </w:tc>
        <w:tc>
          <w:tcPr>
            <w:tcW w:w="2891" w:type="dxa"/>
            <w:vAlign w:val="center"/>
          </w:tcPr>
          <w:p>
            <w:pPr>
              <w:pStyle w:val="10"/>
            </w:pPr>
            <w:r>
              <w:t>该项目通过政府公开招标采购</w:t>
            </w:r>
          </w:p>
        </w:tc>
        <w:tc>
          <w:tcPr>
            <w:tcW w:w="1276" w:type="dxa"/>
            <w:vAlign w:val="center"/>
          </w:tcPr>
          <w:p>
            <w:pPr>
              <w:pStyle w:val="10"/>
            </w:pPr>
            <w:r>
              <w:t>100%</w:t>
            </w:r>
          </w:p>
        </w:tc>
        <w:tc>
          <w:tcPr>
            <w:tcW w:w="1843" w:type="dxa"/>
            <w:vAlign w:val="center"/>
          </w:tcPr>
          <w:p>
            <w:pPr>
              <w:pStyle w:val="10"/>
            </w:pPr>
            <w:r>
              <w:t>政府采购规定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宣传推广时间</w:t>
            </w:r>
          </w:p>
        </w:tc>
        <w:tc>
          <w:tcPr>
            <w:tcW w:w="2891" w:type="dxa"/>
            <w:vAlign w:val="center"/>
          </w:tcPr>
          <w:p>
            <w:pPr>
              <w:pStyle w:val="10"/>
            </w:pPr>
            <w:r>
              <w:t>宣传推广时间</w:t>
            </w:r>
          </w:p>
        </w:tc>
        <w:tc>
          <w:tcPr>
            <w:tcW w:w="1276" w:type="dxa"/>
            <w:vAlign w:val="center"/>
          </w:tcPr>
          <w:p>
            <w:pPr>
              <w:pStyle w:val="10"/>
            </w:pPr>
            <w:r>
              <w:t>≥8个月</w:t>
            </w:r>
          </w:p>
        </w:tc>
        <w:tc>
          <w:tcPr>
            <w:tcW w:w="1843" w:type="dxa"/>
            <w:vAlign w:val="center"/>
          </w:tcPr>
          <w:p>
            <w:pPr>
              <w:pStyle w:val="10"/>
            </w:pPr>
            <w:r>
              <w:t>扣除招标和验收时间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t>经济效益指标</w:t>
            </w:r>
          </w:p>
        </w:tc>
        <w:tc>
          <w:tcPr>
            <w:tcW w:w="1332" w:type="dxa"/>
            <w:vAlign w:val="center"/>
          </w:tcPr>
          <w:p>
            <w:pPr>
              <w:pStyle w:val="10"/>
            </w:pPr>
            <w:r>
              <w:t>新一代青岛金花培育企业数量</w:t>
            </w:r>
          </w:p>
        </w:tc>
        <w:tc>
          <w:tcPr>
            <w:tcW w:w="2891" w:type="dxa"/>
            <w:vAlign w:val="center"/>
          </w:tcPr>
          <w:p>
            <w:pPr>
              <w:pStyle w:val="10"/>
            </w:pPr>
            <w:r>
              <w:t>新一代青岛金花培育企业数量</w:t>
            </w:r>
          </w:p>
        </w:tc>
        <w:tc>
          <w:tcPr>
            <w:tcW w:w="1276" w:type="dxa"/>
            <w:vAlign w:val="center"/>
          </w:tcPr>
          <w:p>
            <w:pPr>
              <w:pStyle w:val="10"/>
            </w:pPr>
            <w:r>
              <w:t>≥30家</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“工赋青岛”示范引领企业数量</w:t>
            </w:r>
          </w:p>
        </w:tc>
        <w:tc>
          <w:tcPr>
            <w:tcW w:w="2891" w:type="dxa"/>
            <w:vAlign w:val="center"/>
          </w:tcPr>
          <w:p>
            <w:pPr>
              <w:pStyle w:val="10"/>
            </w:pPr>
            <w:r>
              <w:t>“工赋青岛”示范引领企业数量</w:t>
            </w:r>
          </w:p>
        </w:tc>
        <w:tc>
          <w:tcPr>
            <w:tcW w:w="1276" w:type="dxa"/>
            <w:vAlign w:val="center"/>
          </w:tcPr>
          <w:p>
            <w:pPr>
              <w:pStyle w:val="10"/>
            </w:pPr>
            <w:r>
              <w:t>≥100家</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打造青岛品牌IP</w:t>
            </w:r>
          </w:p>
        </w:tc>
        <w:tc>
          <w:tcPr>
            <w:tcW w:w="2891" w:type="dxa"/>
            <w:vAlign w:val="center"/>
          </w:tcPr>
          <w:p>
            <w:pPr>
              <w:pStyle w:val="10"/>
            </w:pPr>
            <w:r>
              <w:t>打造青岛品牌IP数量</w:t>
            </w:r>
          </w:p>
        </w:tc>
        <w:tc>
          <w:tcPr>
            <w:tcW w:w="1276" w:type="dxa"/>
            <w:vAlign w:val="center"/>
          </w:tcPr>
          <w:p>
            <w:pPr>
              <w:pStyle w:val="10"/>
            </w:pPr>
            <w:r>
              <w:t>1个</w:t>
            </w:r>
          </w:p>
        </w:tc>
        <w:tc>
          <w:tcPr>
            <w:tcW w:w="1843" w:type="dxa"/>
            <w:vAlign w:val="center"/>
          </w:tcPr>
          <w:p>
            <w:pPr>
              <w:pStyle w:val="10"/>
            </w:pPr>
            <w:r>
              <w:t>2023年整体活动方案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受宣传企业满意度</w:t>
            </w:r>
          </w:p>
        </w:tc>
        <w:tc>
          <w:tcPr>
            <w:tcW w:w="2891" w:type="dxa"/>
            <w:vAlign w:val="center"/>
          </w:tcPr>
          <w:p>
            <w:pPr>
              <w:pStyle w:val="10"/>
            </w:pPr>
            <w:r>
              <w:t>受宣传企业满意度</w:t>
            </w:r>
          </w:p>
        </w:tc>
        <w:tc>
          <w:tcPr>
            <w:tcW w:w="1276" w:type="dxa"/>
            <w:vAlign w:val="center"/>
          </w:tcPr>
          <w:p>
            <w:pPr>
              <w:pStyle w:val="10"/>
            </w:pPr>
            <w:r>
              <w:t>≥90%</w:t>
            </w:r>
          </w:p>
        </w:tc>
        <w:tc>
          <w:tcPr>
            <w:tcW w:w="1843" w:type="dxa"/>
            <w:vAlign w:val="center"/>
          </w:tcPr>
          <w:p>
            <w:pPr>
              <w:pStyle w:val="10"/>
            </w:pPr>
            <w:r>
              <w:t>通过第三方机构测评</w:t>
            </w:r>
          </w:p>
        </w:tc>
      </w:tr>
    </w:tbl>
    <w:p>
      <w:pPr>
        <w:sectPr>
          <w:pgSz w:w="11900" w:h="16840"/>
          <w:pgMar w:top="1984" w:right="1304" w:bottom="1134" w:left="1304" w:header="720" w:footer="720" w:gutter="0"/>
          <w:pgNumType w:fmt="numberInDash"/>
          <w:cols w:space="720" w:num="1"/>
        </w:sectPr>
      </w:pPr>
    </w:p>
    <w:p>
      <w:pPr>
        <w:jc w:val="center"/>
      </w:pPr>
      <w:r>
        <w:rPr>
          <w:rFonts w:ascii="方正仿宋_GBK" w:hAnsi="方正仿宋_GBK" w:eastAsia="方正仿宋_GBK" w:cs="方正仿宋_GBK"/>
          <w:color w:val="000000"/>
          <w:sz w:val="28"/>
        </w:rPr>
        <w:t xml:space="preserve"> </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502001青岛市工业和信息化局本级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37020023P130002100316</w:t>
            </w:r>
          </w:p>
        </w:tc>
        <w:tc>
          <w:tcPr>
            <w:tcW w:w="1587" w:type="dxa"/>
            <w:vAlign w:val="center"/>
          </w:tcPr>
          <w:p>
            <w:pPr>
              <w:pStyle w:val="9"/>
            </w:pPr>
            <w:r>
              <w:t>项目名称</w:t>
            </w:r>
          </w:p>
        </w:tc>
        <w:tc>
          <w:tcPr>
            <w:tcW w:w="4422" w:type="dxa"/>
            <w:gridSpan w:val="3"/>
            <w:vAlign w:val="center"/>
          </w:tcPr>
          <w:p>
            <w:pPr>
              <w:pStyle w:val="10"/>
            </w:pPr>
            <w:r>
              <w:t>支持化工产业转型升级资金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1000.00</w:t>
            </w:r>
          </w:p>
        </w:tc>
        <w:tc>
          <w:tcPr>
            <w:tcW w:w="1587" w:type="dxa"/>
            <w:vAlign w:val="center"/>
          </w:tcPr>
          <w:p>
            <w:pPr>
              <w:pStyle w:val="9"/>
            </w:pPr>
            <w:r>
              <w:t>其中：财政    资金</w:t>
            </w:r>
          </w:p>
        </w:tc>
        <w:tc>
          <w:tcPr>
            <w:tcW w:w="1304" w:type="dxa"/>
            <w:vAlign w:val="center"/>
          </w:tcPr>
          <w:p>
            <w:pPr>
              <w:pStyle w:val="10"/>
            </w:pPr>
            <w:r>
              <w:t>1000.00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支持化工产业转型升级资金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1000.00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为400多家化工企业购买化工产业安全环保公众责任保险（以下简称“化工险”）</w:t>
            </w:r>
            <w:r>
              <w:rPr>
                <w:rFonts w:hint="eastAsia"/>
                <w:lang w:eastAsia="zh-CN"/>
              </w:rPr>
              <w:t>。</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化工产业转型升级预算控制数</w:t>
            </w:r>
          </w:p>
        </w:tc>
        <w:tc>
          <w:tcPr>
            <w:tcW w:w="2891" w:type="dxa"/>
            <w:vAlign w:val="center"/>
          </w:tcPr>
          <w:p>
            <w:pPr>
              <w:pStyle w:val="10"/>
            </w:pPr>
            <w:r>
              <w:t>化工产业转型升级预算控制数</w:t>
            </w:r>
          </w:p>
        </w:tc>
        <w:tc>
          <w:tcPr>
            <w:tcW w:w="1276" w:type="dxa"/>
            <w:vAlign w:val="center"/>
          </w:tcPr>
          <w:p>
            <w:pPr>
              <w:pStyle w:val="10"/>
            </w:pPr>
            <w:r>
              <w:t>≤1000万元</w:t>
            </w:r>
          </w:p>
        </w:tc>
        <w:tc>
          <w:tcPr>
            <w:tcW w:w="1843" w:type="dxa"/>
            <w:vAlign w:val="center"/>
          </w:tcPr>
          <w:p>
            <w:pPr>
              <w:pStyle w:val="10"/>
            </w:pPr>
            <w:r>
              <w:t>计划标准（青政发〔2021〕18号文件）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购买“化工险”数量</w:t>
            </w:r>
          </w:p>
        </w:tc>
        <w:tc>
          <w:tcPr>
            <w:tcW w:w="2891" w:type="dxa"/>
            <w:vAlign w:val="center"/>
          </w:tcPr>
          <w:p>
            <w:pPr>
              <w:pStyle w:val="10"/>
            </w:pPr>
            <w:r>
              <w:t>为化工企业购买“化工险”数量</w:t>
            </w:r>
          </w:p>
        </w:tc>
        <w:tc>
          <w:tcPr>
            <w:tcW w:w="1276" w:type="dxa"/>
            <w:vAlign w:val="center"/>
          </w:tcPr>
          <w:p>
            <w:pPr>
              <w:pStyle w:val="10"/>
            </w:pPr>
            <w:r>
              <w:t>≥400家</w:t>
            </w:r>
          </w:p>
        </w:tc>
        <w:tc>
          <w:tcPr>
            <w:tcW w:w="1843" w:type="dxa"/>
            <w:vAlign w:val="center"/>
          </w:tcPr>
          <w:p>
            <w:pPr>
              <w:pStyle w:val="10"/>
            </w:pPr>
            <w:r>
              <w:t>计划标准（青政发〔2021〕18号）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为被保险企业开展风险防控服务和员工培训次数</w:t>
            </w:r>
          </w:p>
        </w:tc>
        <w:tc>
          <w:tcPr>
            <w:tcW w:w="2891" w:type="dxa"/>
            <w:vAlign w:val="center"/>
          </w:tcPr>
          <w:p>
            <w:pPr>
              <w:pStyle w:val="10"/>
            </w:pPr>
            <w:r>
              <w:t>为被保险企业开展风险防控服务和员工培训次数</w:t>
            </w:r>
          </w:p>
        </w:tc>
        <w:tc>
          <w:tcPr>
            <w:tcW w:w="1276" w:type="dxa"/>
            <w:vAlign w:val="center"/>
          </w:tcPr>
          <w:p>
            <w:pPr>
              <w:pStyle w:val="10"/>
            </w:pPr>
            <w:r>
              <w:t>≥400次</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奖补对象政策符合度</w:t>
            </w:r>
          </w:p>
        </w:tc>
        <w:tc>
          <w:tcPr>
            <w:tcW w:w="2891" w:type="dxa"/>
            <w:vAlign w:val="center"/>
          </w:tcPr>
          <w:p>
            <w:pPr>
              <w:pStyle w:val="10"/>
            </w:pPr>
            <w:r>
              <w:t>奖补对象政策符合情况</w:t>
            </w:r>
          </w:p>
        </w:tc>
        <w:tc>
          <w:tcPr>
            <w:tcW w:w="1276" w:type="dxa"/>
            <w:vAlign w:val="center"/>
          </w:tcPr>
          <w:p>
            <w:pPr>
              <w:pStyle w:val="10"/>
            </w:pPr>
            <w:r>
              <w:t>100%</w:t>
            </w:r>
          </w:p>
        </w:tc>
        <w:tc>
          <w:tcPr>
            <w:tcW w:w="1843" w:type="dxa"/>
            <w:vAlign w:val="center"/>
          </w:tcPr>
          <w:p>
            <w:pPr>
              <w:pStyle w:val="10"/>
            </w:pPr>
            <w:r>
              <w:t>计划标准（青政发〔2021〕18号文件）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资金使用合规率</w:t>
            </w:r>
          </w:p>
        </w:tc>
        <w:tc>
          <w:tcPr>
            <w:tcW w:w="2891" w:type="dxa"/>
            <w:vAlign w:val="center"/>
          </w:tcPr>
          <w:p>
            <w:pPr>
              <w:pStyle w:val="10"/>
            </w:pPr>
            <w:r>
              <w:t>资金主管部门在资金使用过程中合法合规情况</w:t>
            </w:r>
          </w:p>
        </w:tc>
        <w:tc>
          <w:tcPr>
            <w:tcW w:w="1276" w:type="dxa"/>
            <w:vAlign w:val="center"/>
          </w:tcPr>
          <w:p>
            <w:pPr>
              <w:pStyle w:val="10"/>
            </w:pPr>
            <w:r>
              <w:t>100%</w:t>
            </w:r>
          </w:p>
        </w:tc>
        <w:tc>
          <w:tcPr>
            <w:tcW w:w="1843" w:type="dxa"/>
            <w:vAlign w:val="center"/>
          </w:tcPr>
          <w:p>
            <w:pPr>
              <w:pStyle w:val="10"/>
            </w:pPr>
            <w:r>
              <w:t>计划标准（青工信字〔2019〕28号文件）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“化工险”项目资金拨付时间</w:t>
            </w:r>
          </w:p>
        </w:tc>
        <w:tc>
          <w:tcPr>
            <w:tcW w:w="2891" w:type="dxa"/>
            <w:vAlign w:val="center"/>
          </w:tcPr>
          <w:p>
            <w:pPr>
              <w:pStyle w:val="10"/>
            </w:pPr>
            <w:r>
              <w:t>“化工险”项目资金拨付时间</w:t>
            </w:r>
          </w:p>
        </w:tc>
        <w:tc>
          <w:tcPr>
            <w:tcW w:w="1276" w:type="dxa"/>
            <w:vAlign w:val="center"/>
          </w:tcPr>
          <w:p>
            <w:pPr>
              <w:pStyle w:val="10"/>
              <w:rPr>
                <w:lang w:eastAsia="zh-CN"/>
              </w:rPr>
            </w:pPr>
            <w:r>
              <w:t>≤12</w:t>
            </w:r>
            <w:r>
              <w:rPr>
                <w:rFonts w:hint="eastAsia"/>
                <w:lang w:eastAsia="zh-CN"/>
              </w:rPr>
              <w:t>月5日</w:t>
            </w:r>
          </w:p>
        </w:tc>
        <w:tc>
          <w:tcPr>
            <w:tcW w:w="1843" w:type="dxa"/>
            <w:vAlign w:val="center"/>
          </w:tcPr>
          <w:p>
            <w:pPr>
              <w:pStyle w:val="10"/>
            </w:pPr>
            <w:r>
              <w:t>计划标准（市财政预算下达文件）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排查发现的企业安全隐患整改率</w:t>
            </w:r>
          </w:p>
        </w:tc>
        <w:tc>
          <w:tcPr>
            <w:tcW w:w="2891" w:type="dxa"/>
            <w:vAlign w:val="center"/>
          </w:tcPr>
          <w:p>
            <w:pPr>
              <w:pStyle w:val="10"/>
            </w:pPr>
            <w:r>
              <w:t>针对排查发现的安全隐患，督促企业依法依规整改情况</w:t>
            </w:r>
          </w:p>
        </w:tc>
        <w:tc>
          <w:tcPr>
            <w:tcW w:w="1276" w:type="dxa"/>
            <w:vAlign w:val="center"/>
          </w:tcPr>
          <w:p>
            <w:pPr>
              <w:pStyle w:val="10"/>
            </w:pPr>
            <w:r>
              <w:t>≥90%</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服务对象满意度指标</w:t>
            </w:r>
          </w:p>
        </w:tc>
        <w:tc>
          <w:tcPr>
            <w:tcW w:w="2891" w:type="dxa"/>
            <w:vAlign w:val="center"/>
          </w:tcPr>
          <w:p>
            <w:pPr>
              <w:pStyle w:val="10"/>
            </w:pPr>
            <w:r>
              <w:t>被保险企业满意度</w:t>
            </w:r>
          </w:p>
        </w:tc>
        <w:tc>
          <w:tcPr>
            <w:tcW w:w="1276" w:type="dxa"/>
            <w:vAlign w:val="center"/>
          </w:tcPr>
          <w:p>
            <w:pPr>
              <w:pStyle w:val="10"/>
            </w:pPr>
            <w:r>
              <w:t>≥90%</w:t>
            </w:r>
          </w:p>
        </w:tc>
        <w:tc>
          <w:tcPr>
            <w:tcW w:w="1843" w:type="dxa"/>
            <w:vAlign w:val="center"/>
          </w:tcPr>
          <w:p>
            <w:pPr>
              <w:pStyle w:val="10"/>
            </w:pPr>
            <w:r>
              <w:t>其他标准</w:t>
            </w:r>
          </w:p>
        </w:tc>
      </w:tr>
    </w:tbl>
    <w:p>
      <w:pPr>
        <w:sectPr>
          <w:pgSz w:w="11900" w:h="16840"/>
          <w:pgMar w:top="1984" w:right="1304" w:bottom="1134" w:left="1304" w:header="720" w:footer="720" w:gutter="0"/>
          <w:pgNumType w:fmt="numberInDash"/>
          <w:cols w:space="720" w:num="1"/>
        </w:sect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601001青岛市发展和改革委员会本级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37020023P14001410002Y</w:t>
            </w:r>
          </w:p>
        </w:tc>
        <w:tc>
          <w:tcPr>
            <w:tcW w:w="1587" w:type="dxa"/>
            <w:vAlign w:val="center"/>
          </w:tcPr>
          <w:p>
            <w:pPr>
              <w:pStyle w:val="9"/>
            </w:pPr>
            <w:r>
              <w:t>项目名称</w:t>
            </w:r>
          </w:p>
        </w:tc>
        <w:tc>
          <w:tcPr>
            <w:tcW w:w="4422" w:type="dxa"/>
            <w:gridSpan w:val="3"/>
            <w:vAlign w:val="center"/>
          </w:tcPr>
          <w:p>
            <w:pPr>
              <w:pStyle w:val="10"/>
            </w:pPr>
            <w:r>
              <w:t>加快创新及场景应用实验资金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1000.00</w:t>
            </w:r>
          </w:p>
        </w:tc>
        <w:tc>
          <w:tcPr>
            <w:tcW w:w="1587" w:type="dxa"/>
            <w:vAlign w:val="center"/>
          </w:tcPr>
          <w:p>
            <w:pPr>
              <w:pStyle w:val="9"/>
            </w:pPr>
            <w:r>
              <w:t>其中：财政    资金</w:t>
            </w:r>
          </w:p>
        </w:tc>
        <w:tc>
          <w:tcPr>
            <w:tcW w:w="1304" w:type="dxa"/>
            <w:vAlign w:val="center"/>
          </w:tcPr>
          <w:p>
            <w:pPr>
              <w:pStyle w:val="10"/>
            </w:pPr>
            <w:r>
              <w:t>1000.00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组织认定一批创新应用实验室和场景应用实验室，通过创新应用实验室开展市场化应用攻关，探索技术应用方向，验证技术成熟度和市场前景。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rFonts w:asciiTheme="minorHAnsi" w:hAnsiTheme="minorHAnsi"/>
                <w:lang w:val="uk-UA"/>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250.00</w:t>
            </w:r>
          </w:p>
        </w:tc>
        <w:tc>
          <w:tcPr>
            <w:tcW w:w="1587" w:type="dxa"/>
            <w:vAlign w:val="center"/>
          </w:tcPr>
          <w:p>
            <w:pPr>
              <w:pStyle w:val="11"/>
            </w:pPr>
            <w:r>
              <w:t>500.00</w:t>
            </w:r>
          </w:p>
        </w:tc>
        <w:tc>
          <w:tcPr>
            <w:tcW w:w="1304" w:type="dxa"/>
            <w:vAlign w:val="center"/>
          </w:tcPr>
          <w:p>
            <w:pPr>
              <w:pStyle w:val="11"/>
            </w:pPr>
            <w:r>
              <w:t>750.00</w:t>
            </w:r>
          </w:p>
        </w:tc>
        <w:tc>
          <w:tcPr>
            <w:tcW w:w="3118" w:type="dxa"/>
            <w:gridSpan w:val="2"/>
            <w:vAlign w:val="center"/>
          </w:tcPr>
          <w:p>
            <w:pPr>
              <w:pStyle w:val="11"/>
            </w:pPr>
            <w:r>
              <w:t>1000.00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组织认定一批创新应用实验室和场景应用实验室，通过创新应用实验室开展市场化应用攻关，探索技术应用方向，验证技术成熟度和市场前景。</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创新应用实验室和场景应用实验室股权直投金额</w:t>
            </w:r>
          </w:p>
        </w:tc>
        <w:tc>
          <w:tcPr>
            <w:tcW w:w="2891" w:type="dxa"/>
            <w:vAlign w:val="center"/>
          </w:tcPr>
          <w:p>
            <w:pPr>
              <w:pStyle w:val="10"/>
            </w:pPr>
            <w:r>
              <w:t>创新应用实验室和场景应用实验室股权直投金额</w:t>
            </w:r>
          </w:p>
        </w:tc>
        <w:tc>
          <w:tcPr>
            <w:tcW w:w="1276" w:type="dxa"/>
            <w:vAlign w:val="center"/>
          </w:tcPr>
          <w:p>
            <w:pPr>
              <w:pStyle w:val="10"/>
            </w:pPr>
            <w:r>
              <w:t>≤1000万元</w:t>
            </w:r>
          </w:p>
        </w:tc>
        <w:tc>
          <w:tcPr>
            <w:tcW w:w="1843" w:type="dxa"/>
            <w:vAlign w:val="center"/>
          </w:tcPr>
          <w:p>
            <w:pPr>
              <w:pStyle w:val="10"/>
            </w:pPr>
            <w:r>
              <w:t>历史标准和计划标准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股权直实验室数量</w:t>
            </w:r>
          </w:p>
        </w:tc>
        <w:tc>
          <w:tcPr>
            <w:tcW w:w="2891" w:type="dxa"/>
            <w:vAlign w:val="center"/>
          </w:tcPr>
          <w:p>
            <w:pPr>
              <w:pStyle w:val="10"/>
            </w:pPr>
            <w:r>
              <w:t>全年对不少于2家场景应用实验室和场景应用实验室进行股权直投</w:t>
            </w:r>
          </w:p>
        </w:tc>
        <w:tc>
          <w:tcPr>
            <w:tcW w:w="1276" w:type="dxa"/>
            <w:vAlign w:val="center"/>
          </w:tcPr>
          <w:p>
            <w:pPr>
              <w:pStyle w:val="10"/>
            </w:pPr>
            <w:r>
              <w:t>≥2家</w:t>
            </w:r>
          </w:p>
        </w:tc>
        <w:tc>
          <w:tcPr>
            <w:tcW w:w="1843" w:type="dxa"/>
            <w:vAlign w:val="center"/>
          </w:tcPr>
          <w:p>
            <w:pPr>
              <w:pStyle w:val="10"/>
            </w:pPr>
            <w:r>
              <w:t>历史标准和计划标准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培育实验室数量</w:t>
            </w:r>
          </w:p>
        </w:tc>
        <w:tc>
          <w:tcPr>
            <w:tcW w:w="2891" w:type="dxa"/>
            <w:vAlign w:val="center"/>
          </w:tcPr>
          <w:p>
            <w:pPr>
              <w:pStyle w:val="10"/>
            </w:pPr>
            <w:r>
              <w:t>全年培育不少于54创新应用实验室和场景应用实验室</w:t>
            </w:r>
          </w:p>
        </w:tc>
        <w:tc>
          <w:tcPr>
            <w:tcW w:w="1276" w:type="dxa"/>
            <w:vAlign w:val="center"/>
          </w:tcPr>
          <w:p>
            <w:pPr>
              <w:pStyle w:val="10"/>
            </w:pPr>
            <w:r>
              <w:t>≥54家</w:t>
            </w:r>
          </w:p>
        </w:tc>
        <w:tc>
          <w:tcPr>
            <w:tcW w:w="1843" w:type="dxa"/>
            <w:vAlign w:val="center"/>
          </w:tcPr>
          <w:p>
            <w:pPr>
              <w:pStyle w:val="10"/>
            </w:pPr>
            <w:r>
              <w:t>历史标准和计划标准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rPr>
                <w:rFonts w:asciiTheme="minorHAnsi" w:hAnsiTheme="minorHAnsi"/>
                <w:lang w:val="uk-UA"/>
              </w:rPr>
            </w:pPr>
            <w:r>
              <w:t>场景应用实验室市场验证转化</w:t>
            </w:r>
            <w:r>
              <w:rPr>
                <w:rFonts w:hint="eastAsia"/>
                <w:lang w:eastAsia="zh-CN"/>
              </w:rPr>
              <w:t>率</w:t>
            </w:r>
          </w:p>
        </w:tc>
        <w:tc>
          <w:tcPr>
            <w:tcW w:w="2891" w:type="dxa"/>
            <w:vAlign w:val="center"/>
          </w:tcPr>
          <w:p>
            <w:pPr>
              <w:pStyle w:val="10"/>
              <w:rPr>
                <w:rFonts w:asciiTheme="minorHAnsi" w:hAnsiTheme="minorHAnsi"/>
                <w:lang w:val="uk-UA"/>
              </w:rPr>
            </w:pPr>
            <w:r>
              <w:t>场景应用实验室市场验证转化</w:t>
            </w:r>
            <w:r>
              <w:rPr>
                <w:rFonts w:hint="eastAsia"/>
                <w:lang w:eastAsia="zh-CN"/>
              </w:rPr>
              <w:t>率</w:t>
            </w:r>
          </w:p>
        </w:tc>
        <w:tc>
          <w:tcPr>
            <w:tcW w:w="1276" w:type="dxa"/>
            <w:vAlign w:val="center"/>
          </w:tcPr>
          <w:p>
            <w:pPr>
              <w:pStyle w:val="10"/>
            </w:pPr>
            <w:r>
              <w:rPr>
                <w:rFonts w:hint="eastAsia"/>
                <w:lang w:eastAsia="zh-CN"/>
              </w:rPr>
              <w:t>30%</w:t>
            </w:r>
          </w:p>
        </w:tc>
        <w:tc>
          <w:tcPr>
            <w:tcW w:w="1843" w:type="dxa"/>
            <w:vAlign w:val="center"/>
          </w:tcPr>
          <w:p>
            <w:pPr>
              <w:pStyle w:val="10"/>
            </w:pPr>
            <w:r>
              <w:t>历史标准和计划标准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rPr>
                <w:rFonts w:asciiTheme="minorHAnsi" w:hAnsiTheme="minorHAnsi"/>
                <w:lang w:val="uk-UA"/>
              </w:rPr>
            </w:pPr>
            <w:r>
              <w:t>创新应用实验室市场化推广和产业化应用</w:t>
            </w:r>
            <w:r>
              <w:rPr>
                <w:rFonts w:hint="eastAsia"/>
                <w:lang w:eastAsia="zh-CN"/>
              </w:rPr>
              <w:t>率</w:t>
            </w:r>
          </w:p>
        </w:tc>
        <w:tc>
          <w:tcPr>
            <w:tcW w:w="2891" w:type="dxa"/>
            <w:vAlign w:val="center"/>
          </w:tcPr>
          <w:p>
            <w:pPr>
              <w:pStyle w:val="10"/>
              <w:rPr>
                <w:rFonts w:asciiTheme="minorHAnsi" w:hAnsiTheme="minorHAnsi"/>
                <w:lang w:val="uk-UA"/>
              </w:rPr>
            </w:pPr>
            <w:r>
              <w:t>创新应用实验室市场化推广和产业化应用</w:t>
            </w:r>
            <w:r>
              <w:rPr>
                <w:rFonts w:hint="eastAsia"/>
                <w:lang w:eastAsia="zh-CN"/>
              </w:rPr>
              <w:t>率</w:t>
            </w:r>
          </w:p>
        </w:tc>
        <w:tc>
          <w:tcPr>
            <w:tcW w:w="1276" w:type="dxa"/>
            <w:vAlign w:val="center"/>
          </w:tcPr>
          <w:p>
            <w:pPr>
              <w:pStyle w:val="10"/>
            </w:pPr>
            <w:r>
              <w:rPr>
                <w:rFonts w:hint="eastAsia"/>
                <w:lang w:eastAsia="zh-CN"/>
              </w:rPr>
              <w:t>10%</w:t>
            </w:r>
          </w:p>
        </w:tc>
        <w:tc>
          <w:tcPr>
            <w:tcW w:w="1843" w:type="dxa"/>
            <w:vAlign w:val="center"/>
          </w:tcPr>
          <w:p>
            <w:pPr>
              <w:pStyle w:val="10"/>
            </w:pPr>
            <w:r>
              <w:t>历史标准和计划标准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资金补助拨付及时率</w:t>
            </w:r>
          </w:p>
        </w:tc>
        <w:tc>
          <w:tcPr>
            <w:tcW w:w="2891" w:type="dxa"/>
            <w:vAlign w:val="center"/>
          </w:tcPr>
          <w:p>
            <w:pPr>
              <w:pStyle w:val="10"/>
            </w:pPr>
            <w:r>
              <w:t>资金补助拨付及时率</w:t>
            </w:r>
          </w:p>
        </w:tc>
        <w:tc>
          <w:tcPr>
            <w:tcW w:w="1276" w:type="dxa"/>
            <w:vAlign w:val="center"/>
          </w:tcPr>
          <w:p>
            <w:pPr>
              <w:pStyle w:val="10"/>
            </w:pPr>
            <w:r>
              <w:t>100%</w:t>
            </w:r>
          </w:p>
        </w:tc>
        <w:tc>
          <w:tcPr>
            <w:tcW w:w="1843" w:type="dxa"/>
            <w:vAlign w:val="center"/>
          </w:tcPr>
          <w:p>
            <w:pPr>
              <w:pStyle w:val="10"/>
            </w:pPr>
            <w:r>
              <w:t>历史标准和计划标准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经济效益指标</w:t>
            </w:r>
          </w:p>
        </w:tc>
        <w:tc>
          <w:tcPr>
            <w:tcW w:w="1332" w:type="dxa"/>
            <w:vAlign w:val="center"/>
          </w:tcPr>
          <w:p>
            <w:pPr>
              <w:pStyle w:val="10"/>
            </w:pPr>
            <w:r>
              <w:t>加快培育发展新动能</w:t>
            </w:r>
          </w:p>
        </w:tc>
        <w:tc>
          <w:tcPr>
            <w:tcW w:w="2891" w:type="dxa"/>
            <w:vAlign w:val="center"/>
          </w:tcPr>
          <w:p>
            <w:pPr>
              <w:pStyle w:val="10"/>
            </w:pPr>
            <w:r>
              <w:t>加快培育发展新动能，支持创新产品市场验证、技术迭代、应用推广，推动新技术、新业态、新模式市场化应用</w:t>
            </w:r>
          </w:p>
        </w:tc>
        <w:tc>
          <w:tcPr>
            <w:tcW w:w="1276" w:type="dxa"/>
            <w:vAlign w:val="center"/>
          </w:tcPr>
          <w:p>
            <w:pPr>
              <w:pStyle w:val="10"/>
            </w:pPr>
            <w:r>
              <w:rPr>
                <w:rFonts w:hint="eastAsia"/>
                <w:lang w:eastAsia="zh-CN"/>
              </w:rPr>
              <w:t>效果</w:t>
            </w:r>
            <w:r>
              <w:t>显著</w:t>
            </w:r>
          </w:p>
        </w:tc>
        <w:tc>
          <w:tcPr>
            <w:tcW w:w="1843" w:type="dxa"/>
            <w:vAlign w:val="center"/>
          </w:tcPr>
          <w:p>
            <w:pPr>
              <w:pStyle w:val="10"/>
            </w:pPr>
            <w:r>
              <w:t>历史标准和计划标准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实验室单位满意度</w:t>
            </w:r>
          </w:p>
        </w:tc>
        <w:tc>
          <w:tcPr>
            <w:tcW w:w="2891" w:type="dxa"/>
            <w:vAlign w:val="center"/>
          </w:tcPr>
          <w:p>
            <w:pPr>
              <w:pStyle w:val="10"/>
            </w:pPr>
            <w:r>
              <w:t>实验室单位满意度</w:t>
            </w:r>
          </w:p>
        </w:tc>
        <w:tc>
          <w:tcPr>
            <w:tcW w:w="1276" w:type="dxa"/>
            <w:vAlign w:val="center"/>
          </w:tcPr>
          <w:p>
            <w:pPr>
              <w:pStyle w:val="10"/>
            </w:pPr>
            <w:r>
              <w:t>≥90%</w:t>
            </w:r>
          </w:p>
        </w:tc>
        <w:tc>
          <w:tcPr>
            <w:tcW w:w="1843" w:type="dxa"/>
            <w:vAlign w:val="center"/>
          </w:tcPr>
          <w:p>
            <w:pPr>
              <w:pStyle w:val="10"/>
            </w:pPr>
            <w:r>
              <w:t>历史标准和计划标准</w:t>
            </w:r>
          </w:p>
        </w:tc>
      </w:tr>
    </w:tbl>
    <w:p>
      <w:pPr>
        <w:sectPr>
          <w:pgSz w:w="11900" w:h="16840"/>
          <w:pgMar w:top="1984" w:right="1304" w:bottom="1134" w:left="1304" w:header="720" w:footer="720" w:gutter="0"/>
          <w:pgNumType w:fmt="numberInDash"/>
          <w:cols w:space="720" w:num="1"/>
        </w:sectPr>
      </w:pPr>
    </w:p>
    <w:p>
      <w:pPr>
        <w:jc w:val="center"/>
      </w:pPr>
      <w:r>
        <w:rPr>
          <w:rFonts w:ascii="方正仿宋_GBK" w:hAnsi="方正仿宋_GBK" w:eastAsia="方正仿宋_GBK" w:cs="方正仿宋_GBK"/>
          <w:color w:val="000000"/>
          <w:sz w:val="28"/>
        </w:rPr>
        <w:t xml:space="preserve"> </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numPr>
                <w:ilvl w:val="0"/>
                <w:numId w:val="0"/>
              </w:numPr>
              <w:ind w:leftChars="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7.支持和引导高质量发展资金</w:t>
            </w:r>
          </w:p>
          <w:p>
            <w:pPr>
              <w:pStyle w:val="7"/>
            </w:pPr>
            <w:r>
              <w:t>601001青岛市发展和改革委员会本级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37020023P66002410008J</w:t>
            </w:r>
          </w:p>
        </w:tc>
        <w:tc>
          <w:tcPr>
            <w:tcW w:w="1587" w:type="dxa"/>
            <w:vAlign w:val="center"/>
          </w:tcPr>
          <w:p>
            <w:pPr>
              <w:pStyle w:val="9"/>
            </w:pPr>
            <w:r>
              <w:t>项目名称</w:t>
            </w:r>
          </w:p>
        </w:tc>
        <w:tc>
          <w:tcPr>
            <w:tcW w:w="4422" w:type="dxa"/>
            <w:gridSpan w:val="3"/>
            <w:vAlign w:val="center"/>
          </w:tcPr>
          <w:p>
            <w:pPr>
              <w:pStyle w:val="10"/>
            </w:pPr>
            <w:r>
              <w:t>青岛海上综合试验场（一期）项目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10000.00</w:t>
            </w:r>
          </w:p>
        </w:tc>
        <w:tc>
          <w:tcPr>
            <w:tcW w:w="1587" w:type="dxa"/>
            <w:vAlign w:val="center"/>
          </w:tcPr>
          <w:p>
            <w:pPr>
              <w:pStyle w:val="9"/>
            </w:pPr>
            <w:r>
              <w:t>其中：财政    资金</w:t>
            </w:r>
          </w:p>
        </w:tc>
        <w:tc>
          <w:tcPr>
            <w:tcW w:w="1304" w:type="dxa"/>
            <w:vAlign w:val="center"/>
          </w:tcPr>
          <w:p>
            <w:pPr>
              <w:pStyle w:val="10"/>
            </w:pPr>
            <w:r>
              <w:t>10000.00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建设试验测试系统、综合观测系统、指挥信息系统和保障支撑系统等4个系统，购置专业仪器设备及操作系统。</w:t>
            </w:r>
          </w:p>
          <w:p>
            <w:pPr>
              <w:pStyle w:val="10"/>
            </w:pPr>
            <w:r>
              <w:t>陆域建筑面积74368平方米，其中地上建筑面积共57169平方米。</w:t>
            </w:r>
          </w:p>
          <w:p>
            <w:pPr>
              <w:pStyle w:val="10"/>
            </w:pPr>
            <w:r>
              <w:t>完成建设投资112869.29万元，形成固定资产。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10000.00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建设试验测试系统、综合观测系统、指挥信息系统和保障支撑系统等4个系统，购置专业仪器设备及操作系统。</w:t>
            </w:r>
          </w:p>
          <w:p>
            <w:pPr>
              <w:pStyle w:val="10"/>
            </w:pPr>
            <w:r>
              <w:t>陆域建筑面积74368平方米，其中地上建筑面积共57169平方米。</w:t>
            </w:r>
          </w:p>
          <w:p>
            <w:pPr>
              <w:pStyle w:val="10"/>
            </w:pPr>
            <w:r>
              <w:t>完成建设投资112869.29万元，形成固定资产。</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rPr>
                <w:lang w:eastAsia="zh-CN"/>
              </w:rPr>
            </w:pPr>
            <w:r>
              <w:t>青岛海上综合试验场（一期）项目</w:t>
            </w:r>
            <w:r>
              <w:rPr>
                <w:rFonts w:hint="eastAsia"/>
                <w:lang w:eastAsia="zh-CN"/>
              </w:rPr>
              <w:t>成本控制数</w:t>
            </w:r>
          </w:p>
        </w:tc>
        <w:tc>
          <w:tcPr>
            <w:tcW w:w="2891" w:type="dxa"/>
            <w:vAlign w:val="center"/>
          </w:tcPr>
          <w:p>
            <w:pPr>
              <w:pStyle w:val="10"/>
            </w:pPr>
            <w:r>
              <w:t>青岛海上综合试验场（一期）项目扶持资金额度</w:t>
            </w:r>
          </w:p>
        </w:tc>
        <w:tc>
          <w:tcPr>
            <w:tcW w:w="1276" w:type="dxa"/>
            <w:vAlign w:val="center"/>
          </w:tcPr>
          <w:p>
            <w:pPr>
              <w:pStyle w:val="10"/>
            </w:pPr>
            <w:r>
              <w:t>≤10000万元</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陆域建筑面积</w:t>
            </w:r>
          </w:p>
        </w:tc>
        <w:tc>
          <w:tcPr>
            <w:tcW w:w="2891" w:type="dxa"/>
            <w:vAlign w:val="center"/>
          </w:tcPr>
          <w:p>
            <w:pPr>
              <w:pStyle w:val="10"/>
            </w:pPr>
            <w:r>
              <w:t>陆域建筑面积</w:t>
            </w:r>
          </w:p>
        </w:tc>
        <w:tc>
          <w:tcPr>
            <w:tcW w:w="1276" w:type="dxa"/>
            <w:vAlign w:val="center"/>
          </w:tcPr>
          <w:p>
            <w:pPr>
              <w:pStyle w:val="10"/>
            </w:pPr>
            <w:r>
              <w:t>74368平方米</w:t>
            </w:r>
          </w:p>
        </w:tc>
        <w:tc>
          <w:tcPr>
            <w:tcW w:w="1843" w:type="dxa"/>
            <w:vAlign w:val="center"/>
          </w:tcPr>
          <w:p>
            <w:pPr>
              <w:pStyle w:val="10"/>
              <w:rPr>
                <w:lang w:eastAsia="zh-CN"/>
              </w:rPr>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购置专业仪器设备</w:t>
            </w:r>
          </w:p>
        </w:tc>
        <w:tc>
          <w:tcPr>
            <w:tcW w:w="2891" w:type="dxa"/>
            <w:vAlign w:val="center"/>
          </w:tcPr>
          <w:p>
            <w:pPr>
              <w:pStyle w:val="10"/>
            </w:pPr>
            <w:r>
              <w:t>购置专业仪器设备</w:t>
            </w:r>
            <w:r>
              <w:rPr>
                <w:rFonts w:hint="eastAsia"/>
                <w:lang w:eastAsia="zh-CN"/>
              </w:rPr>
              <w:t>数量</w:t>
            </w:r>
          </w:p>
        </w:tc>
        <w:tc>
          <w:tcPr>
            <w:tcW w:w="1276" w:type="dxa"/>
            <w:vAlign w:val="center"/>
          </w:tcPr>
          <w:p>
            <w:pPr>
              <w:pStyle w:val="10"/>
            </w:pPr>
            <w:r>
              <w:t>≥450套</w:t>
            </w:r>
          </w:p>
        </w:tc>
        <w:tc>
          <w:tcPr>
            <w:tcW w:w="1843" w:type="dxa"/>
            <w:vAlign w:val="center"/>
          </w:tcPr>
          <w:p>
            <w:pPr>
              <w:pStyle w:val="10"/>
              <w:rPr>
                <w:lang w:eastAsia="zh-CN"/>
              </w:rPr>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租赁码头泊位</w:t>
            </w:r>
          </w:p>
        </w:tc>
        <w:tc>
          <w:tcPr>
            <w:tcW w:w="2891" w:type="dxa"/>
            <w:vAlign w:val="center"/>
          </w:tcPr>
          <w:p>
            <w:pPr>
              <w:pStyle w:val="10"/>
            </w:pPr>
            <w:r>
              <w:t>租赁码头泊位</w:t>
            </w:r>
          </w:p>
        </w:tc>
        <w:tc>
          <w:tcPr>
            <w:tcW w:w="1276" w:type="dxa"/>
            <w:vAlign w:val="center"/>
          </w:tcPr>
          <w:p>
            <w:pPr>
              <w:pStyle w:val="10"/>
            </w:pPr>
            <w:r>
              <w:t>1个</w:t>
            </w:r>
          </w:p>
        </w:tc>
        <w:tc>
          <w:tcPr>
            <w:tcW w:w="1843" w:type="dxa"/>
            <w:vAlign w:val="center"/>
          </w:tcPr>
          <w:p>
            <w:pPr>
              <w:pStyle w:val="10"/>
              <w:rPr>
                <w:lang w:eastAsia="zh-CN"/>
              </w:rPr>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租赁岸基用房</w:t>
            </w:r>
          </w:p>
        </w:tc>
        <w:tc>
          <w:tcPr>
            <w:tcW w:w="2891" w:type="dxa"/>
            <w:vAlign w:val="center"/>
          </w:tcPr>
          <w:p>
            <w:pPr>
              <w:pStyle w:val="10"/>
            </w:pPr>
            <w:r>
              <w:t>租赁岸基用房</w:t>
            </w:r>
          </w:p>
        </w:tc>
        <w:tc>
          <w:tcPr>
            <w:tcW w:w="1276" w:type="dxa"/>
            <w:vAlign w:val="center"/>
          </w:tcPr>
          <w:p>
            <w:pPr>
              <w:pStyle w:val="10"/>
            </w:pPr>
            <w:r>
              <w:t>≥950平方米</w:t>
            </w:r>
          </w:p>
        </w:tc>
        <w:tc>
          <w:tcPr>
            <w:tcW w:w="1843" w:type="dxa"/>
            <w:vAlign w:val="center"/>
          </w:tcPr>
          <w:p>
            <w:pPr>
              <w:pStyle w:val="10"/>
              <w:rPr>
                <w:lang w:eastAsia="zh-CN"/>
              </w:rPr>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rPr>
                <w:rFonts w:asciiTheme="minorHAnsi" w:hAnsiTheme="minorHAnsi"/>
                <w:lang w:val="uk-UA"/>
              </w:rPr>
            </w:pPr>
            <w:r>
              <w:rPr>
                <w:rFonts w:hint="eastAsia"/>
                <w:lang w:eastAsia="zh-CN"/>
              </w:rPr>
              <w:t>设备采购合格率</w:t>
            </w:r>
          </w:p>
        </w:tc>
        <w:tc>
          <w:tcPr>
            <w:tcW w:w="2891" w:type="dxa"/>
            <w:vAlign w:val="center"/>
          </w:tcPr>
          <w:p>
            <w:pPr>
              <w:pStyle w:val="10"/>
            </w:pPr>
            <w:r>
              <w:t>购置专业仪器设备</w:t>
            </w:r>
            <w:r>
              <w:rPr>
                <w:rFonts w:hint="eastAsia"/>
                <w:lang w:eastAsia="zh-CN"/>
              </w:rPr>
              <w:t>合格率</w:t>
            </w:r>
          </w:p>
        </w:tc>
        <w:tc>
          <w:tcPr>
            <w:tcW w:w="1276" w:type="dxa"/>
            <w:vAlign w:val="center"/>
          </w:tcPr>
          <w:p>
            <w:pPr>
              <w:pStyle w:val="10"/>
            </w:pPr>
            <w:r>
              <w:t>100%</w:t>
            </w:r>
          </w:p>
        </w:tc>
        <w:tc>
          <w:tcPr>
            <w:tcW w:w="1843" w:type="dxa"/>
            <w:vAlign w:val="center"/>
          </w:tcPr>
          <w:p>
            <w:pPr>
              <w:pStyle w:val="10"/>
              <w:rPr>
                <w:lang w:eastAsia="zh-CN"/>
              </w:rPr>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工程验收合格率</w:t>
            </w:r>
          </w:p>
        </w:tc>
        <w:tc>
          <w:tcPr>
            <w:tcW w:w="2891" w:type="dxa"/>
            <w:vAlign w:val="center"/>
          </w:tcPr>
          <w:p>
            <w:pPr>
              <w:pStyle w:val="10"/>
            </w:pPr>
            <w:r>
              <w:t>工程验收合格率</w:t>
            </w:r>
          </w:p>
        </w:tc>
        <w:tc>
          <w:tcPr>
            <w:tcW w:w="1276" w:type="dxa"/>
            <w:vAlign w:val="center"/>
          </w:tcPr>
          <w:p>
            <w:pPr>
              <w:pStyle w:val="10"/>
            </w:pPr>
            <w:r>
              <w:t>100%</w:t>
            </w:r>
          </w:p>
        </w:tc>
        <w:tc>
          <w:tcPr>
            <w:tcW w:w="1843" w:type="dxa"/>
            <w:vAlign w:val="center"/>
          </w:tcPr>
          <w:p>
            <w:pPr>
              <w:pStyle w:val="10"/>
              <w:rPr>
                <w:lang w:eastAsia="zh-CN"/>
              </w:rPr>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rPr>
                <w:rFonts w:asciiTheme="minorHAnsi" w:hAnsiTheme="minorHAnsi"/>
                <w:lang w:val="uk-UA"/>
              </w:rPr>
            </w:pPr>
            <w:r>
              <w:rPr>
                <w:rFonts w:hint="eastAsia"/>
                <w:lang w:eastAsia="zh-CN"/>
              </w:rPr>
              <w:t>项目完成及时率</w:t>
            </w:r>
          </w:p>
        </w:tc>
        <w:tc>
          <w:tcPr>
            <w:tcW w:w="2891" w:type="dxa"/>
            <w:vAlign w:val="center"/>
          </w:tcPr>
          <w:p>
            <w:pPr>
              <w:pStyle w:val="10"/>
            </w:pPr>
            <w:r>
              <w:rPr>
                <w:rFonts w:hint="eastAsia"/>
                <w:lang w:eastAsia="zh-CN"/>
              </w:rPr>
              <w:t>项目完成及时率</w:t>
            </w:r>
          </w:p>
        </w:tc>
        <w:tc>
          <w:tcPr>
            <w:tcW w:w="1276" w:type="dxa"/>
            <w:vAlign w:val="center"/>
          </w:tcPr>
          <w:p>
            <w:pPr>
              <w:pStyle w:val="10"/>
            </w:pPr>
            <w:r>
              <w:t>100</w:t>
            </w:r>
            <w:r>
              <w:rPr>
                <w:rFonts w:hint="eastAsia"/>
                <w:lang w:eastAsia="zh-CN"/>
              </w:rPr>
              <w:t>%</w:t>
            </w:r>
          </w:p>
        </w:tc>
        <w:tc>
          <w:tcPr>
            <w:tcW w:w="1843" w:type="dxa"/>
            <w:vAlign w:val="center"/>
          </w:tcPr>
          <w:p>
            <w:pPr>
              <w:pStyle w:val="10"/>
              <w:rPr>
                <w:lang w:eastAsia="zh-CN"/>
              </w:rPr>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rPr>
                <w:rFonts w:hint="eastAsia"/>
                <w:lang w:eastAsia="zh-CN"/>
              </w:rPr>
              <w:t>社会</w:t>
            </w:r>
            <w:r>
              <w:t>效益指标</w:t>
            </w:r>
          </w:p>
        </w:tc>
        <w:tc>
          <w:tcPr>
            <w:tcW w:w="1332" w:type="dxa"/>
            <w:vAlign w:val="center"/>
          </w:tcPr>
          <w:p>
            <w:pPr>
              <w:pStyle w:val="10"/>
            </w:pPr>
            <w:r>
              <w:t>形成专业系统</w:t>
            </w:r>
          </w:p>
        </w:tc>
        <w:tc>
          <w:tcPr>
            <w:tcW w:w="2891" w:type="dxa"/>
            <w:vAlign w:val="center"/>
          </w:tcPr>
          <w:p>
            <w:pPr>
              <w:pStyle w:val="10"/>
            </w:pPr>
            <w:r>
              <w:t>试验测试系统、综合观测系统、指挥信息系统和保障支撑系统</w:t>
            </w:r>
          </w:p>
        </w:tc>
        <w:tc>
          <w:tcPr>
            <w:tcW w:w="1276" w:type="dxa"/>
            <w:vAlign w:val="center"/>
          </w:tcPr>
          <w:p>
            <w:pPr>
              <w:pStyle w:val="10"/>
            </w:pPr>
            <w:r>
              <w:t>4个</w:t>
            </w:r>
          </w:p>
        </w:tc>
        <w:tc>
          <w:tcPr>
            <w:tcW w:w="1843" w:type="dxa"/>
            <w:vAlign w:val="center"/>
          </w:tcPr>
          <w:p>
            <w:pPr>
              <w:pStyle w:val="10"/>
              <w:rPr>
                <w:lang w:eastAsia="zh-CN"/>
              </w:rPr>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相关单位对项目的满意程度</w:t>
            </w:r>
          </w:p>
        </w:tc>
        <w:tc>
          <w:tcPr>
            <w:tcW w:w="2891" w:type="dxa"/>
            <w:vAlign w:val="center"/>
          </w:tcPr>
          <w:p>
            <w:pPr>
              <w:pStyle w:val="10"/>
            </w:pPr>
            <w:r>
              <w:t>相关单位对项目建设满意率</w:t>
            </w:r>
          </w:p>
        </w:tc>
        <w:tc>
          <w:tcPr>
            <w:tcW w:w="1276" w:type="dxa"/>
            <w:vAlign w:val="center"/>
          </w:tcPr>
          <w:p>
            <w:pPr>
              <w:pStyle w:val="10"/>
            </w:pPr>
            <w:r>
              <w:t>≥90%</w:t>
            </w:r>
          </w:p>
        </w:tc>
        <w:tc>
          <w:tcPr>
            <w:tcW w:w="1843" w:type="dxa"/>
            <w:vAlign w:val="center"/>
          </w:tcPr>
          <w:p>
            <w:pPr>
              <w:pStyle w:val="10"/>
            </w:pPr>
            <w:r>
              <w:t>项目进展情况</w:t>
            </w:r>
          </w:p>
        </w:tc>
      </w:tr>
    </w:tbl>
    <w:p>
      <w:pPr>
        <w:sectPr>
          <w:pgSz w:w="11900" w:h="16840"/>
          <w:pgMar w:top="1984" w:right="1304" w:bottom="1134" w:left="1304" w:header="720" w:footer="720" w:gutter="0"/>
          <w:pgNumType w:fmt="numberInDash"/>
          <w:cols w:space="720" w:num="1"/>
        </w:sect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921001青岛市人民政府国有资产监督管理委员会</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37020023P190019100080</w:t>
            </w:r>
          </w:p>
        </w:tc>
        <w:tc>
          <w:tcPr>
            <w:tcW w:w="1587" w:type="dxa"/>
            <w:vAlign w:val="center"/>
          </w:tcPr>
          <w:p>
            <w:pPr>
              <w:pStyle w:val="9"/>
            </w:pPr>
            <w:r>
              <w:t>项目名称</w:t>
            </w:r>
          </w:p>
        </w:tc>
        <w:tc>
          <w:tcPr>
            <w:tcW w:w="4422" w:type="dxa"/>
            <w:gridSpan w:val="3"/>
            <w:vAlign w:val="center"/>
          </w:tcPr>
          <w:p>
            <w:pPr>
              <w:pStyle w:val="10"/>
            </w:pPr>
            <w:r>
              <w:t>智慧渔业大型养殖工船项目（2-3、2-4、2-5、3-1船）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8500.00</w:t>
            </w:r>
          </w:p>
        </w:tc>
        <w:tc>
          <w:tcPr>
            <w:tcW w:w="1587" w:type="dxa"/>
            <w:vAlign w:val="center"/>
          </w:tcPr>
          <w:p>
            <w:pPr>
              <w:pStyle w:val="9"/>
            </w:pPr>
            <w:r>
              <w:t>其中：财政    资金</w:t>
            </w:r>
          </w:p>
        </w:tc>
        <w:tc>
          <w:tcPr>
            <w:tcW w:w="1304" w:type="dxa"/>
            <w:vAlign w:val="center"/>
          </w:tcPr>
          <w:p>
            <w:pPr>
              <w:pStyle w:val="10"/>
            </w:pPr>
            <w:r>
              <w:t>8500.00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智慧渔业大型养殖工船项目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8500.00</w:t>
            </w:r>
          </w:p>
        </w:tc>
        <w:tc>
          <w:tcPr>
            <w:tcW w:w="3118" w:type="dxa"/>
            <w:gridSpan w:val="2"/>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通过智慧渔业大型养殖工船项目完成工船建造提升渔业养殖。</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 xml:space="preserve">智慧渔业大型养殖工船项目预算控制数 </w:t>
            </w:r>
          </w:p>
        </w:tc>
        <w:tc>
          <w:tcPr>
            <w:tcW w:w="2891" w:type="dxa"/>
            <w:vAlign w:val="center"/>
          </w:tcPr>
          <w:p>
            <w:pPr>
              <w:pStyle w:val="10"/>
            </w:pPr>
            <w:r>
              <w:t xml:space="preserve">智慧渔业大型养殖工船项目预算控制数 </w:t>
            </w:r>
          </w:p>
        </w:tc>
        <w:tc>
          <w:tcPr>
            <w:tcW w:w="1276" w:type="dxa"/>
            <w:vAlign w:val="center"/>
          </w:tcPr>
          <w:p>
            <w:pPr>
              <w:pStyle w:val="10"/>
            </w:pPr>
            <w:r>
              <w:t>≤8500万元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购置设备数量</w:t>
            </w:r>
          </w:p>
        </w:tc>
        <w:tc>
          <w:tcPr>
            <w:tcW w:w="2891" w:type="dxa"/>
            <w:vAlign w:val="center"/>
          </w:tcPr>
          <w:p>
            <w:pPr>
              <w:pStyle w:val="10"/>
            </w:pPr>
            <w:r>
              <w:t>购置设备数量</w:t>
            </w:r>
          </w:p>
        </w:tc>
        <w:tc>
          <w:tcPr>
            <w:tcW w:w="1276" w:type="dxa"/>
            <w:vAlign w:val="center"/>
          </w:tcPr>
          <w:p>
            <w:pPr>
              <w:pStyle w:val="10"/>
            </w:pPr>
            <w:r>
              <w:t>4艘</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完成设计图纸数量</w:t>
            </w:r>
          </w:p>
        </w:tc>
        <w:tc>
          <w:tcPr>
            <w:tcW w:w="2891" w:type="dxa"/>
            <w:vAlign w:val="center"/>
          </w:tcPr>
          <w:p>
            <w:pPr>
              <w:pStyle w:val="10"/>
            </w:pPr>
            <w:r>
              <w:t>项目实际完成图纸数量</w:t>
            </w:r>
          </w:p>
        </w:tc>
        <w:tc>
          <w:tcPr>
            <w:tcW w:w="1276" w:type="dxa"/>
            <w:vAlign w:val="center"/>
          </w:tcPr>
          <w:p>
            <w:pPr>
              <w:pStyle w:val="10"/>
            </w:pPr>
            <w:r>
              <w:t>4套</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工船建造完成率</w:t>
            </w:r>
          </w:p>
        </w:tc>
        <w:tc>
          <w:tcPr>
            <w:tcW w:w="2891" w:type="dxa"/>
            <w:vAlign w:val="center"/>
          </w:tcPr>
          <w:p>
            <w:pPr>
              <w:pStyle w:val="10"/>
            </w:pPr>
            <w:r>
              <w:t>反映工船建造完成情况</w:t>
            </w:r>
          </w:p>
        </w:tc>
        <w:tc>
          <w:tcPr>
            <w:tcW w:w="1276" w:type="dxa"/>
            <w:vAlign w:val="center"/>
          </w:tcPr>
          <w:p>
            <w:pPr>
              <w:pStyle w:val="10"/>
            </w:pPr>
            <w:r>
              <w:t>≥70%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图纸验收合格率</w:t>
            </w:r>
          </w:p>
        </w:tc>
        <w:tc>
          <w:tcPr>
            <w:tcW w:w="2891" w:type="dxa"/>
            <w:vAlign w:val="center"/>
          </w:tcPr>
          <w:p>
            <w:pPr>
              <w:pStyle w:val="10"/>
            </w:pPr>
            <w:r>
              <w:t>反映图纸验收情况</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rPr>
                <w:lang w:eastAsia="zh-CN"/>
              </w:rPr>
            </w:pPr>
            <w:r>
              <w:t>智慧渔业大型养殖工船项目</w:t>
            </w:r>
            <w:r>
              <w:rPr>
                <w:rFonts w:hint="eastAsia"/>
                <w:lang w:eastAsia="zh-CN"/>
              </w:rPr>
              <w:t>完成及时率</w:t>
            </w:r>
          </w:p>
        </w:tc>
        <w:tc>
          <w:tcPr>
            <w:tcW w:w="2891" w:type="dxa"/>
            <w:vAlign w:val="center"/>
          </w:tcPr>
          <w:p>
            <w:pPr>
              <w:pStyle w:val="10"/>
            </w:pPr>
            <w:r>
              <w:t>智慧渔业大型养殖工船项目</w:t>
            </w:r>
            <w:r>
              <w:rPr>
                <w:rFonts w:hint="eastAsia"/>
                <w:lang w:eastAsia="zh-CN"/>
              </w:rPr>
              <w:t>完成及时率</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提升渔业养殖</w:t>
            </w:r>
          </w:p>
        </w:tc>
        <w:tc>
          <w:tcPr>
            <w:tcW w:w="2891" w:type="dxa"/>
            <w:vAlign w:val="center"/>
          </w:tcPr>
          <w:p>
            <w:pPr>
              <w:pStyle w:val="10"/>
            </w:pPr>
            <w:r>
              <w:t>通过工船建造实现提升渔业养殖的效果</w:t>
            </w:r>
          </w:p>
        </w:tc>
        <w:tc>
          <w:tcPr>
            <w:tcW w:w="1276" w:type="dxa"/>
            <w:vAlign w:val="center"/>
          </w:tcPr>
          <w:p>
            <w:pPr>
              <w:pStyle w:val="10"/>
            </w:pPr>
            <w:r>
              <w:t>有效提升</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使用人员满意率</w:t>
            </w:r>
          </w:p>
        </w:tc>
        <w:tc>
          <w:tcPr>
            <w:tcW w:w="2891" w:type="dxa"/>
            <w:vAlign w:val="center"/>
          </w:tcPr>
          <w:p>
            <w:pPr>
              <w:pStyle w:val="10"/>
            </w:pPr>
            <w:r>
              <w:t>使用人员的满意情况</w:t>
            </w:r>
          </w:p>
        </w:tc>
        <w:tc>
          <w:tcPr>
            <w:tcW w:w="1276" w:type="dxa"/>
            <w:vAlign w:val="center"/>
          </w:tcPr>
          <w:p>
            <w:pPr>
              <w:pStyle w:val="10"/>
            </w:pPr>
            <w:r>
              <w:t>≥95%</w:t>
            </w:r>
          </w:p>
        </w:tc>
        <w:tc>
          <w:tcPr>
            <w:tcW w:w="1843" w:type="dxa"/>
            <w:vAlign w:val="center"/>
          </w:tcPr>
          <w:p>
            <w:pPr>
              <w:pStyle w:val="10"/>
            </w:pPr>
            <w:r>
              <w:t>计划标准</w:t>
            </w:r>
          </w:p>
        </w:tc>
      </w:tr>
    </w:tbl>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outlineLvl w:val="3"/>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921001青岛市人民政府国有资产监督管理委员会</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37020023P19001910011J</w:t>
            </w:r>
          </w:p>
        </w:tc>
        <w:tc>
          <w:tcPr>
            <w:tcW w:w="1587" w:type="dxa"/>
            <w:vAlign w:val="center"/>
          </w:tcPr>
          <w:p>
            <w:pPr>
              <w:pStyle w:val="9"/>
            </w:pPr>
            <w:r>
              <w:t>项目名称</w:t>
            </w:r>
          </w:p>
        </w:tc>
        <w:tc>
          <w:tcPr>
            <w:tcW w:w="4422" w:type="dxa"/>
            <w:gridSpan w:val="3"/>
            <w:vAlign w:val="center"/>
          </w:tcPr>
          <w:p>
            <w:pPr>
              <w:pStyle w:val="10"/>
            </w:pPr>
            <w:r>
              <w:t>青岛国药蓝色医谷项目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1000.00</w:t>
            </w:r>
          </w:p>
        </w:tc>
        <w:tc>
          <w:tcPr>
            <w:tcW w:w="1587" w:type="dxa"/>
            <w:vAlign w:val="center"/>
          </w:tcPr>
          <w:p>
            <w:pPr>
              <w:pStyle w:val="9"/>
            </w:pPr>
            <w:r>
              <w:t>其中：财政    资金</w:t>
            </w:r>
          </w:p>
        </w:tc>
        <w:tc>
          <w:tcPr>
            <w:tcW w:w="1304" w:type="dxa"/>
            <w:vAlign w:val="center"/>
          </w:tcPr>
          <w:p>
            <w:pPr>
              <w:pStyle w:val="10"/>
            </w:pPr>
            <w:r>
              <w:t>1000.00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青岛国药蓝色医谷项目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1000.00</w:t>
            </w:r>
          </w:p>
        </w:tc>
        <w:tc>
          <w:tcPr>
            <w:tcW w:w="3118" w:type="dxa"/>
            <w:gridSpan w:val="2"/>
            <w:vAlign w:val="center"/>
          </w:tcPr>
          <w:p>
            <w:pPr>
              <w:pStyle w:val="11"/>
            </w:pPr>
            <w:r>
              <w:t xml:space="preserve">1000.00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建设青岛国药蓝色医谷，推动当地医药产业发展。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 xml:space="preserve">青岛国药蓝色医谷项目预算控制数 </w:t>
            </w:r>
          </w:p>
        </w:tc>
        <w:tc>
          <w:tcPr>
            <w:tcW w:w="2891" w:type="dxa"/>
            <w:vAlign w:val="center"/>
          </w:tcPr>
          <w:p>
            <w:pPr>
              <w:pStyle w:val="10"/>
            </w:pPr>
            <w:r>
              <w:t xml:space="preserve">年度预算控制数 </w:t>
            </w:r>
          </w:p>
        </w:tc>
        <w:tc>
          <w:tcPr>
            <w:tcW w:w="1276" w:type="dxa"/>
            <w:vAlign w:val="center"/>
          </w:tcPr>
          <w:p>
            <w:pPr>
              <w:pStyle w:val="10"/>
            </w:pPr>
            <w:r>
              <w:t>≤1000万元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在建项目数</w:t>
            </w:r>
          </w:p>
        </w:tc>
        <w:tc>
          <w:tcPr>
            <w:tcW w:w="2891" w:type="dxa"/>
            <w:vAlign w:val="center"/>
          </w:tcPr>
          <w:p>
            <w:pPr>
              <w:pStyle w:val="10"/>
            </w:pPr>
            <w:r>
              <w:t>在建项目数</w:t>
            </w:r>
          </w:p>
        </w:tc>
        <w:tc>
          <w:tcPr>
            <w:tcW w:w="1276" w:type="dxa"/>
            <w:vAlign w:val="center"/>
          </w:tcPr>
          <w:p>
            <w:pPr>
              <w:pStyle w:val="10"/>
            </w:pPr>
            <w:r>
              <w:t>≥1个</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青岛国药蓝色医谷项目完成率</w:t>
            </w:r>
          </w:p>
        </w:tc>
        <w:tc>
          <w:tcPr>
            <w:tcW w:w="2891" w:type="dxa"/>
            <w:vAlign w:val="center"/>
          </w:tcPr>
          <w:p>
            <w:pPr>
              <w:pStyle w:val="10"/>
            </w:pPr>
            <w:r>
              <w:t>实际完成率</w:t>
            </w:r>
          </w:p>
        </w:tc>
        <w:tc>
          <w:tcPr>
            <w:tcW w:w="1276" w:type="dxa"/>
            <w:vAlign w:val="center"/>
          </w:tcPr>
          <w:p>
            <w:pPr>
              <w:pStyle w:val="10"/>
            </w:pPr>
            <w:r>
              <w:t>≥95%</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采购物资合格率</w:t>
            </w:r>
          </w:p>
        </w:tc>
        <w:tc>
          <w:tcPr>
            <w:tcW w:w="2891" w:type="dxa"/>
            <w:vAlign w:val="center"/>
          </w:tcPr>
          <w:p>
            <w:pPr>
              <w:pStyle w:val="10"/>
            </w:pPr>
            <w:r>
              <w:t>采购物资合格率</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项目验收通过率</w:t>
            </w:r>
          </w:p>
        </w:tc>
        <w:tc>
          <w:tcPr>
            <w:tcW w:w="2891" w:type="dxa"/>
            <w:vAlign w:val="center"/>
          </w:tcPr>
          <w:p>
            <w:pPr>
              <w:pStyle w:val="10"/>
            </w:pPr>
            <w:r>
              <w:t>项目验收通过率</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rPr>
                <w:lang w:eastAsia="zh-CN"/>
              </w:rPr>
            </w:pPr>
            <w:r>
              <w:t>青岛国药蓝色医谷项目</w:t>
            </w:r>
            <w:r>
              <w:rPr>
                <w:rFonts w:hint="eastAsia"/>
                <w:lang w:eastAsia="zh-CN"/>
              </w:rPr>
              <w:t>完成及时率</w:t>
            </w:r>
          </w:p>
        </w:tc>
        <w:tc>
          <w:tcPr>
            <w:tcW w:w="2891" w:type="dxa"/>
            <w:vAlign w:val="center"/>
          </w:tcPr>
          <w:p>
            <w:pPr>
              <w:pStyle w:val="10"/>
            </w:pPr>
            <w:r>
              <w:t>按时间进度完成任务</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带动就业人数</w:t>
            </w:r>
          </w:p>
        </w:tc>
        <w:tc>
          <w:tcPr>
            <w:tcW w:w="2891" w:type="dxa"/>
            <w:vAlign w:val="center"/>
          </w:tcPr>
          <w:p>
            <w:pPr>
              <w:pStyle w:val="10"/>
            </w:pPr>
            <w:r>
              <w:t>带动就业人数</w:t>
            </w:r>
          </w:p>
        </w:tc>
        <w:tc>
          <w:tcPr>
            <w:tcW w:w="1276" w:type="dxa"/>
            <w:vAlign w:val="center"/>
          </w:tcPr>
          <w:p>
            <w:pPr>
              <w:pStyle w:val="10"/>
            </w:pPr>
            <w:r>
              <w:t>≥50人</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rPr>
                <w:rFonts w:hint="eastAsia"/>
                <w:lang w:eastAsia="zh-CN"/>
              </w:rPr>
              <w:t>社会群众</w:t>
            </w:r>
            <w:r>
              <w:t>满意率</w:t>
            </w:r>
          </w:p>
        </w:tc>
        <w:tc>
          <w:tcPr>
            <w:tcW w:w="2891" w:type="dxa"/>
            <w:vAlign w:val="center"/>
          </w:tcPr>
          <w:p>
            <w:pPr>
              <w:pStyle w:val="10"/>
            </w:pPr>
            <w:r>
              <w:t>服务对象满意程度</w:t>
            </w:r>
          </w:p>
        </w:tc>
        <w:tc>
          <w:tcPr>
            <w:tcW w:w="1276" w:type="dxa"/>
            <w:vAlign w:val="center"/>
          </w:tcPr>
          <w:p>
            <w:pPr>
              <w:pStyle w:val="10"/>
            </w:pPr>
            <w:r>
              <w:t>≥95%</w:t>
            </w:r>
          </w:p>
        </w:tc>
        <w:tc>
          <w:tcPr>
            <w:tcW w:w="1843" w:type="dxa"/>
            <w:vAlign w:val="center"/>
          </w:tcPr>
          <w:p>
            <w:pPr>
              <w:pStyle w:val="10"/>
            </w:pPr>
            <w:r>
              <w:t>计划标准</w:t>
            </w:r>
          </w:p>
        </w:tc>
      </w:tr>
    </w:tbl>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505001青岛市大数据发展管理局本级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37020023P13000410176C</w:t>
            </w:r>
          </w:p>
        </w:tc>
        <w:tc>
          <w:tcPr>
            <w:tcW w:w="1587" w:type="dxa"/>
            <w:vAlign w:val="center"/>
          </w:tcPr>
          <w:p>
            <w:pPr>
              <w:pStyle w:val="9"/>
            </w:pPr>
            <w:r>
              <w:t>项目名称</w:t>
            </w:r>
          </w:p>
        </w:tc>
        <w:tc>
          <w:tcPr>
            <w:tcW w:w="4422" w:type="dxa"/>
            <w:gridSpan w:val="3"/>
            <w:vAlign w:val="center"/>
          </w:tcPr>
          <w:p>
            <w:pPr>
              <w:pStyle w:val="10"/>
            </w:pPr>
            <w:r>
              <w:t>政务云服务项目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5141.80</w:t>
            </w:r>
          </w:p>
        </w:tc>
        <w:tc>
          <w:tcPr>
            <w:tcW w:w="1587" w:type="dxa"/>
            <w:vAlign w:val="center"/>
          </w:tcPr>
          <w:p>
            <w:pPr>
              <w:pStyle w:val="9"/>
            </w:pPr>
            <w:r>
              <w:t>其中：财政    资金</w:t>
            </w:r>
          </w:p>
        </w:tc>
        <w:tc>
          <w:tcPr>
            <w:tcW w:w="1304" w:type="dxa"/>
            <w:vAlign w:val="center"/>
          </w:tcPr>
          <w:p>
            <w:pPr>
              <w:pStyle w:val="10"/>
            </w:pPr>
            <w:r>
              <w:t>5141.80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保障政务云上的政务信息化系统稳定运转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1725.00</w:t>
            </w:r>
          </w:p>
        </w:tc>
        <w:tc>
          <w:tcPr>
            <w:tcW w:w="1587" w:type="dxa"/>
            <w:vAlign w:val="center"/>
          </w:tcPr>
          <w:p>
            <w:pPr>
              <w:pStyle w:val="11"/>
            </w:pPr>
            <w:r>
              <w:t>2925.00</w:t>
            </w:r>
          </w:p>
        </w:tc>
        <w:tc>
          <w:tcPr>
            <w:tcW w:w="1304" w:type="dxa"/>
            <w:vAlign w:val="center"/>
          </w:tcPr>
          <w:p>
            <w:pPr>
              <w:pStyle w:val="11"/>
            </w:pPr>
            <w:r>
              <w:t>5141.80</w:t>
            </w:r>
          </w:p>
        </w:tc>
        <w:tc>
          <w:tcPr>
            <w:tcW w:w="3118" w:type="dxa"/>
            <w:gridSpan w:val="2"/>
            <w:vAlign w:val="center"/>
          </w:tcPr>
          <w:p>
            <w:pPr>
              <w:pStyle w:val="11"/>
            </w:pPr>
            <w:r>
              <w:t>5141.80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通过采购政务云服务，保障政务信息化系统稳定运转</w:t>
            </w:r>
            <w:r>
              <w:rPr>
                <w:rFonts w:hint="eastAsia"/>
                <w:lang w:eastAsia="zh-CN"/>
              </w:rPr>
              <w:t>。</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云服务项目运维预算控制数</w:t>
            </w:r>
          </w:p>
        </w:tc>
        <w:tc>
          <w:tcPr>
            <w:tcW w:w="2891" w:type="dxa"/>
            <w:vAlign w:val="center"/>
          </w:tcPr>
          <w:p>
            <w:pPr>
              <w:pStyle w:val="10"/>
            </w:pPr>
            <w:r>
              <w:t>政务云服务项目运维预算控制数</w:t>
            </w:r>
          </w:p>
        </w:tc>
        <w:tc>
          <w:tcPr>
            <w:tcW w:w="1276" w:type="dxa"/>
            <w:vAlign w:val="center"/>
          </w:tcPr>
          <w:p>
            <w:pPr>
              <w:pStyle w:val="10"/>
            </w:pPr>
            <w:r>
              <w:t>≤5141.8万元</w:t>
            </w:r>
          </w:p>
        </w:tc>
        <w:tc>
          <w:tcPr>
            <w:tcW w:w="1843" w:type="dxa"/>
            <w:vAlign w:val="center"/>
          </w:tcPr>
          <w:p>
            <w:pPr>
              <w:pStyle w:val="10"/>
            </w:pPr>
            <w:r>
              <w:t>历史指标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出具政务云评估联系单数量</w:t>
            </w:r>
          </w:p>
        </w:tc>
        <w:tc>
          <w:tcPr>
            <w:tcW w:w="2891" w:type="dxa"/>
            <w:vAlign w:val="center"/>
          </w:tcPr>
          <w:p>
            <w:pPr>
              <w:pStyle w:val="10"/>
            </w:pPr>
            <w:r>
              <w:t>考核政务云评估情况</w:t>
            </w:r>
          </w:p>
        </w:tc>
        <w:tc>
          <w:tcPr>
            <w:tcW w:w="1276" w:type="dxa"/>
            <w:vAlign w:val="center"/>
          </w:tcPr>
          <w:p>
            <w:pPr>
              <w:pStyle w:val="10"/>
            </w:pPr>
            <w:r>
              <w:t>≥500个</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云主机采购数</w:t>
            </w:r>
          </w:p>
        </w:tc>
        <w:tc>
          <w:tcPr>
            <w:tcW w:w="2891" w:type="dxa"/>
            <w:vAlign w:val="center"/>
          </w:tcPr>
          <w:p>
            <w:pPr>
              <w:pStyle w:val="10"/>
            </w:pPr>
            <w:r>
              <w:t>考核云虚拟机使用数量</w:t>
            </w:r>
          </w:p>
        </w:tc>
        <w:tc>
          <w:tcPr>
            <w:tcW w:w="1276" w:type="dxa"/>
            <w:vAlign w:val="center"/>
          </w:tcPr>
          <w:p>
            <w:pPr>
              <w:pStyle w:val="10"/>
            </w:pPr>
            <w:r>
              <w:t>≥3200台</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rPr>
                <w:lang w:eastAsia="zh-CN"/>
              </w:rPr>
            </w:pPr>
            <w:r>
              <w:t>云主机采购</w:t>
            </w:r>
            <w:r>
              <w:rPr>
                <w:rFonts w:hint="eastAsia"/>
                <w:lang w:eastAsia="zh-CN"/>
              </w:rPr>
              <w:t>质量合格率</w:t>
            </w:r>
          </w:p>
        </w:tc>
        <w:tc>
          <w:tcPr>
            <w:tcW w:w="2891" w:type="dxa"/>
            <w:vAlign w:val="center"/>
          </w:tcPr>
          <w:p>
            <w:pPr>
              <w:pStyle w:val="10"/>
            </w:pPr>
            <w:r>
              <w:t>云主机采购</w:t>
            </w:r>
            <w:r>
              <w:rPr>
                <w:rFonts w:hint="eastAsia"/>
                <w:lang w:eastAsia="zh-CN"/>
              </w:rPr>
              <w:t>质量合格情况</w:t>
            </w:r>
          </w:p>
        </w:tc>
        <w:tc>
          <w:tcPr>
            <w:tcW w:w="1276" w:type="dxa"/>
            <w:vAlign w:val="center"/>
          </w:tcPr>
          <w:p>
            <w:pPr>
              <w:pStyle w:val="10"/>
            </w:pPr>
            <w:r>
              <w:t>≥95%</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云资源可用率</w:t>
            </w:r>
          </w:p>
        </w:tc>
        <w:tc>
          <w:tcPr>
            <w:tcW w:w="2891" w:type="dxa"/>
            <w:vAlign w:val="center"/>
          </w:tcPr>
          <w:p>
            <w:pPr>
              <w:pStyle w:val="10"/>
            </w:pPr>
            <w:r>
              <w:t>云资源正常运行率</w:t>
            </w:r>
          </w:p>
        </w:tc>
        <w:tc>
          <w:tcPr>
            <w:tcW w:w="1276" w:type="dxa"/>
            <w:vAlign w:val="center"/>
          </w:tcPr>
          <w:p>
            <w:pPr>
              <w:pStyle w:val="10"/>
            </w:pPr>
            <w:r>
              <w:t>≥99.9%</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系统故障修复响应时间</w:t>
            </w:r>
          </w:p>
        </w:tc>
        <w:tc>
          <w:tcPr>
            <w:tcW w:w="2891" w:type="dxa"/>
            <w:vAlign w:val="center"/>
          </w:tcPr>
          <w:p>
            <w:pPr>
              <w:pStyle w:val="10"/>
            </w:pPr>
            <w:r>
              <w:t>系统故障修复响应时间</w:t>
            </w:r>
          </w:p>
        </w:tc>
        <w:tc>
          <w:tcPr>
            <w:tcW w:w="1276" w:type="dxa"/>
            <w:vAlign w:val="center"/>
          </w:tcPr>
          <w:p>
            <w:pPr>
              <w:pStyle w:val="10"/>
            </w:pPr>
            <w:r>
              <w:t>≤4小时</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云平台安全</w:t>
            </w:r>
            <w:r>
              <w:rPr>
                <w:rFonts w:hint="eastAsia"/>
                <w:lang w:eastAsia="zh-CN"/>
              </w:rPr>
              <w:t>运行</w:t>
            </w:r>
            <w:r>
              <w:t>率</w:t>
            </w:r>
          </w:p>
        </w:tc>
        <w:tc>
          <w:tcPr>
            <w:tcW w:w="2891" w:type="dxa"/>
            <w:vAlign w:val="center"/>
          </w:tcPr>
          <w:p>
            <w:pPr>
              <w:pStyle w:val="10"/>
              <w:rPr>
                <w:lang w:eastAsia="zh-CN"/>
              </w:rPr>
            </w:pPr>
            <w:r>
              <w:t>政务云安全运行</w:t>
            </w:r>
            <w:r>
              <w:rPr>
                <w:rFonts w:hint="eastAsia"/>
                <w:lang w:eastAsia="zh-CN"/>
              </w:rPr>
              <w:t>情况</w:t>
            </w:r>
          </w:p>
        </w:tc>
        <w:tc>
          <w:tcPr>
            <w:tcW w:w="1276" w:type="dxa"/>
            <w:vAlign w:val="center"/>
          </w:tcPr>
          <w:p>
            <w:pPr>
              <w:pStyle w:val="10"/>
            </w:pPr>
            <w:r>
              <w:t>100%</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服务对象满意度指标</w:t>
            </w:r>
          </w:p>
        </w:tc>
        <w:tc>
          <w:tcPr>
            <w:tcW w:w="2891" w:type="dxa"/>
            <w:vAlign w:val="center"/>
          </w:tcPr>
          <w:p>
            <w:pPr>
              <w:pStyle w:val="10"/>
            </w:pPr>
            <w:r>
              <w:t>使用部门满意度</w:t>
            </w:r>
          </w:p>
        </w:tc>
        <w:tc>
          <w:tcPr>
            <w:tcW w:w="1276" w:type="dxa"/>
            <w:vAlign w:val="center"/>
          </w:tcPr>
          <w:p>
            <w:pPr>
              <w:pStyle w:val="10"/>
            </w:pPr>
            <w:r>
              <w:t>≥95%</w:t>
            </w:r>
          </w:p>
        </w:tc>
        <w:tc>
          <w:tcPr>
            <w:tcW w:w="1843" w:type="dxa"/>
            <w:vAlign w:val="center"/>
          </w:tcPr>
          <w:p>
            <w:pPr>
              <w:pStyle w:val="10"/>
            </w:pPr>
            <w:r>
              <w:t>历史标准</w:t>
            </w:r>
          </w:p>
        </w:tc>
      </w:tr>
    </w:tbl>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8.国有企业发展改革资金</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921001青岛市人民政府国有资产监督管理委员会</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37020023P190019100126</w:t>
            </w:r>
          </w:p>
        </w:tc>
        <w:tc>
          <w:tcPr>
            <w:tcW w:w="1587" w:type="dxa"/>
            <w:vAlign w:val="center"/>
          </w:tcPr>
          <w:p>
            <w:pPr>
              <w:pStyle w:val="9"/>
            </w:pPr>
            <w:r>
              <w:t>项目名称</w:t>
            </w:r>
          </w:p>
        </w:tc>
        <w:tc>
          <w:tcPr>
            <w:tcW w:w="4422" w:type="dxa"/>
            <w:gridSpan w:val="3"/>
            <w:vAlign w:val="center"/>
          </w:tcPr>
          <w:p>
            <w:pPr>
              <w:pStyle w:val="10"/>
            </w:pPr>
            <w:r>
              <w:t>澳柯玛LNG冷能利用项目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2000.00</w:t>
            </w:r>
          </w:p>
        </w:tc>
        <w:tc>
          <w:tcPr>
            <w:tcW w:w="1587" w:type="dxa"/>
            <w:vAlign w:val="center"/>
          </w:tcPr>
          <w:p>
            <w:pPr>
              <w:pStyle w:val="9"/>
            </w:pPr>
            <w:r>
              <w:t>其中：财政    资金</w:t>
            </w:r>
          </w:p>
        </w:tc>
        <w:tc>
          <w:tcPr>
            <w:tcW w:w="1304" w:type="dxa"/>
            <w:vAlign w:val="center"/>
          </w:tcPr>
          <w:p>
            <w:pPr>
              <w:pStyle w:val="10"/>
            </w:pPr>
            <w:r>
              <w:t>2000.00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国有企业资本金注入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2000.00</w:t>
            </w:r>
          </w:p>
        </w:tc>
        <w:tc>
          <w:tcPr>
            <w:tcW w:w="3118" w:type="dxa"/>
            <w:gridSpan w:val="2"/>
            <w:vAlign w:val="center"/>
          </w:tcPr>
          <w:p>
            <w:pPr>
              <w:pStyle w:val="11"/>
            </w:pPr>
            <w:r>
              <w:t xml:space="preserve">2000.00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通过将资本金注入澳柯玛LNG冷能利用项目，提升产品质量，实现年度利润增加</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澳柯玛LNG冷能利用项目预算控制数</w:t>
            </w:r>
          </w:p>
        </w:tc>
        <w:tc>
          <w:tcPr>
            <w:tcW w:w="2891" w:type="dxa"/>
            <w:vAlign w:val="center"/>
          </w:tcPr>
          <w:p>
            <w:pPr>
              <w:pStyle w:val="10"/>
            </w:pPr>
            <w:r>
              <w:t>年度预算控制数</w:t>
            </w:r>
          </w:p>
        </w:tc>
        <w:tc>
          <w:tcPr>
            <w:tcW w:w="1276" w:type="dxa"/>
            <w:vAlign w:val="center"/>
          </w:tcPr>
          <w:p>
            <w:pPr>
              <w:pStyle w:val="10"/>
            </w:pPr>
            <w:r>
              <w:t>≤2000万元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建设项目数</w:t>
            </w:r>
          </w:p>
        </w:tc>
        <w:tc>
          <w:tcPr>
            <w:tcW w:w="2891" w:type="dxa"/>
            <w:vAlign w:val="center"/>
          </w:tcPr>
          <w:p>
            <w:pPr>
              <w:pStyle w:val="10"/>
            </w:pPr>
            <w:r>
              <w:t>建设项目数</w:t>
            </w:r>
          </w:p>
        </w:tc>
        <w:tc>
          <w:tcPr>
            <w:tcW w:w="1276" w:type="dxa"/>
            <w:vAlign w:val="center"/>
          </w:tcPr>
          <w:p>
            <w:pPr>
              <w:pStyle w:val="10"/>
            </w:pPr>
            <w:r>
              <w:t>1个</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项目完成率</w:t>
            </w:r>
          </w:p>
        </w:tc>
        <w:tc>
          <w:tcPr>
            <w:tcW w:w="2891" w:type="dxa"/>
            <w:vAlign w:val="center"/>
          </w:tcPr>
          <w:p>
            <w:pPr>
              <w:pStyle w:val="10"/>
            </w:pPr>
            <w:r>
              <w:t>实际完成率</w:t>
            </w:r>
          </w:p>
        </w:tc>
        <w:tc>
          <w:tcPr>
            <w:tcW w:w="1276" w:type="dxa"/>
            <w:vAlign w:val="center"/>
          </w:tcPr>
          <w:p>
            <w:pPr>
              <w:pStyle w:val="10"/>
            </w:pPr>
            <w:r>
              <w:t>≥95%</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液体产品质量达标率</w:t>
            </w:r>
          </w:p>
        </w:tc>
        <w:tc>
          <w:tcPr>
            <w:tcW w:w="2891" w:type="dxa"/>
            <w:vAlign w:val="center"/>
          </w:tcPr>
          <w:p>
            <w:pPr>
              <w:pStyle w:val="10"/>
            </w:pPr>
            <w:r>
              <w:t>液体产品质量达标率</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资金合规率</w:t>
            </w:r>
          </w:p>
        </w:tc>
        <w:tc>
          <w:tcPr>
            <w:tcW w:w="2891" w:type="dxa"/>
            <w:vAlign w:val="center"/>
          </w:tcPr>
          <w:p>
            <w:pPr>
              <w:pStyle w:val="10"/>
            </w:pPr>
            <w:r>
              <w:t>资金合规率</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按时间进度完成任务</w:t>
            </w:r>
          </w:p>
        </w:tc>
        <w:tc>
          <w:tcPr>
            <w:tcW w:w="2891" w:type="dxa"/>
            <w:vAlign w:val="center"/>
          </w:tcPr>
          <w:p>
            <w:pPr>
              <w:pStyle w:val="10"/>
            </w:pPr>
            <w:r>
              <w:t>按时间进度完成任务</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经济效益指标</w:t>
            </w:r>
          </w:p>
        </w:tc>
        <w:tc>
          <w:tcPr>
            <w:tcW w:w="1332" w:type="dxa"/>
            <w:vAlign w:val="center"/>
          </w:tcPr>
          <w:p>
            <w:pPr>
              <w:pStyle w:val="10"/>
            </w:pPr>
            <w:r>
              <w:t>年度利润完成率</w:t>
            </w:r>
          </w:p>
        </w:tc>
        <w:tc>
          <w:tcPr>
            <w:tcW w:w="2891" w:type="dxa"/>
            <w:vAlign w:val="center"/>
          </w:tcPr>
          <w:p>
            <w:pPr>
              <w:pStyle w:val="10"/>
            </w:pPr>
            <w:r>
              <w:t>年度利润完成情况</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rPr>
                <w:rFonts w:hint="eastAsia"/>
                <w:lang w:eastAsia="zh-CN"/>
              </w:rPr>
              <w:t>社会群众</w:t>
            </w:r>
            <w:r>
              <w:t>满意度</w:t>
            </w:r>
          </w:p>
        </w:tc>
        <w:tc>
          <w:tcPr>
            <w:tcW w:w="2891" w:type="dxa"/>
            <w:vAlign w:val="center"/>
          </w:tcPr>
          <w:p>
            <w:pPr>
              <w:pStyle w:val="10"/>
            </w:pPr>
            <w:r>
              <w:t>产品使用者满意度</w:t>
            </w:r>
          </w:p>
        </w:tc>
        <w:tc>
          <w:tcPr>
            <w:tcW w:w="1276" w:type="dxa"/>
            <w:vAlign w:val="center"/>
          </w:tcPr>
          <w:p>
            <w:pPr>
              <w:pStyle w:val="10"/>
            </w:pPr>
            <w:r>
              <w:t>≥95%</w:t>
            </w:r>
          </w:p>
        </w:tc>
        <w:tc>
          <w:tcPr>
            <w:tcW w:w="1843" w:type="dxa"/>
            <w:vAlign w:val="center"/>
          </w:tcPr>
          <w:p>
            <w:pPr>
              <w:pStyle w:val="10"/>
            </w:pPr>
            <w:r>
              <w:t>计划标准</w:t>
            </w:r>
          </w:p>
        </w:tc>
      </w:tr>
    </w:tbl>
    <w:p>
      <w:pPr>
        <w:jc w:val="center"/>
      </w:pPr>
      <w:r>
        <w:rPr>
          <w:rFonts w:ascii="方正仿宋_GBK" w:hAnsi="方正仿宋_GBK" w:eastAsia="方正仿宋_GBK" w:cs="方正仿宋_GBK"/>
          <w:color w:val="000000"/>
          <w:sz w:val="28"/>
        </w:rPr>
        <w:t xml:space="preserve"> </w:t>
      </w:r>
    </w:p>
    <w:p>
      <w:pPr>
        <w:ind w:firstLine="560"/>
        <w:outlineLvl w:val="3"/>
      </w:pPr>
    </w:p>
    <w:p>
      <w:pPr>
        <w:sectPr>
          <w:pgSz w:w="11900" w:h="16840"/>
          <w:pgMar w:top="1984" w:right="1304" w:bottom="1134" w:left="1304" w:header="720" w:footer="720" w:gutter="0"/>
          <w:pgNumType w:fmt="numberInDash"/>
          <w:cols w:space="720" w:num="1"/>
        </w:sectPr>
      </w:pPr>
    </w:p>
    <w:p>
      <w:pPr>
        <w:jc w:val="center"/>
      </w:pPr>
      <w:r>
        <w:rPr>
          <w:rFonts w:ascii="方正仿宋_GBK" w:hAnsi="方正仿宋_GBK" w:eastAsia="方正仿宋_GBK" w:cs="方正仿宋_GBK"/>
          <w:color w:val="000000"/>
          <w:sz w:val="28"/>
        </w:rPr>
        <w:t xml:space="preserve"> </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921001青岛市人民政府国有资产监督管理委员会</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37020023P190019100178</w:t>
            </w:r>
          </w:p>
        </w:tc>
        <w:tc>
          <w:tcPr>
            <w:tcW w:w="1587" w:type="dxa"/>
            <w:vAlign w:val="center"/>
          </w:tcPr>
          <w:p>
            <w:pPr>
              <w:pStyle w:val="9"/>
            </w:pPr>
            <w:r>
              <w:t>项目名称</w:t>
            </w:r>
          </w:p>
        </w:tc>
        <w:tc>
          <w:tcPr>
            <w:tcW w:w="4422" w:type="dxa"/>
            <w:gridSpan w:val="3"/>
            <w:vAlign w:val="center"/>
          </w:tcPr>
          <w:p>
            <w:pPr>
              <w:pStyle w:val="10"/>
            </w:pPr>
            <w:r>
              <w:t>青岛海湾集团高端化工研发创新基地项目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2000.00</w:t>
            </w:r>
          </w:p>
        </w:tc>
        <w:tc>
          <w:tcPr>
            <w:tcW w:w="1587" w:type="dxa"/>
            <w:vAlign w:val="center"/>
          </w:tcPr>
          <w:p>
            <w:pPr>
              <w:pStyle w:val="9"/>
            </w:pPr>
            <w:r>
              <w:t>其中：财政    资金</w:t>
            </w:r>
          </w:p>
        </w:tc>
        <w:tc>
          <w:tcPr>
            <w:tcW w:w="1304" w:type="dxa"/>
            <w:vAlign w:val="center"/>
          </w:tcPr>
          <w:p>
            <w:pPr>
              <w:pStyle w:val="10"/>
            </w:pPr>
            <w:r>
              <w:t>2000.00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青岛海湾集团高端化工研发创新基地项目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2000.00</w:t>
            </w:r>
          </w:p>
        </w:tc>
        <w:tc>
          <w:tcPr>
            <w:tcW w:w="3118" w:type="dxa"/>
            <w:gridSpan w:val="2"/>
            <w:vAlign w:val="center"/>
          </w:tcPr>
          <w:p>
            <w:pPr>
              <w:pStyle w:val="11"/>
            </w:pPr>
            <w:r>
              <w:t xml:space="preserve">2000.00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建设青岛海湾集团高端化工研发创新基地，推动行业升级。</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 xml:space="preserve">青岛海湾集团高端化工研发创新基地项目预算控制数 </w:t>
            </w:r>
          </w:p>
        </w:tc>
        <w:tc>
          <w:tcPr>
            <w:tcW w:w="2891" w:type="dxa"/>
            <w:vAlign w:val="center"/>
          </w:tcPr>
          <w:p>
            <w:pPr>
              <w:pStyle w:val="10"/>
            </w:pPr>
            <w:r>
              <w:t xml:space="preserve">年度预算控制数 </w:t>
            </w:r>
          </w:p>
        </w:tc>
        <w:tc>
          <w:tcPr>
            <w:tcW w:w="1276" w:type="dxa"/>
            <w:vAlign w:val="center"/>
          </w:tcPr>
          <w:p>
            <w:pPr>
              <w:pStyle w:val="10"/>
            </w:pPr>
            <w:r>
              <w:t>≤2000万元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建设项目数</w:t>
            </w:r>
          </w:p>
        </w:tc>
        <w:tc>
          <w:tcPr>
            <w:tcW w:w="2891" w:type="dxa"/>
            <w:vAlign w:val="center"/>
          </w:tcPr>
          <w:p>
            <w:pPr>
              <w:pStyle w:val="10"/>
            </w:pPr>
            <w:r>
              <w:t>建设项目数</w:t>
            </w:r>
          </w:p>
        </w:tc>
        <w:tc>
          <w:tcPr>
            <w:tcW w:w="1276" w:type="dxa"/>
            <w:vAlign w:val="center"/>
          </w:tcPr>
          <w:p>
            <w:pPr>
              <w:pStyle w:val="10"/>
            </w:pPr>
            <w:r>
              <w:t>≥1个</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项目完成率</w:t>
            </w:r>
          </w:p>
        </w:tc>
        <w:tc>
          <w:tcPr>
            <w:tcW w:w="2891" w:type="dxa"/>
            <w:vAlign w:val="center"/>
          </w:tcPr>
          <w:p>
            <w:pPr>
              <w:pStyle w:val="10"/>
            </w:pPr>
            <w:r>
              <w:t>实际完成率</w:t>
            </w:r>
          </w:p>
        </w:tc>
        <w:tc>
          <w:tcPr>
            <w:tcW w:w="1276" w:type="dxa"/>
            <w:vAlign w:val="center"/>
          </w:tcPr>
          <w:p>
            <w:pPr>
              <w:pStyle w:val="10"/>
            </w:pPr>
            <w:r>
              <w:t>≥95%</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rPr>
                <w:rFonts w:hint="eastAsia"/>
                <w:lang w:eastAsia="zh-CN"/>
              </w:rPr>
              <w:t>工程</w:t>
            </w:r>
            <w:r>
              <w:t>质量达标率</w:t>
            </w:r>
          </w:p>
        </w:tc>
        <w:tc>
          <w:tcPr>
            <w:tcW w:w="2891" w:type="dxa"/>
            <w:vAlign w:val="center"/>
          </w:tcPr>
          <w:p>
            <w:pPr>
              <w:pStyle w:val="10"/>
            </w:pPr>
            <w:r>
              <w:t>项目质量符合情况</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资金拨付足额率</w:t>
            </w:r>
          </w:p>
        </w:tc>
        <w:tc>
          <w:tcPr>
            <w:tcW w:w="2891" w:type="dxa"/>
            <w:vAlign w:val="center"/>
          </w:tcPr>
          <w:p>
            <w:pPr>
              <w:pStyle w:val="10"/>
            </w:pPr>
            <w:r>
              <w:t>资金拨付足额情况</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rPr>
                <w:lang w:eastAsia="zh-CN"/>
              </w:rPr>
            </w:pPr>
            <w:r>
              <w:t>青岛海湾集团高端化工研发创新基地项目</w:t>
            </w:r>
            <w:r>
              <w:rPr>
                <w:rFonts w:hint="eastAsia"/>
                <w:lang w:eastAsia="zh-CN"/>
              </w:rPr>
              <w:t>完成及时率</w:t>
            </w:r>
          </w:p>
        </w:tc>
        <w:tc>
          <w:tcPr>
            <w:tcW w:w="2891" w:type="dxa"/>
            <w:vAlign w:val="center"/>
          </w:tcPr>
          <w:p>
            <w:pPr>
              <w:pStyle w:val="10"/>
            </w:pPr>
            <w:r>
              <w:t>青岛海湾集团高端化工研发创新基地项目</w:t>
            </w:r>
            <w:r>
              <w:rPr>
                <w:rFonts w:hint="eastAsia"/>
                <w:lang w:eastAsia="zh-CN"/>
              </w:rPr>
              <w:t>完成及时率</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增加就业和安置职工</w:t>
            </w:r>
          </w:p>
        </w:tc>
        <w:tc>
          <w:tcPr>
            <w:tcW w:w="2891" w:type="dxa"/>
            <w:vAlign w:val="center"/>
          </w:tcPr>
          <w:p>
            <w:pPr>
              <w:pStyle w:val="10"/>
            </w:pPr>
            <w:r>
              <w:t>项目促进就业和安置职工人数</w:t>
            </w:r>
          </w:p>
        </w:tc>
        <w:tc>
          <w:tcPr>
            <w:tcW w:w="1276" w:type="dxa"/>
            <w:vAlign w:val="center"/>
          </w:tcPr>
          <w:p>
            <w:pPr>
              <w:pStyle w:val="10"/>
            </w:pPr>
            <w:r>
              <w:t>≥300人</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rPr>
                <w:rFonts w:hint="eastAsia"/>
                <w:lang w:eastAsia="zh-CN"/>
              </w:rPr>
              <w:t>社会群众</w:t>
            </w:r>
            <w:r>
              <w:t>满意率</w:t>
            </w:r>
          </w:p>
        </w:tc>
        <w:tc>
          <w:tcPr>
            <w:tcW w:w="2891" w:type="dxa"/>
            <w:vAlign w:val="center"/>
          </w:tcPr>
          <w:p>
            <w:pPr>
              <w:pStyle w:val="10"/>
            </w:pPr>
            <w:r>
              <w:t>服务对象满意率</w:t>
            </w:r>
          </w:p>
        </w:tc>
        <w:tc>
          <w:tcPr>
            <w:tcW w:w="1276" w:type="dxa"/>
            <w:vAlign w:val="center"/>
          </w:tcPr>
          <w:p>
            <w:pPr>
              <w:pStyle w:val="10"/>
            </w:pPr>
            <w:r>
              <w:t>≥95%</w:t>
            </w:r>
          </w:p>
        </w:tc>
        <w:tc>
          <w:tcPr>
            <w:tcW w:w="1843" w:type="dxa"/>
            <w:vAlign w:val="center"/>
          </w:tcPr>
          <w:p>
            <w:pPr>
              <w:pStyle w:val="10"/>
            </w:pPr>
            <w:r>
              <w:t>计划标准</w:t>
            </w:r>
          </w:p>
        </w:tc>
      </w:tr>
    </w:tbl>
    <w:p>
      <w:pPr>
        <w:numPr>
          <w:ilvl w:val="0"/>
          <w:numId w:val="0"/>
        </w:numPr>
        <w:ind w:leftChars="0"/>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p>
      <w:pPr>
        <w:numPr>
          <w:ilvl w:val="0"/>
          <w:numId w:val="0"/>
        </w:numPr>
        <w:rPr>
          <w:rFonts w:hint="eastAsia" w:ascii="黑体" w:hAnsi="黑体" w:eastAsia="黑体" w:cs="黑体"/>
          <w:sz w:val="32"/>
          <w:szCs w:val="32"/>
          <w:lang w:val="en-US" w:eastAsia="zh-CN"/>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921001青岛市人民政府国有资产监督管理委员会</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37020023P190019100055</w:t>
            </w:r>
          </w:p>
        </w:tc>
        <w:tc>
          <w:tcPr>
            <w:tcW w:w="1587" w:type="dxa"/>
            <w:vAlign w:val="center"/>
          </w:tcPr>
          <w:p>
            <w:pPr>
              <w:pStyle w:val="9"/>
            </w:pPr>
            <w:r>
              <w:t>项目名称</w:t>
            </w:r>
          </w:p>
        </w:tc>
        <w:tc>
          <w:tcPr>
            <w:tcW w:w="4422" w:type="dxa"/>
            <w:gridSpan w:val="3"/>
            <w:vAlign w:val="center"/>
          </w:tcPr>
          <w:p>
            <w:pPr>
              <w:pStyle w:val="10"/>
            </w:pPr>
            <w:r>
              <w:t>新产品研发及水源地工厂建设等项目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9000.00</w:t>
            </w:r>
          </w:p>
        </w:tc>
        <w:tc>
          <w:tcPr>
            <w:tcW w:w="1587" w:type="dxa"/>
            <w:vAlign w:val="center"/>
          </w:tcPr>
          <w:p>
            <w:pPr>
              <w:pStyle w:val="9"/>
            </w:pPr>
            <w:r>
              <w:t>其中：财政    资金</w:t>
            </w:r>
          </w:p>
        </w:tc>
        <w:tc>
          <w:tcPr>
            <w:tcW w:w="1304" w:type="dxa"/>
            <w:vAlign w:val="center"/>
          </w:tcPr>
          <w:p>
            <w:pPr>
              <w:pStyle w:val="10"/>
            </w:pPr>
            <w:r>
              <w:t>9000.00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青啤新产品研发及水源地工厂建设项目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9000.00</w:t>
            </w:r>
          </w:p>
        </w:tc>
        <w:tc>
          <w:tcPr>
            <w:tcW w:w="3118" w:type="dxa"/>
            <w:gridSpan w:val="2"/>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完成新产品研发及水源地工厂建设，新研发产品上市，通过系统用户体验改善，增加消费者粘性，唤醒沉睡客户、增加新客户转化，从而增加整体效益。</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 xml:space="preserve">新产品研发及水源地工厂建设等项目预算控制数 </w:t>
            </w:r>
          </w:p>
        </w:tc>
        <w:tc>
          <w:tcPr>
            <w:tcW w:w="2891" w:type="dxa"/>
            <w:vAlign w:val="center"/>
          </w:tcPr>
          <w:p>
            <w:pPr>
              <w:pStyle w:val="10"/>
            </w:pPr>
            <w:r>
              <w:t xml:space="preserve">新产品研发及水源地工厂建设等项目预算控制数 </w:t>
            </w:r>
          </w:p>
        </w:tc>
        <w:tc>
          <w:tcPr>
            <w:tcW w:w="1276" w:type="dxa"/>
            <w:vAlign w:val="center"/>
          </w:tcPr>
          <w:p>
            <w:pPr>
              <w:pStyle w:val="10"/>
            </w:pPr>
            <w:r>
              <w:t>≤9000万元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产品销售覆盖省份</w:t>
            </w:r>
          </w:p>
        </w:tc>
        <w:tc>
          <w:tcPr>
            <w:tcW w:w="2891" w:type="dxa"/>
            <w:vAlign w:val="center"/>
          </w:tcPr>
          <w:p>
            <w:pPr>
              <w:pStyle w:val="10"/>
            </w:pPr>
            <w:r>
              <w:t>产品销售覆盖省份</w:t>
            </w:r>
          </w:p>
        </w:tc>
        <w:tc>
          <w:tcPr>
            <w:tcW w:w="1276" w:type="dxa"/>
            <w:vAlign w:val="center"/>
          </w:tcPr>
          <w:p>
            <w:pPr>
              <w:pStyle w:val="10"/>
            </w:pPr>
            <w:r>
              <w:t>≥31个</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销售产品种类</w:t>
            </w:r>
          </w:p>
        </w:tc>
        <w:tc>
          <w:tcPr>
            <w:tcW w:w="2891" w:type="dxa"/>
            <w:vAlign w:val="center"/>
          </w:tcPr>
          <w:p>
            <w:pPr>
              <w:pStyle w:val="10"/>
            </w:pPr>
            <w:r>
              <w:t>销售产品种类</w:t>
            </w:r>
          </w:p>
        </w:tc>
        <w:tc>
          <w:tcPr>
            <w:tcW w:w="1276" w:type="dxa"/>
            <w:vAlign w:val="center"/>
          </w:tcPr>
          <w:p>
            <w:pPr>
              <w:pStyle w:val="10"/>
            </w:pPr>
            <w:r>
              <w:t>≥10种</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研发指标达成率</w:t>
            </w:r>
          </w:p>
        </w:tc>
        <w:tc>
          <w:tcPr>
            <w:tcW w:w="2891" w:type="dxa"/>
            <w:vAlign w:val="center"/>
          </w:tcPr>
          <w:p>
            <w:pPr>
              <w:pStyle w:val="10"/>
            </w:pPr>
            <w:r>
              <w:t>研发指标达成率</w:t>
            </w:r>
          </w:p>
        </w:tc>
        <w:tc>
          <w:tcPr>
            <w:tcW w:w="1276" w:type="dxa"/>
            <w:vAlign w:val="center"/>
          </w:tcPr>
          <w:p>
            <w:pPr>
              <w:pStyle w:val="10"/>
            </w:pPr>
            <w:r>
              <w:t>≥95%</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产品合格率</w:t>
            </w:r>
          </w:p>
        </w:tc>
        <w:tc>
          <w:tcPr>
            <w:tcW w:w="2891" w:type="dxa"/>
            <w:vAlign w:val="center"/>
          </w:tcPr>
          <w:p>
            <w:pPr>
              <w:pStyle w:val="10"/>
            </w:pPr>
            <w:r>
              <w:t>产品合格率</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rPr>
                <w:lang w:eastAsia="zh-CN"/>
              </w:rPr>
            </w:pPr>
            <w:r>
              <w:t>新产品研发及水源地工厂建设等项目</w:t>
            </w:r>
            <w:r>
              <w:rPr>
                <w:rFonts w:hint="eastAsia"/>
                <w:lang w:eastAsia="zh-CN"/>
              </w:rPr>
              <w:t>完成及时率</w:t>
            </w:r>
          </w:p>
        </w:tc>
        <w:tc>
          <w:tcPr>
            <w:tcW w:w="2891" w:type="dxa"/>
            <w:vAlign w:val="center"/>
          </w:tcPr>
          <w:p>
            <w:pPr>
              <w:pStyle w:val="10"/>
            </w:pPr>
            <w:r>
              <w:t>新产品研发及水源地工厂建设等项目</w:t>
            </w:r>
            <w:r>
              <w:rPr>
                <w:rFonts w:hint="eastAsia"/>
                <w:lang w:eastAsia="zh-CN"/>
              </w:rPr>
              <w:t>完成及时率</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经济效益指标</w:t>
            </w:r>
          </w:p>
        </w:tc>
        <w:tc>
          <w:tcPr>
            <w:tcW w:w="1332" w:type="dxa"/>
            <w:vAlign w:val="center"/>
          </w:tcPr>
          <w:p>
            <w:pPr>
              <w:pStyle w:val="10"/>
            </w:pPr>
            <w:r>
              <w:t>年销售额目标</w:t>
            </w:r>
          </w:p>
        </w:tc>
        <w:tc>
          <w:tcPr>
            <w:tcW w:w="2891" w:type="dxa"/>
            <w:vAlign w:val="center"/>
          </w:tcPr>
          <w:p>
            <w:pPr>
              <w:pStyle w:val="10"/>
            </w:pPr>
            <w:r>
              <w:t>产品年度销售额</w:t>
            </w:r>
          </w:p>
        </w:tc>
        <w:tc>
          <w:tcPr>
            <w:tcW w:w="1276" w:type="dxa"/>
            <w:vAlign w:val="center"/>
          </w:tcPr>
          <w:p>
            <w:pPr>
              <w:pStyle w:val="10"/>
            </w:pPr>
            <w:r>
              <w:t>≥9000万元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消费者满意度</w:t>
            </w:r>
          </w:p>
        </w:tc>
        <w:tc>
          <w:tcPr>
            <w:tcW w:w="2891" w:type="dxa"/>
            <w:vAlign w:val="center"/>
          </w:tcPr>
          <w:p>
            <w:pPr>
              <w:pStyle w:val="10"/>
            </w:pPr>
            <w:r>
              <w:t>产品消费者满意度</w:t>
            </w:r>
          </w:p>
        </w:tc>
        <w:tc>
          <w:tcPr>
            <w:tcW w:w="1276" w:type="dxa"/>
            <w:vAlign w:val="center"/>
          </w:tcPr>
          <w:p>
            <w:pPr>
              <w:pStyle w:val="10"/>
            </w:pPr>
            <w:r>
              <w:t>≥95%</w:t>
            </w:r>
          </w:p>
        </w:tc>
        <w:tc>
          <w:tcPr>
            <w:tcW w:w="1843" w:type="dxa"/>
            <w:vAlign w:val="center"/>
          </w:tcPr>
          <w:p>
            <w:pPr>
              <w:pStyle w:val="10"/>
            </w:pPr>
            <w:r>
              <w:t>计划标准</w:t>
            </w:r>
          </w:p>
        </w:tc>
      </w:tr>
    </w:tbl>
    <w:p>
      <w:pPr>
        <w:sectPr>
          <w:pgSz w:w="11900" w:h="16840"/>
          <w:pgMar w:top="1984" w:right="1304" w:bottom="1134" w:left="1304" w:header="720" w:footer="720" w:gutter="0"/>
          <w:pgNumType w:fmt="numberInDash"/>
          <w:cols w:space="720" w:num="1"/>
        </w:sectPr>
      </w:pPr>
    </w:p>
    <w:p>
      <w:pPr>
        <w:numPr>
          <w:ilvl w:val="0"/>
          <w:numId w:val="0"/>
        </w:numPr>
        <w:ind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9.应急安全保障资金</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605000青岛市应急管理局本级（系统）</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37020023P340001100113</w:t>
            </w:r>
          </w:p>
        </w:tc>
        <w:tc>
          <w:tcPr>
            <w:tcW w:w="1587" w:type="dxa"/>
            <w:vAlign w:val="center"/>
          </w:tcPr>
          <w:p>
            <w:pPr>
              <w:pStyle w:val="9"/>
            </w:pPr>
            <w:r>
              <w:t>项目名称</w:t>
            </w:r>
          </w:p>
        </w:tc>
        <w:tc>
          <w:tcPr>
            <w:tcW w:w="4422" w:type="dxa"/>
            <w:gridSpan w:val="3"/>
            <w:vAlign w:val="center"/>
          </w:tcPr>
          <w:p>
            <w:pPr>
              <w:pStyle w:val="10"/>
            </w:pPr>
            <w:r>
              <w:t>保费补助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1250.00</w:t>
            </w:r>
          </w:p>
        </w:tc>
        <w:tc>
          <w:tcPr>
            <w:tcW w:w="1587" w:type="dxa"/>
            <w:vAlign w:val="center"/>
          </w:tcPr>
          <w:p>
            <w:pPr>
              <w:pStyle w:val="9"/>
            </w:pPr>
            <w:r>
              <w:t>其中：财政    资金</w:t>
            </w:r>
          </w:p>
        </w:tc>
        <w:tc>
          <w:tcPr>
            <w:tcW w:w="1304" w:type="dxa"/>
            <w:vAlign w:val="center"/>
          </w:tcPr>
          <w:p>
            <w:pPr>
              <w:pStyle w:val="10"/>
            </w:pPr>
            <w:r>
              <w:t>1250.00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灾害民生综合保险。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1250.00</w:t>
            </w:r>
          </w:p>
        </w:tc>
        <w:tc>
          <w:tcPr>
            <w:tcW w:w="3118" w:type="dxa"/>
            <w:gridSpan w:val="2"/>
            <w:vAlign w:val="center"/>
          </w:tcPr>
          <w:p>
            <w:pPr>
              <w:pStyle w:val="11"/>
            </w:pPr>
            <w:r>
              <w:t>1250.00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灾害民生综合保险持续生效</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灾害民生综合保险保费标准</w:t>
            </w:r>
          </w:p>
        </w:tc>
        <w:tc>
          <w:tcPr>
            <w:tcW w:w="2891" w:type="dxa"/>
            <w:vAlign w:val="center"/>
          </w:tcPr>
          <w:p>
            <w:pPr>
              <w:pStyle w:val="10"/>
            </w:pPr>
            <w:r>
              <w:t>灾害民生综合保险保费标准</w:t>
            </w:r>
          </w:p>
        </w:tc>
        <w:tc>
          <w:tcPr>
            <w:tcW w:w="1276" w:type="dxa"/>
            <w:vAlign w:val="center"/>
          </w:tcPr>
          <w:p>
            <w:pPr>
              <w:pStyle w:val="10"/>
            </w:pPr>
            <w:r>
              <w:t>2元/人</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全市灾害民生综合保险参保人数</w:t>
            </w:r>
          </w:p>
        </w:tc>
        <w:tc>
          <w:tcPr>
            <w:tcW w:w="2891" w:type="dxa"/>
            <w:vAlign w:val="center"/>
          </w:tcPr>
          <w:p>
            <w:pPr>
              <w:pStyle w:val="10"/>
            </w:pPr>
            <w:r>
              <w:t>全市灾害民生综合保险参保人数</w:t>
            </w:r>
          </w:p>
        </w:tc>
        <w:tc>
          <w:tcPr>
            <w:tcW w:w="1276" w:type="dxa"/>
            <w:vAlign w:val="center"/>
          </w:tcPr>
          <w:p>
            <w:pPr>
              <w:pStyle w:val="10"/>
            </w:pPr>
            <w:r>
              <w:t>≥937.5万人</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全市灾害民生综合保险参保户数</w:t>
            </w:r>
          </w:p>
        </w:tc>
        <w:tc>
          <w:tcPr>
            <w:tcW w:w="2891" w:type="dxa"/>
            <w:vAlign w:val="center"/>
          </w:tcPr>
          <w:p>
            <w:pPr>
              <w:pStyle w:val="10"/>
            </w:pPr>
            <w:r>
              <w:t>全市灾害民生综合保险参保户数</w:t>
            </w:r>
          </w:p>
        </w:tc>
        <w:tc>
          <w:tcPr>
            <w:tcW w:w="1276" w:type="dxa"/>
            <w:vAlign w:val="center"/>
          </w:tcPr>
          <w:p>
            <w:pPr>
              <w:pStyle w:val="10"/>
            </w:pPr>
            <w:r>
              <w:t>≥312.5万户</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灾害民生综合保险符合条件案件接案率</w:t>
            </w:r>
          </w:p>
        </w:tc>
        <w:tc>
          <w:tcPr>
            <w:tcW w:w="2891" w:type="dxa"/>
            <w:vAlign w:val="center"/>
          </w:tcPr>
          <w:p>
            <w:pPr>
              <w:pStyle w:val="10"/>
            </w:pPr>
            <w:r>
              <w:t>灾害民生综合保险符合条件案件接案率</w:t>
            </w:r>
          </w:p>
        </w:tc>
        <w:tc>
          <w:tcPr>
            <w:tcW w:w="1276" w:type="dxa"/>
            <w:vAlign w:val="center"/>
          </w:tcPr>
          <w:p>
            <w:pPr>
              <w:pStyle w:val="10"/>
            </w:pPr>
            <w:r>
              <w:t>100%</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灾害民生综合保险赔付率</w:t>
            </w:r>
          </w:p>
        </w:tc>
        <w:tc>
          <w:tcPr>
            <w:tcW w:w="2891" w:type="dxa"/>
            <w:vAlign w:val="center"/>
          </w:tcPr>
          <w:p>
            <w:pPr>
              <w:pStyle w:val="10"/>
            </w:pPr>
            <w:r>
              <w:t>灾害民生综合保险赔付率</w:t>
            </w:r>
          </w:p>
        </w:tc>
        <w:tc>
          <w:tcPr>
            <w:tcW w:w="1276" w:type="dxa"/>
            <w:vAlign w:val="center"/>
          </w:tcPr>
          <w:p>
            <w:pPr>
              <w:pStyle w:val="10"/>
            </w:pPr>
            <w:r>
              <w:t>≥90%</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5万以上保险理赔服务受理时限</w:t>
            </w:r>
          </w:p>
        </w:tc>
        <w:tc>
          <w:tcPr>
            <w:tcW w:w="2891" w:type="dxa"/>
            <w:vAlign w:val="center"/>
          </w:tcPr>
          <w:p>
            <w:pPr>
              <w:pStyle w:val="10"/>
            </w:pPr>
            <w:r>
              <w:t>5万以上保险理赔服务受理时限</w:t>
            </w:r>
          </w:p>
        </w:tc>
        <w:tc>
          <w:tcPr>
            <w:tcW w:w="1276" w:type="dxa"/>
            <w:vAlign w:val="center"/>
          </w:tcPr>
          <w:p>
            <w:pPr>
              <w:pStyle w:val="10"/>
            </w:pPr>
            <w:r>
              <w:t>≤7天</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全民防灾减灾救灾意识</w:t>
            </w:r>
          </w:p>
        </w:tc>
        <w:tc>
          <w:tcPr>
            <w:tcW w:w="2891" w:type="dxa"/>
            <w:vAlign w:val="center"/>
          </w:tcPr>
          <w:p>
            <w:pPr>
              <w:pStyle w:val="10"/>
            </w:pPr>
            <w:r>
              <w:t>全民防灾减灾救灾意识</w:t>
            </w:r>
          </w:p>
        </w:tc>
        <w:tc>
          <w:tcPr>
            <w:tcW w:w="1276" w:type="dxa"/>
            <w:vAlign w:val="center"/>
          </w:tcPr>
          <w:p>
            <w:pPr>
              <w:pStyle w:val="10"/>
            </w:pPr>
            <w:r>
              <w:t>建立</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保险收益民众满意度</w:t>
            </w:r>
          </w:p>
        </w:tc>
        <w:tc>
          <w:tcPr>
            <w:tcW w:w="2891" w:type="dxa"/>
            <w:vAlign w:val="center"/>
          </w:tcPr>
          <w:p>
            <w:pPr>
              <w:pStyle w:val="10"/>
            </w:pPr>
            <w:r>
              <w:t>保险收益民众满意度</w:t>
            </w:r>
          </w:p>
        </w:tc>
        <w:tc>
          <w:tcPr>
            <w:tcW w:w="1276" w:type="dxa"/>
            <w:vAlign w:val="center"/>
          </w:tcPr>
          <w:p>
            <w:pPr>
              <w:pStyle w:val="10"/>
            </w:pPr>
            <w:r>
              <w:t>≥95%</w:t>
            </w:r>
          </w:p>
        </w:tc>
        <w:tc>
          <w:tcPr>
            <w:tcW w:w="1843" w:type="dxa"/>
            <w:vAlign w:val="center"/>
          </w:tcPr>
          <w:p>
            <w:pPr>
              <w:pStyle w:val="10"/>
            </w:pPr>
            <w:r>
              <w:t>其他标准</w:t>
            </w:r>
          </w:p>
        </w:tc>
      </w:tr>
    </w:tbl>
    <w:p>
      <w:pPr>
        <w:sectPr>
          <w:pgSz w:w="11900" w:h="16840"/>
          <w:pgMar w:top="1984" w:right="1304" w:bottom="1134" w:left="1304" w:header="720" w:footer="720" w:gutter="0"/>
          <w:pgNumType w:fmt="numberInDash"/>
          <w:cols w:space="720" w:num="1"/>
        </w:sectPr>
      </w:pPr>
    </w:p>
    <w:p>
      <w:pPr>
        <w:jc w:val="both"/>
      </w:pPr>
      <w:r>
        <w:rPr>
          <w:rFonts w:ascii="方正仿宋_GBK" w:hAnsi="方正仿宋_GBK" w:eastAsia="方正仿宋_GBK" w:cs="方正仿宋_GBK"/>
          <w:color w:val="000000"/>
          <w:sz w:val="28"/>
        </w:rPr>
        <w:t xml:space="preserve">  </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10.食品药品安全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504001青岛市市场监督管理局本级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37020023P19001110012Q</w:t>
            </w:r>
          </w:p>
        </w:tc>
        <w:tc>
          <w:tcPr>
            <w:tcW w:w="1587" w:type="dxa"/>
            <w:vAlign w:val="center"/>
          </w:tcPr>
          <w:p>
            <w:pPr>
              <w:pStyle w:val="9"/>
            </w:pPr>
            <w:r>
              <w:t>项目名称</w:t>
            </w:r>
          </w:p>
        </w:tc>
        <w:tc>
          <w:tcPr>
            <w:tcW w:w="4422" w:type="dxa"/>
            <w:gridSpan w:val="3"/>
            <w:vAlign w:val="center"/>
          </w:tcPr>
          <w:p>
            <w:pPr>
              <w:pStyle w:val="10"/>
            </w:pPr>
            <w:r>
              <w:t>食品检测资金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1291.00</w:t>
            </w:r>
          </w:p>
        </w:tc>
        <w:tc>
          <w:tcPr>
            <w:tcW w:w="1587" w:type="dxa"/>
            <w:vAlign w:val="center"/>
          </w:tcPr>
          <w:p>
            <w:pPr>
              <w:pStyle w:val="9"/>
            </w:pPr>
            <w:r>
              <w:t>其中：财政    资金</w:t>
            </w:r>
          </w:p>
        </w:tc>
        <w:tc>
          <w:tcPr>
            <w:tcW w:w="1304" w:type="dxa"/>
            <w:vAlign w:val="center"/>
          </w:tcPr>
          <w:p>
            <w:pPr>
              <w:pStyle w:val="10"/>
            </w:pPr>
            <w:r>
              <w:t>1291.00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开展食品安全定性定量检测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300.00</w:t>
            </w:r>
          </w:p>
        </w:tc>
        <w:tc>
          <w:tcPr>
            <w:tcW w:w="1587" w:type="dxa"/>
            <w:vAlign w:val="center"/>
          </w:tcPr>
          <w:p>
            <w:pPr>
              <w:pStyle w:val="11"/>
            </w:pPr>
            <w:r>
              <w:t>500.00</w:t>
            </w:r>
          </w:p>
        </w:tc>
        <w:tc>
          <w:tcPr>
            <w:tcW w:w="1304" w:type="dxa"/>
            <w:vAlign w:val="center"/>
          </w:tcPr>
          <w:p>
            <w:pPr>
              <w:pStyle w:val="11"/>
            </w:pPr>
            <w:r>
              <w:t>900.00</w:t>
            </w:r>
          </w:p>
        </w:tc>
        <w:tc>
          <w:tcPr>
            <w:tcW w:w="3118" w:type="dxa"/>
            <w:gridSpan w:val="2"/>
            <w:vAlign w:val="center"/>
          </w:tcPr>
          <w:p>
            <w:pPr>
              <w:pStyle w:val="11"/>
            </w:pPr>
            <w:r>
              <w:t>1291.00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通过开展食品安全定性定量检测9600批次，发挥食品抽检在监管中的“哨兵”作用，及时发现问题，有针对性的制定监管措施并严格落实，切实保障人民群众饮食安全。</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732"/>
        <w:gridCol w:w="24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732" w:type="dxa"/>
            <w:vAlign w:val="center"/>
          </w:tcPr>
          <w:p>
            <w:pPr>
              <w:pStyle w:val="9"/>
            </w:pPr>
            <w:r>
              <w:t>三级指标</w:t>
            </w:r>
          </w:p>
        </w:tc>
        <w:tc>
          <w:tcPr>
            <w:tcW w:w="24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732" w:type="dxa"/>
            <w:vAlign w:val="center"/>
          </w:tcPr>
          <w:p>
            <w:pPr>
              <w:pStyle w:val="10"/>
            </w:pPr>
            <w:r>
              <w:t>食品类抽样检测成本</w:t>
            </w:r>
          </w:p>
        </w:tc>
        <w:tc>
          <w:tcPr>
            <w:tcW w:w="2491" w:type="dxa"/>
            <w:vAlign w:val="center"/>
          </w:tcPr>
          <w:p>
            <w:pPr>
              <w:pStyle w:val="10"/>
            </w:pPr>
            <w:r>
              <w:t>反映每批次食品类抽样检测成本</w:t>
            </w:r>
          </w:p>
        </w:tc>
        <w:tc>
          <w:tcPr>
            <w:tcW w:w="1276" w:type="dxa"/>
            <w:vAlign w:val="center"/>
          </w:tcPr>
          <w:p>
            <w:pPr>
              <w:pStyle w:val="10"/>
            </w:pPr>
            <w:r>
              <w:t>≤1300元/批次</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732" w:type="dxa"/>
            <w:vAlign w:val="center"/>
          </w:tcPr>
          <w:p>
            <w:pPr>
              <w:pStyle w:val="10"/>
            </w:pPr>
            <w:r>
              <w:t>定性定量检测批次</w:t>
            </w:r>
          </w:p>
        </w:tc>
        <w:tc>
          <w:tcPr>
            <w:tcW w:w="2491" w:type="dxa"/>
            <w:vAlign w:val="center"/>
          </w:tcPr>
          <w:p>
            <w:pPr>
              <w:pStyle w:val="10"/>
            </w:pPr>
            <w:r>
              <w:t>反映定性定量检测批次</w:t>
            </w:r>
          </w:p>
        </w:tc>
        <w:tc>
          <w:tcPr>
            <w:tcW w:w="1276" w:type="dxa"/>
            <w:vAlign w:val="center"/>
          </w:tcPr>
          <w:p>
            <w:pPr>
              <w:pStyle w:val="10"/>
            </w:pPr>
            <w:r>
              <w:t>≥9600批次</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732" w:type="dxa"/>
            <w:vAlign w:val="center"/>
          </w:tcPr>
          <w:p>
            <w:pPr>
              <w:pStyle w:val="10"/>
            </w:pPr>
            <w:r>
              <w:t>评价性抽检批次</w:t>
            </w:r>
          </w:p>
        </w:tc>
        <w:tc>
          <w:tcPr>
            <w:tcW w:w="2491" w:type="dxa"/>
            <w:vAlign w:val="center"/>
          </w:tcPr>
          <w:p>
            <w:pPr>
              <w:pStyle w:val="10"/>
            </w:pPr>
            <w:r>
              <w:t>反映评价性抽检批次</w:t>
            </w:r>
          </w:p>
        </w:tc>
        <w:tc>
          <w:tcPr>
            <w:tcW w:w="1276" w:type="dxa"/>
            <w:vAlign w:val="center"/>
          </w:tcPr>
          <w:p>
            <w:pPr>
              <w:pStyle w:val="10"/>
            </w:pPr>
            <w:r>
              <w:t>≥1000批次</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732" w:type="dxa"/>
            <w:vAlign w:val="center"/>
          </w:tcPr>
          <w:p>
            <w:pPr>
              <w:pStyle w:val="10"/>
            </w:pPr>
            <w:r>
              <w:t>食品评价性抽检合格率</w:t>
            </w:r>
          </w:p>
        </w:tc>
        <w:tc>
          <w:tcPr>
            <w:tcW w:w="2491" w:type="dxa"/>
            <w:vAlign w:val="center"/>
          </w:tcPr>
          <w:p>
            <w:pPr>
              <w:pStyle w:val="10"/>
            </w:pPr>
            <w:r>
              <w:t>反映食品评价性抽检合格率</w:t>
            </w:r>
          </w:p>
        </w:tc>
        <w:tc>
          <w:tcPr>
            <w:tcW w:w="1276" w:type="dxa"/>
            <w:vAlign w:val="center"/>
          </w:tcPr>
          <w:p>
            <w:pPr>
              <w:pStyle w:val="10"/>
            </w:pPr>
            <w:r>
              <w:t>≥98%</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732" w:type="dxa"/>
            <w:vAlign w:val="center"/>
          </w:tcPr>
          <w:p>
            <w:pPr>
              <w:pStyle w:val="10"/>
            </w:pPr>
            <w:r>
              <w:t>抽样事故率</w:t>
            </w:r>
          </w:p>
        </w:tc>
        <w:tc>
          <w:tcPr>
            <w:tcW w:w="2491" w:type="dxa"/>
            <w:vAlign w:val="center"/>
          </w:tcPr>
          <w:p>
            <w:pPr>
              <w:pStyle w:val="10"/>
            </w:pPr>
            <w:r>
              <w:t>反映抽样事故率</w:t>
            </w:r>
          </w:p>
        </w:tc>
        <w:tc>
          <w:tcPr>
            <w:tcW w:w="1276" w:type="dxa"/>
            <w:vAlign w:val="center"/>
          </w:tcPr>
          <w:p>
            <w:pPr>
              <w:pStyle w:val="10"/>
            </w:pPr>
            <w:r>
              <w:t>≤0.04%</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732" w:type="dxa"/>
            <w:vAlign w:val="center"/>
          </w:tcPr>
          <w:p>
            <w:pPr>
              <w:pStyle w:val="10"/>
            </w:pPr>
            <w:r>
              <w:t>检验报告差错率</w:t>
            </w:r>
          </w:p>
        </w:tc>
        <w:tc>
          <w:tcPr>
            <w:tcW w:w="2491" w:type="dxa"/>
            <w:vAlign w:val="center"/>
          </w:tcPr>
          <w:p>
            <w:pPr>
              <w:pStyle w:val="10"/>
            </w:pPr>
            <w:r>
              <w:t>反映检验报告差错率</w:t>
            </w:r>
          </w:p>
        </w:tc>
        <w:tc>
          <w:tcPr>
            <w:tcW w:w="1276" w:type="dxa"/>
            <w:vAlign w:val="center"/>
          </w:tcPr>
          <w:p>
            <w:pPr>
              <w:pStyle w:val="10"/>
            </w:pPr>
            <w:r>
              <w:t>≤0.07%</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732" w:type="dxa"/>
            <w:vAlign w:val="center"/>
          </w:tcPr>
          <w:p>
            <w:pPr>
              <w:pStyle w:val="10"/>
            </w:pPr>
            <w:r>
              <w:t>计划完成率</w:t>
            </w:r>
          </w:p>
        </w:tc>
        <w:tc>
          <w:tcPr>
            <w:tcW w:w="2491" w:type="dxa"/>
            <w:vAlign w:val="center"/>
          </w:tcPr>
          <w:p>
            <w:pPr>
              <w:pStyle w:val="10"/>
            </w:pPr>
            <w:r>
              <w:t>反映计划完成率情况</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732" w:type="dxa"/>
            <w:vAlign w:val="center"/>
          </w:tcPr>
          <w:p>
            <w:pPr>
              <w:pStyle w:val="10"/>
            </w:pPr>
            <w:r>
              <w:t>保健食品抽检工作完成时间</w:t>
            </w:r>
          </w:p>
        </w:tc>
        <w:tc>
          <w:tcPr>
            <w:tcW w:w="2491" w:type="dxa"/>
            <w:vAlign w:val="center"/>
          </w:tcPr>
          <w:p>
            <w:pPr>
              <w:pStyle w:val="10"/>
            </w:pPr>
            <w:r>
              <w:t>反映保健食品抽检工作完成时间</w:t>
            </w:r>
          </w:p>
        </w:tc>
        <w:tc>
          <w:tcPr>
            <w:tcW w:w="1276" w:type="dxa"/>
            <w:vAlign w:val="center"/>
          </w:tcPr>
          <w:p>
            <w:pPr>
              <w:pStyle w:val="10"/>
            </w:pPr>
            <w:r>
              <w:rPr>
                <w:rFonts w:hint="eastAsia"/>
                <w:lang w:eastAsia="zh-CN"/>
              </w:rPr>
              <w:t>≤</w:t>
            </w:r>
            <w:r>
              <w:t>2023年11月</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t>社会效益指标</w:t>
            </w:r>
          </w:p>
        </w:tc>
        <w:tc>
          <w:tcPr>
            <w:tcW w:w="1732" w:type="dxa"/>
            <w:vAlign w:val="center"/>
          </w:tcPr>
          <w:p>
            <w:pPr>
              <w:pStyle w:val="10"/>
            </w:pPr>
            <w:r>
              <w:t>青岛本地食品生产企业在产食品抽检覆盖率</w:t>
            </w:r>
          </w:p>
        </w:tc>
        <w:tc>
          <w:tcPr>
            <w:tcW w:w="2491" w:type="dxa"/>
            <w:vAlign w:val="center"/>
          </w:tcPr>
          <w:p>
            <w:pPr>
              <w:pStyle w:val="10"/>
            </w:pPr>
            <w:r>
              <w:t>反映青岛本地食品生产企业在产食品抽检覆盖率</w:t>
            </w:r>
          </w:p>
        </w:tc>
        <w:tc>
          <w:tcPr>
            <w:tcW w:w="1276" w:type="dxa"/>
            <w:vAlign w:val="center"/>
          </w:tcPr>
          <w:p>
            <w:pPr>
              <w:pStyle w:val="10"/>
            </w:pPr>
            <w:r>
              <w:t>≥80%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732" w:type="dxa"/>
            <w:vAlign w:val="center"/>
          </w:tcPr>
          <w:p>
            <w:pPr>
              <w:pStyle w:val="10"/>
            </w:pPr>
            <w:r>
              <w:t>不合格食品核查处置处置率</w:t>
            </w:r>
          </w:p>
        </w:tc>
        <w:tc>
          <w:tcPr>
            <w:tcW w:w="2491" w:type="dxa"/>
            <w:vAlign w:val="center"/>
          </w:tcPr>
          <w:p>
            <w:pPr>
              <w:pStyle w:val="10"/>
            </w:pPr>
            <w:r>
              <w:t>反映不合格食品核查处置处置率</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732" w:type="dxa"/>
            <w:vAlign w:val="center"/>
          </w:tcPr>
          <w:p>
            <w:pPr>
              <w:pStyle w:val="10"/>
            </w:pPr>
            <w:r>
              <w:t>食品安全群众满意度</w:t>
            </w:r>
          </w:p>
        </w:tc>
        <w:tc>
          <w:tcPr>
            <w:tcW w:w="2491" w:type="dxa"/>
            <w:vAlign w:val="center"/>
          </w:tcPr>
          <w:p>
            <w:pPr>
              <w:pStyle w:val="10"/>
            </w:pPr>
            <w:r>
              <w:t>反映食品安全工作群众满意度</w:t>
            </w:r>
          </w:p>
        </w:tc>
        <w:tc>
          <w:tcPr>
            <w:tcW w:w="1276" w:type="dxa"/>
            <w:vAlign w:val="center"/>
          </w:tcPr>
          <w:p>
            <w:pPr>
              <w:pStyle w:val="10"/>
            </w:pPr>
            <w:r>
              <w:t>≥95%</w:t>
            </w:r>
          </w:p>
        </w:tc>
        <w:tc>
          <w:tcPr>
            <w:tcW w:w="1843" w:type="dxa"/>
            <w:vAlign w:val="center"/>
          </w:tcPr>
          <w:p>
            <w:pPr>
              <w:pStyle w:val="10"/>
            </w:pPr>
            <w:r>
              <w:t>计划标准</w:t>
            </w:r>
          </w:p>
        </w:tc>
      </w:tr>
    </w:tbl>
    <w:p>
      <w:pPr>
        <w:sectPr>
          <w:pgSz w:w="11900" w:h="16840"/>
          <w:pgMar w:top="1984" w:right="1304" w:bottom="1134" w:left="1304" w:header="720" w:footer="720" w:gutter="0"/>
          <w:pgNumType w:fmt="numberInDash"/>
          <w:cols w:space="720" w:num="1"/>
        </w:sect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504008青岛市产品质量检验研究院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37020023P19001110013C</w:t>
            </w:r>
          </w:p>
        </w:tc>
        <w:tc>
          <w:tcPr>
            <w:tcW w:w="1587" w:type="dxa"/>
            <w:vAlign w:val="center"/>
          </w:tcPr>
          <w:p>
            <w:pPr>
              <w:pStyle w:val="9"/>
            </w:pPr>
            <w:r>
              <w:t>项目名称</w:t>
            </w:r>
          </w:p>
        </w:tc>
        <w:tc>
          <w:tcPr>
            <w:tcW w:w="4422" w:type="dxa"/>
            <w:gridSpan w:val="3"/>
            <w:vAlign w:val="center"/>
          </w:tcPr>
          <w:p>
            <w:pPr>
              <w:pStyle w:val="10"/>
            </w:pPr>
            <w:r>
              <w:t>食品检测资金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1000.00</w:t>
            </w:r>
          </w:p>
        </w:tc>
        <w:tc>
          <w:tcPr>
            <w:tcW w:w="1587" w:type="dxa"/>
            <w:vAlign w:val="center"/>
          </w:tcPr>
          <w:p>
            <w:pPr>
              <w:pStyle w:val="9"/>
            </w:pPr>
            <w:r>
              <w:t>其中：财政    资金</w:t>
            </w:r>
          </w:p>
        </w:tc>
        <w:tc>
          <w:tcPr>
            <w:tcW w:w="1304" w:type="dxa"/>
            <w:vAlign w:val="center"/>
          </w:tcPr>
          <w:p>
            <w:pPr>
              <w:pStyle w:val="10"/>
            </w:pPr>
            <w:r>
              <w:t>1000.00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通过用好食品检测资金，按时完成年度检测任务，检验结果及时录入，达到保证产品检验质量的目标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200.00</w:t>
            </w:r>
          </w:p>
        </w:tc>
        <w:tc>
          <w:tcPr>
            <w:tcW w:w="1587" w:type="dxa"/>
            <w:vAlign w:val="center"/>
          </w:tcPr>
          <w:p>
            <w:pPr>
              <w:pStyle w:val="11"/>
            </w:pPr>
            <w:r>
              <w:t>300.00</w:t>
            </w:r>
          </w:p>
        </w:tc>
        <w:tc>
          <w:tcPr>
            <w:tcW w:w="1304" w:type="dxa"/>
            <w:vAlign w:val="center"/>
          </w:tcPr>
          <w:p>
            <w:pPr>
              <w:pStyle w:val="11"/>
            </w:pPr>
            <w:r>
              <w:t>800.00</w:t>
            </w:r>
          </w:p>
        </w:tc>
        <w:tc>
          <w:tcPr>
            <w:tcW w:w="3118" w:type="dxa"/>
            <w:gridSpan w:val="2"/>
            <w:vAlign w:val="center"/>
          </w:tcPr>
          <w:p>
            <w:pPr>
              <w:pStyle w:val="11"/>
            </w:pPr>
            <w:r>
              <w:t>1000.00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rPr>
                <w:lang w:eastAsia="zh-CN"/>
              </w:rPr>
            </w:pPr>
            <w:r>
              <w:t>通过用好食品检测资金，按时完成年度检测任务，检验结果及时录入，达到保证产品检验质量的目标</w:t>
            </w:r>
            <w:r>
              <w:rPr>
                <w:rFonts w:hint="eastAsia"/>
                <w:lang w:eastAsia="zh-CN"/>
              </w:rPr>
              <w:t>。</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食品类日常监督抽样检测成本</w:t>
            </w:r>
          </w:p>
        </w:tc>
        <w:tc>
          <w:tcPr>
            <w:tcW w:w="2891" w:type="dxa"/>
            <w:vAlign w:val="center"/>
          </w:tcPr>
          <w:p>
            <w:pPr>
              <w:pStyle w:val="10"/>
            </w:pPr>
            <w:r>
              <w:t>反映每批次食品类日常监督抽样检测成本</w:t>
            </w:r>
          </w:p>
        </w:tc>
        <w:tc>
          <w:tcPr>
            <w:tcW w:w="1276" w:type="dxa"/>
            <w:vAlign w:val="center"/>
          </w:tcPr>
          <w:p>
            <w:pPr>
              <w:pStyle w:val="10"/>
            </w:pPr>
            <w:r>
              <w:t>≤1200元/批次</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经济成本指标</w:t>
            </w:r>
          </w:p>
        </w:tc>
        <w:tc>
          <w:tcPr>
            <w:tcW w:w="1332" w:type="dxa"/>
            <w:vAlign w:val="center"/>
          </w:tcPr>
          <w:p>
            <w:pPr>
              <w:pStyle w:val="10"/>
            </w:pPr>
            <w:r>
              <w:t>乳制品风险监测抽样检测成本</w:t>
            </w:r>
          </w:p>
        </w:tc>
        <w:tc>
          <w:tcPr>
            <w:tcW w:w="2891" w:type="dxa"/>
            <w:vAlign w:val="center"/>
          </w:tcPr>
          <w:p>
            <w:pPr>
              <w:pStyle w:val="10"/>
            </w:pPr>
            <w:r>
              <w:t>反映每批次乳制品风险监测抽样检测成本</w:t>
            </w:r>
          </w:p>
        </w:tc>
        <w:tc>
          <w:tcPr>
            <w:tcW w:w="1276" w:type="dxa"/>
            <w:vAlign w:val="center"/>
          </w:tcPr>
          <w:p>
            <w:pPr>
              <w:pStyle w:val="10"/>
            </w:pPr>
            <w:r>
              <w:t>≤900元/批次</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经济成本指标</w:t>
            </w:r>
          </w:p>
        </w:tc>
        <w:tc>
          <w:tcPr>
            <w:tcW w:w="1332" w:type="dxa"/>
            <w:vAlign w:val="center"/>
          </w:tcPr>
          <w:p>
            <w:pPr>
              <w:pStyle w:val="10"/>
            </w:pPr>
            <w:r>
              <w:t>食品类评价性抽检抽样检测成本</w:t>
            </w:r>
          </w:p>
        </w:tc>
        <w:tc>
          <w:tcPr>
            <w:tcW w:w="2891" w:type="dxa"/>
            <w:vAlign w:val="center"/>
          </w:tcPr>
          <w:p>
            <w:pPr>
              <w:pStyle w:val="10"/>
            </w:pPr>
            <w:r>
              <w:t>反映每批次食品类评价性抽检抽样检测成本</w:t>
            </w:r>
          </w:p>
        </w:tc>
        <w:tc>
          <w:tcPr>
            <w:tcW w:w="1276" w:type="dxa"/>
            <w:vAlign w:val="center"/>
          </w:tcPr>
          <w:p>
            <w:pPr>
              <w:pStyle w:val="10"/>
            </w:pPr>
            <w:r>
              <w:t>≤1200元/批次</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经济成本指标</w:t>
            </w:r>
          </w:p>
        </w:tc>
        <w:tc>
          <w:tcPr>
            <w:tcW w:w="1332" w:type="dxa"/>
            <w:vAlign w:val="center"/>
          </w:tcPr>
          <w:p>
            <w:pPr>
              <w:pStyle w:val="10"/>
            </w:pPr>
            <w:r>
              <w:t>副食品快速检测成本</w:t>
            </w:r>
          </w:p>
        </w:tc>
        <w:tc>
          <w:tcPr>
            <w:tcW w:w="2891" w:type="dxa"/>
            <w:vAlign w:val="center"/>
          </w:tcPr>
          <w:p>
            <w:pPr>
              <w:pStyle w:val="10"/>
            </w:pPr>
            <w:r>
              <w:t>反映每批次副食品检测成本</w:t>
            </w:r>
          </w:p>
        </w:tc>
        <w:tc>
          <w:tcPr>
            <w:tcW w:w="1276" w:type="dxa"/>
            <w:vAlign w:val="center"/>
          </w:tcPr>
          <w:p>
            <w:pPr>
              <w:pStyle w:val="10"/>
            </w:pPr>
            <w:r>
              <w:t>≤40元/批次</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经济成本指标</w:t>
            </w:r>
          </w:p>
        </w:tc>
        <w:tc>
          <w:tcPr>
            <w:tcW w:w="1332" w:type="dxa"/>
            <w:vAlign w:val="center"/>
          </w:tcPr>
          <w:p>
            <w:pPr>
              <w:pStyle w:val="10"/>
            </w:pPr>
            <w:r>
              <w:t>食品定性定量检测成本</w:t>
            </w:r>
          </w:p>
        </w:tc>
        <w:tc>
          <w:tcPr>
            <w:tcW w:w="2891" w:type="dxa"/>
            <w:vAlign w:val="center"/>
          </w:tcPr>
          <w:p>
            <w:pPr>
              <w:pStyle w:val="10"/>
            </w:pPr>
            <w:r>
              <w:t>反映每批次食品定性定量检测成本</w:t>
            </w:r>
          </w:p>
        </w:tc>
        <w:tc>
          <w:tcPr>
            <w:tcW w:w="1276" w:type="dxa"/>
            <w:vAlign w:val="center"/>
          </w:tcPr>
          <w:p>
            <w:pPr>
              <w:pStyle w:val="10"/>
            </w:pPr>
            <w:r>
              <w:t>≤1400元/批次</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食品类日常监督抽样检测批次</w:t>
            </w:r>
          </w:p>
        </w:tc>
        <w:tc>
          <w:tcPr>
            <w:tcW w:w="2891" w:type="dxa"/>
            <w:vAlign w:val="center"/>
          </w:tcPr>
          <w:p>
            <w:pPr>
              <w:pStyle w:val="10"/>
            </w:pPr>
            <w:r>
              <w:t>反映食品类日常监督抽样检测批次</w:t>
            </w:r>
          </w:p>
        </w:tc>
        <w:tc>
          <w:tcPr>
            <w:tcW w:w="1276" w:type="dxa"/>
            <w:vAlign w:val="center"/>
          </w:tcPr>
          <w:p>
            <w:pPr>
              <w:pStyle w:val="10"/>
            </w:pPr>
            <w:r>
              <w:t>≥4500批次</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乳制品风险监测抽样检测批次</w:t>
            </w:r>
          </w:p>
        </w:tc>
        <w:tc>
          <w:tcPr>
            <w:tcW w:w="2891" w:type="dxa"/>
            <w:vAlign w:val="center"/>
          </w:tcPr>
          <w:p>
            <w:pPr>
              <w:pStyle w:val="10"/>
            </w:pPr>
            <w:r>
              <w:t>反映乳制品风险监测抽样检测批次</w:t>
            </w:r>
          </w:p>
        </w:tc>
        <w:tc>
          <w:tcPr>
            <w:tcW w:w="1276" w:type="dxa"/>
            <w:vAlign w:val="center"/>
          </w:tcPr>
          <w:p>
            <w:pPr>
              <w:pStyle w:val="10"/>
            </w:pPr>
            <w:r>
              <w:t>≥1500批次</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食品类评价性抽检抽样检测批次</w:t>
            </w:r>
          </w:p>
        </w:tc>
        <w:tc>
          <w:tcPr>
            <w:tcW w:w="2891" w:type="dxa"/>
            <w:vAlign w:val="center"/>
          </w:tcPr>
          <w:p>
            <w:pPr>
              <w:pStyle w:val="10"/>
            </w:pPr>
            <w:r>
              <w:t>反映食品类评价性抽检抽样检测批次</w:t>
            </w:r>
          </w:p>
        </w:tc>
        <w:tc>
          <w:tcPr>
            <w:tcW w:w="1276" w:type="dxa"/>
            <w:vAlign w:val="center"/>
          </w:tcPr>
          <w:p>
            <w:pPr>
              <w:pStyle w:val="10"/>
            </w:pPr>
            <w:r>
              <w:t>≥800批次</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副食品快速检测批次</w:t>
            </w:r>
          </w:p>
        </w:tc>
        <w:tc>
          <w:tcPr>
            <w:tcW w:w="2891" w:type="dxa"/>
            <w:vAlign w:val="center"/>
          </w:tcPr>
          <w:p>
            <w:pPr>
              <w:pStyle w:val="10"/>
            </w:pPr>
            <w:r>
              <w:t>反映副食品快速检测批次</w:t>
            </w:r>
          </w:p>
        </w:tc>
        <w:tc>
          <w:tcPr>
            <w:tcW w:w="1276" w:type="dxa"/>
            <w:vAlign w:val="center"/>
          </w:tcPr>
          <w:p>
            <w:pPr>
              <w:pStyle w:val="10"/>
            </w:pPr>
            <w:r>
              <w:t>≥4000批次</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食品定性定量检测批次</w:t>
            </w:r>
          </w:p>
        </w:tc>
        <w:tc>
          <w:tcPr>
            <w:tcW w:w="2891" w:type="dxa"/>
            <w:vAlign w:val="center"/>
          </w:tcPr>
          <w:p>
            <w:pPr>
              <w:pStyle w:val="10"/>
            </w:pPr>
            <w:r>
              <w:t>反映食品定性定量检测批次</w:t>
            </w:r>
          </w:p>
        </w:tc>
        <w:tc>
          <w:tcPr>
            <w:tcW w:w="1276" w:type="dxa"/>
            <w:vAlign w:val="center"/>
          </w:tcPr>
          <w:p>
            <w:pPr>
              <w:pStyle w:val="10"/>
            </w:pPr>
            <w:r>
              <w:t>≥1500批次</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食品安全抽检监测结果系统录入率</w:t>
            </w:r>
          </w:p>
        </w:tc>
        <w:tc>
          <w:tcPr>
            <w:tcW w:w="2891" w:type="dxa"/>
            <w:vAlign w:val="center"/>
          </w:tcPr>
          <w:p>
            <w:pPr>
              <w:pStyle w:val="10"/>
            </w:pPr>
            <w:r>
              <w:t>反映食品抽样检测结果合格情况</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样品检验准确率</w:t>
            </w:r>
          </w:p>
        </w:tc>
        <w:tc>
          <w:tcPr>
            <w:tcW w:w="2891" w:type="dxa"/>
            <w:vAlign w:val="center"/>
          </w:tcPr>
          <w:p>
            <w:pPr>
              <w:pStyle w:val="10"/>
            </w:pPr>
            <w:r>
              <w:t>反映抽样检测结果准确情况</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抽检任务按时完成率</w:t>
            </w:r>
          </w:p>
        </w:tc>
        <w:tc>
          <w:tcPr>
            <w:tcW w:w="2891" w:type="dxa"/>
            <w:vAlign w:val="center"/>
          </w:tcPr>
          <w:p>
            <w:pPr>
              <w:pStyle w:val="10"/>
            </w:pPr>
            <w:r>
              <w:t>反映抽样检测结果公示时限</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rPr>
                <w:lang w:eastAsia="zh-CN"/>
              </w:rPr>
            </w:pPr>
            <w:r>
              <w:t>通报抽检监测结果</w:t>
            </w:r>
            <w:r>
              <w:rPr>
                <w:rFonts w:hint="eastAsia"/>
                <w:lang w:eastAsia="zh-CN"/>
              </w:rPr>
              <w:t>反馈率</w:t>
            </w:r>
          </w:p>
        </w:tc>
        <w:tc>
          <w:tcPr>
            <w:tcW w:w="2891" w:type="dxa"/>
            <w:vAlign w:val="center"/>
          </w:tcPr>
          <w:p>
            <w:pPr>
              <w:pStyle w:val="10"/>
            </w:pPr>
            <w:r>
              <w:t>及时向有关部门通报抽检监测结果</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rPr>
                <w:lang w:eastAsia="zh-CN"/>
              </w:rPr>
            </w:pPr>
            <w:r>
              <w:t>被检测单位</w:t>
            </w:r>
            <w:r>
              <w:rPr>
                <w:rFonts w:hint="eastAsia"/>
                <w:lang w:eastAsia="zh-CN"/>
              </w:rPr>
              <w:t>满意度</w:t>
            </w:r>
          </w:p>
        </w:tc>
        <w:tc>
          <w:tcPr>
            <w:tcW w:w="2891" w:type="dxa"/>
            <w:vAlign w:val="center"/>
          </w:tcPr>
          <w:p>
            <w:pPr>
              <w:pStyle w:val="10"/>
            </w:pPr>
            <w:r>
              <w:t>被检测单位的满意度</w:t>
            </w:r>
          </w:p>
        </w:tc>
        <w:tc>
          <w:tcPr>
            <w:tcW w:w="1276" w:type="dxa"/>
            <w:vAlign w:val="center"/>
          </w:tcPr>
          <w:p>
            <w:pPr>
              <w:pStyle w:val="10"/>
              <w:rPr>
                <w:lang w:eastAsia="zh-CN"/>
              </w:rPr>
            </w:pPr>
            <w:r>
              <w:t>≥95</w:t>
            </w:r>
            <w:r>
              <w:rPr>
                <w:rFonts w:hint="eastAsia"/>
                <w:lang w:eastAsia="zh-CN"/>
              </w:rPr>
              <w:t>%</w:t>
            </w:r>
          </w:p>
        </w:tc>
        <w:tc>
          <w:tcPr>
            <w:tcW w:w="1843" w:type="dxa"/>
            <w:vAlign w:val="center"/>
          </w:tcPr>
          <w:p>
            <w:pPr>
              <w:pStyle w:val="10"/>
            </w:pPr>
            <w:r>
              <w:t>计划标准</w:t>
            </w:r>
          </w:p>
        </w:tc>
      </w:tr>
    </w:tbl>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pPr>
    </w:p>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11.质量与标准化发展资金</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504007青岛市特种设备检验研究院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37020023P88002810642B</w:t>
            </w:r>
          </w:p>
        </w:tc>
        <w:tc>
          <w:tcPr>
            <w:tcW w:w="1587" w:type="dxa"/>
            <w:vAlign w:val="center"/>
          </w:tcPr>
          <w:p>
            <w:pPr>
              <w:pStyle w:val="9"/>
            </w:pPr>
            <w:r>
              <w:t>项目名称</w:t>
            </w:r>
          </w:p>
        </w:tc>
        <w:tc>
          <w:tcPr>
            <w:tcW w:w="4422" w:type="dxa"/>
            <w:gridSpan w:val="3"/>
            <w:vAlign w:val="center"/>
          </w:tcPr>
          <w:p>
            <w:pPr>
              <w:pStyle w:val="10"/>
            </w:pPr>
            <w:r>
              <w:t>特种设备检验检测经费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2831.00</w:t>
            </w:r>
          </w:p>
        </w:tc>
        <w:tc>
          <w:tcPr>
            <w:tcW w:w="1587" w:type="dxa"/>
            <w:vAlign w:val="center"/>
          </w:tcPr>
          <w:p>
            <w:pPr>
              <w:pStyle w:val="9"/>
            </w:pPr>
            <w:r>
              <w:t>其中：财政    资金</w:t>
            </w:r>
          </w:p>
        </w:tc>
        <w:tc>
          <w:tcPr>
            <w:tcW w:w="1304" w:type="dxa"/>
            <w:vAlign w:val="center"/>
          </w:tcPr>
          <w:p>
            <w:pPr>
              <w:pStyle w:val="10"/>
            </w:pPr>
            <w:r>
              <w:t>2831.00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保障单位正常运转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100.00</w:t>
            </w:r>
          </w:p>
        </w:tc>
        <w:tc>
          <w:tcPr>
            <w:tcW w:w="1587" w:type="dxa"/>
            <w:vAlign w:val="center"/>
          </w:tcPr>
          <w:p>
            <w:pPr>
              <w:pStyle w:val="11"/>
            </w:pPr>
            <w:r>
              <w:t>600.00</w:t>
            </w:r>
          </w:p>
        </w:tc>
        <w:tc>
          <w:tcPr>
            <w:tcW w:w="1304" w:type="dxa"/>
            <w:vAlign w:val="center"/>
          </w:tcPr>
          <w:p>
            <w:pPr>
              <w:pStyle w:val="11"/>
            </w:pPr>
            <w:r>
              <w:t>2237.00</w:t>
            </w:r>
          </w:p>
        </w:tc>
        <w:tc>
          <w:tcPr>
            <w:tcW w:w="3118" w:type="dxa"/>
            <w:gridSpan w:val="2"/>
            <w:vAlign w:val="center"/>
          </w:tcPr>
          <w:p>
            <w:pPr>
              <w:pStyle w:val="11"/>
            </w:pPr>
            <w:r>
              <w:t>2831.00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按照特种设备法律法规及安全技术标准，及时、准确出具检验报告，使检验报告和检验记录准确率达到97%以上，特种设备应检尽检与报检必检的检验率达到100%，保障全市特种设备安全健康运行，为社会和企业的安全保驾护航。通过对全市17万余台（件）特种设备的监督检验和法定检验，严格执行收支两条线，确保特种设备检验费收入9000余万元全部上缴财政，实现财政非税收入的应缴尽缴。</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特种设备检验检测经费</w:t>
            </w:r>
          </w:p>
        </w:tc>
        <w:tc>
          <w:tcPr>
            <w:tcW w:w="2891" w:type="dxa"/>
            <w:vAlign w:val="center"/>
          </w:tcPr>
          <w:p>
            <w:pPr>
              <w:pStyle w:val="10"/>
            </w:pPr>
            <w:r>
              <w:t>特种设备检验检测经费</w:t>
            </w:r>
          </w:p>
        </w:tc>
        <w:tc>
          <w:tcPr>
            <w:tcW w:w="1276" w:type="dxa"/>
            <w:vAlign w:val="center"/>
          </w:tcPr>
          <w:p>
            <w:pPr>
              <w:pStyle w:val="10"/>
            </w:pPr>
            <w:r>
              <w:t>≤2831万元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全市特种设备的监督检验和法定检验台（件）数</w:t>
            </w:r>
          </w:p>
        </w:tc>
        <w:tc>
          <w:tcPr>
            <w:tcW w:w="2891" w:type="dxa"/>
            <w:vAlign w:val="center"/>
          </w:tcPr>
          <w:p>
            <w:pPr>
              <w:pStyle w:val="10"/>
            </w:pPr>
            <w:r>
              <w:t>对全市特种设备的监督检验和法定检验数量</w:t>
            </w:r>
          </w:p>
        </w:tc>
        <w:tc>
          <w:tcPr>
            <w:tcW w:w="1276" w:type="dxa"/>
            <w:vAlign w:val="center"/>
          </w:tcPr>
          <w:p>
            <w:pPr>
              <w:pStyle w:val="10"/>
            </w:pPr>
            <w:r>
              <w:t>≥170000台（件）</w:t>
            </w:r>
          </w:p>
        </w:tc>
        <w:tc>
          <w:tcPr>
            <w:tcW w:w="1843" w:type="dxa"/>
            <w:vAlign w:val="center"/>
          </w:tcPr>
          <w:p>
            <w:pPr>
              <w:pStyle w:val="10"/>
            </w:pPr>
            <w:r>
              <w:t>全市特种设备在用总量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86"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财政非税收入</w:t>
            </w:r>
          </w:p>
        </w:tc>
        <w:tc>
          <w:tcPr>
            <w:tcW w:w="2891" w:type="dxa"/>
            <w:vAlign w:val="center"/>
          </w:tcPr>
          <w:p>
            <w:pPr>
              <w:pStyle w:val="10"/>
            </w:pPr>
            <w:r>
              <w:t>特种设备检验费上缴财政非税收入</w:t>
            </w:r>
          </w:p>
        </w:tc>
        <w:tc>
          <w:tcPr>
            <w:tcW w:w="1276" w:type="dxa"/>
            <w:vAlign w:val="center"/>
          </w:tcPr>
          <w:p>
            <w:pPr>
              <w:pStyle w:val="10"/>
            </w:pPr>
            <w:r>
              <w:t>≥9000万元</w:t>
            </w:r>
          </w:p>
        </w:tc>
        <w:tc>
          <w:tcPr>
            <w:tcW w:w="1843" w:type="dxa"/>
            <w:vAlign w:val="center"/>
          </w:tcPr>
          <w:p>
            <w:pPr>
              <w:pStyle w:val="10"/>
            </w:pPr>
            <w:r>
              <w:t>全市特种设备在用总量及山东特种设备检验检测收费标准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检验报告准确率</w:t>
            </w:r>
          </w:p>
        </w:tc>
        <w:tc>
          <w:tcPr>
            <w:tcW w:w="2891" w:type="dxa"/>
            <w:vAlign w:val="center"/>
          </w:tcPr>
          <w:p>
            <w:pPr>
              <w:pStyle w:val="10"/>
            </w:pPr>
            <w:r>
              <w:t>全年检验报告准确率</w:t>
            </w:r>
          </w:p>
        </w:tc>
        <w:tc>
          <w:tcPr>
            <w:tcW w:w="1276" w:type="dxa"/>
            <w:vAlign w:val="center"/>
          </w:tcPr>
          <w:p>
            <w:pPr>
              <w:pStyle w:val="10"/>
            </w:pPr>
            <w:r>
              <w:t>≥97%</w:t>
            </w:r>
          </w:p>
        </w:tc>
        <w:tc>
          <w:tcPr>
            <w:tcW w:w="1843" w:type="dxa"/>
            <w:vAlign w:val="center"/>
          </w:tcPr>
          <w:p>
            <w:pPr>
              <w:pStyle w:val="10"/>
            </w:pPr>
            <w:r>
              <w:t>单位质量目标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检验记录准确率</w:t>
            </w:r>
          </w:p>
        </w:tc>
        <w:tc>
          <w:tcPr>
            <w:tcW w:w="2891" w:type="dxa"/>
            <w:vAlign w:val="center"/>
          </w:tcPr>
          <w:p>
            <w:pPr>
              <w:pStyle w:val="10"/>
            </w:pPr>
            <w:r>
              <w:t>全年检验记录准确率</w:t>
            </w:r>
          </w:p>
        </w:tc>
        <w:tc>
          <w:tcPr>
            <w:tcW w:w="1276" w:type="dxa"/>
            <w:vAlign w:val="center"/>
          </w:tcPr>
          <w:p>
            <w:pPr>
              <w:pStyle w:val="10"/>
            </w:pPr>
            <w:r>
              <w:t>≥97%</w:t>
            </w:r>
          </w:p>
        </w:tc>
        <w:tc>
          <w:tcPr>
            <w:tcW w:w="1843" w:type="dxa"/>
            <w:vAlign w:val="center"/>
          </w:tcPr>
          <w:p>
            <w:pPr>
              <w:pStyle w:val="10"/>
            </w:pPr>
            <w:r>
              <w:t>单位质量目标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出具检验报告及时率</w:t>
            </w:r>
          </w:p>
        </w:tc>
        <w:tc>
          <w:tcPr>
            <w:tcW w:w="2891" w:type="dxa"/>
            <w:vAlign w:val="center"/>
          </w:tcPr>
          <w:p>
            <w:pPr>
              <w:pStyle w:val="10"/>
            </w:pPr>
            <w:r>
              <w:t>全年按规定时限出具检验报告工作时效</w:t>
            </w:r>
          </w:p>
        </w:tc>
        <w:tc>
          <w:tcPr>
            <w:tcW w:w="1276" w:type="dxa"/>
            <w:vAlign w:val="center"/>
          </w:tcPr>
          <w:p>
            <w:pPr>
              <w:pStyle w:val="10"/>
            </w:pPr>
            <w:r>
              <w:t>≤30工作日</w:t>
            </w:r>
          </w:p>
        </w:tc>
        <w:tc>
          <w:tcPr>
            <w:tcW w:w="1843" w:type="dxa"/>
            <w:vAlign w:val="center"/>
          </w:tcPr>
          <w:p>
            <w:pPr>
              <w:pStyle w:val="10"/>
            </w:pPr>
            <w:r>
              <w:t>单位质量目标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全市特种设备应检尽检与报检必检的检验率</w:t>
            </w:r>
          </w:p>
        </w:tc>
        <w:tc>
          <w:tcPr>
            <w:tcW w:w="2891" w:type="dxa"/>
            <w:vAlign w:val="center"/>
          </w:tcPr>
          <w:p>
            <w:pPr>
              <w:pStyle w:val="10"/>
            </w:pPr>
            <w:r>
              <w:t>全市特种设备应检尽检与报检必检的检验情况</w:t>
            </w:r>
          </w:p>
        </w:tc>
        <w:tc>
          <w:tcPr>
            <w:tcW w:w="1276" w:type="dxa"/>
            <w:vAlign w:val="center"/>
          </w:tcPr>
          <w:p>
            <w:pPr>
              <w:pStyle w:val="10"/>
            </w:pPr>
            <w:r>
              <w:t>100%</w:t>
            </w:r>
          </w:p>
        </w:tc>
        <w:tc>
          <w:tcPr>
            <w:tcW w:w="1843" w:type="dxa"/>
            <w:vAlign w:val="center"/>
          </w:tcPr>
          <w:p>
            <w:pPr>
              <w:pStyle w:val="10"/>
            </w:pPr>
            <w:r>
              <w:t>单位质量目标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被检单位的满意度</w:t>
            </w:r>
          </w:p>
        </w:tc>
        <w:tc>
          <w:tcPr>
            <w:tcW w:w="2891" w:type="dxa"/>
            <w:vAlign w:val="center"/>
          </w:tcPr>
          <w:p>
            <w:pPr>
              <w:pStyle w:val="10"/>
            </w:pPr>
            <w:r>
              <w:t>被检单位对检验服务、质量、效能等方面的满意度达到97%以上</w:t>
            </w:r>
          </w:p>
        </w:tc>
        <w:tc>
          <w:tcPr>
            <w:tcW w:w="1276" w:type="dxa"/>
            <w:vAlign w:val="center"/>
          </w:tcPr>
          <w:p>
            <w:pPr>
              <w:pStyle w:val="10"/>
            </w:pPr>
            <w:r>
              <w:t>≥97%</w:t>
            </w:r>
          </w:p>
        </w:tc>
        <w:tc>
          <w:tcPr>
            <w:tcW w:w="1843" w:type="dxa"/>
            <w:vAlign w:val="center"/>
          </w:tcPr>
          <w:p>
            <w:pPr>
              <w:pStyle w:val="10"/>
            </w:pPr>
            <w:r>
              <w:t>单位质量目标</w:t>
            </w:r>
          </w:p>
        </w:tc>
      </w:tr>
    </w:tbl>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504007青岛市特种设备检验研究院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37020023P88002810641P</w:t>
            </w:r>
          </w:p>
        </w:tc>
        <w:tc>
          <w:tcPr>
            <w:tcW w:w="1587" w:type="dxa"/>
            <w:vAlign w:val="center"/>
          </w:tcPr>
          <w:p>
            <w:pPr>
              <w:pStyle w:val="9"/>
            </w:pPr>
            <w:r>
              <w:t>项目名称</w:t>
            </w:r>
          </w:p>
        </w:tc>
        <w:tc>
          <w:tcPr>
            <w:tcW w:w="4422" w:type="dxa"/>
            <w:gridSpan w:val="3"/>
            <w:vAlign w:val="center"/>
          </w:tcPr>
          <w:p>
            <w:pPr>
              <w:pStyle w:val="10"/>
            </w:pPr>
            <w:r>
              <w:t>特种设备检验检测经费（经营资金）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7200.00</w:t>
            </w:r>
          </w:p>
        </w:tc>
        <w:tc>
          <w:tcPr>
            <w:tcW w:w="1587" w:type="dxa"/>
            <w:vAlign w:val="center"/>
          </w:tcPr>
          <w:p>
            <w:pPr>
              <w:pStyle w:val="9"/>
            </w:pPr>
            <w:r>
              <w:t>其中：财政    资金</w:t>
            </w:r>
          </w:p>
        </w:tc>
        <w:tc>
          <w:tcPr>
            <w:tcW w:w="1304" w:type="dxa"/>
            <w:vAlign w:val="center"/>
          </w:tcPr>
          <w:p>
            <w:pPr>
              <w:pStyle w:val="10"/>
            </w:pPr>
            <w:r>
              <w:t xml:space="preserve"> </w:t>
            </w:r>
          </w:p>
        </w:tc>
        <w:tc>
          <w:tcPr>
            <w:tcW w:w="1276" w:type="dxa"/>
            <w:vAlign w:val="center"/>
          </w:tcPr>
          <w:p>
            <w:pPr>
              <w:pStyle w:val="9"/>
            </w:pPr>
            <w:r>
              <w:t>其他资金</w:t>
            </w:r>
          </w:p>
        </w:tc>
        <w:tc>
          <w:tcPr>
            <w:tcW w:w="1843" w:type="dxa"/>
            <w:vAlign w:val="center"/>
          </w:tcPr>
          <w:p>
            <w:pPr>
              <w:pStyle w:val="10"/>
            </w:pPr>
            <w:r>
              <w:t>7200.00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保障单位正常运转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1800.00</w:t>
            </w:r>
          </w:p>
        </w:tc>
        <w:tc>
          <w:tcPr>
            <w:tcW w:w="1587" w:type="dxa"/>
            <w:vAlign w:val="center"/>
          </w:tcPr>
          <w:p>
            <w:pPr>
              <w:pStyle w:val="11"/>
            </w:pPr>
            <w:r>
              <w:t>3600.00</w:t>
            </w:r>
          </w:p>
        </w:tc>
        <w:tc>
          <w:tcPr>
            <w:tcW w:w="1304" w:type="dxa"/>
            <w:vAlign w:val="center"/>
          </w:tcPr>
          <w:p>
            <w:pPr>
              <w:pStyle w:val="11"/>
            </w:pPr>
            <w:r>
              <w:t>6000.00</w:t>
            </w:r>
          </w:p>
        </w:tc>
        <w:tc>
          <w:tcPr>
            <w:tcW w:w="3118" w:type="dxa"/>
            <w:gridSpan w:val="2"/>
            <w:vAlign w:val="center"/>
          </w:tcPr>
          <w:p>
            <w:pPr>
              <w:pStyle w:val="11"/>
            </w:pPr>
            <w:r>
              <w:t>7200.00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通过接受企业委托对特种设备进行检测，按照检测报告质量与技术标准、委托合同要求及时、准确出具检测报告，达到更好的为企业服务。</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特种设备检验检测经费</w:t>
            </w:r>
          </w:p>
        </w:tc>
        <w:tc>
          <w:tcPr>
            <w:tcW w:w="2891" w:type="dxa"/>
            <w:vAlign w:val="center"/>
          </w:tcPr>
          <w:p>
            <w:pPr>
              <w:pStyle w:val="10"/>
            </w:pPr>
            <w:r>
              <w:t>特种设备检验检测经费</w:t>
            </w:r>
          </w:p>
        </w:tc>
        <w:tc>
          <w:tcPr>
            <w:tcW w:w="1276" w:type="dxa"/>
            <w:vAlign w:val="center"/>
          </w:tcPr>
          <w:p>
            <w:pPr>
              <w:pStyle w:val="10"/>
            </w:pPr>
            <w:r>
              <w:t>≤7200万元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委托性检验检测特种设备台数</w:t>
            </w:r>
          </w:p>
        </w:tc>
        <w:tc>
          <w:tcPr>
            <w:tcW w:w="2891" w:type="dxa"/>
            <w:vAlign w:val="center"/>
          </w:tcPr>
          <w:p>
            <w:pPr>
              <w:pStyle w:val="10"/>
            </w:pPr>
            <w:r>
              <w:t>受理委托检验检测特种设备</w:t>
            </w:r>
          </w:p>
        </w:tc>
        <w:tc>
          <w:tcPr>
            <w:tcW w:w="1276" w:type="dxa"/>
            <w:vAlign w:val="center"/>
          </w:tcPr>
          <w:p>
            <w:pPr>
              <w:pStyle w:val="10"/>
            </w:pPr>
            <w:r>
              <w:t>≥220台（套）</w:t>
            </w:r>
          </w:p>
        </w:tc>
        <w:tc>
          <w:tcPr>
            <w:tcW w:w="1843" w:type="dxa"/>
            <w:vAlign w:val="center"/>
          </w:tcPr>
          <w:p>
            <w:pPr>
              <w:pStyle w:val="10"/>
            </w:pPr>
            <w:r>
              <w:t>受理委托检验特种设备数量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签订委托性检验检测合同数量</w:t>
            </w:r>
          </w:p>
        </w:tc>
        <w:tc>
          <w:tcPr>
            <w:tcW w:w="2891" w:type="dxa"/>
            <w:vAlign w:val="center"/>
          </w:tcPr>
          <w:p>
            <w:pPr>
              <w:pStyle w:val="10"/>
            </w:pPr>
            <w:r>
              <w:t>接受委托，与企业签订合同数量</w:t>
            </w:r>
          </w:p>
        </w:tc>
        <w:tc>
          <w:tcPr>
            <w:tcW w:w="1276" w:type="dxa"/>
            <w:vAlign w:val="center"/>
          </w:tcPr>
          <w:p>
            <w:pPr>
              <w:pStyle w:val="10"/>
            </w:pPr>
            <w:r>
              <w:t>≥148份</w:t>
            </w:r>
          </w:p>
        </w:tc>
        <w:tc>
          <w:tcPr>
            <w:tcW w:w="1843" w:type="dxa"/>
            <w:vAlign w:val="center"/>
          </w:tcPr>
          <w:p>
            <w:pPr>
              <w:pStyle w:val="10"/>
            </w:pPr>
            <w:r>
              <w:t>签订委托性检验检测合同数量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检验检测记录准确率</w:t>
            </w:r>
          </w:p>
        </w:tc>
        <w:tc>
          <w:tcPr>
            <w:tcW w:w="2891" w:type="dxa"/>
            <w:vAlign w:val="center"/>
          </w:tcPr>
          <w:p>
            <w:pPr>
              <w:pStyle w:val="10"/>
            </w:pPr>
            <w:r>
              <w:t>全年检验检测记录准确率</w:t>
            </w:r>
          </w:p>
        </w:tc>
        <w:tc>
          <w:tcPr>
            <w:tcW w:w="1276" w:type="dxa"/>
            <w:vAlign w:val="center"/>
          </w:tcPr>
          <w:p>
            <w:pPr>
              <w:pStyle w:val="10"/>
            </w:pPr>
            <w:r>
              <w:t>≥97%</w:t>
            </w:r>
          </w:p>
        </w:tc>
        <w:tc>
          <w:tcPr>
            <w:tcW w:w="1843" w:type="dxa"/>
            <w:vAlign w:val="center"/>
          </w:tcPr>
          <w:p>
            <w:pPr>
              <w:pStyle w:val="10"/>
            </w:pPr>
            <w:r>
              <w:t>单位质量目标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检验检测报告准确率</w:t>
            </w:r>
          </w:p>
        </w:tc>
        <w:tc>
          <w:tcPr>
            <w:tcW w:w="2891" w:type="dxa"/>
            <w:vAlign w:val="center"/>
          </w:tcPr>
          <w:p>
            <w:pPr>
              <w:pStyle w:val="10"/>
            </w:pPr>
            <w:r>
              <w:t>全年检验检测报告准确率</w:t>
            </w:r>
          </w:p>
        </w:tc>
        <w:tc>
          <w:tcPr>
            <w:tcW w:w="1276" w:type="dxa"/>
            <w:vAlign w:val="center"/>
          </w:tcPr>
          <w:p>
            <w:pPr>
              <w:pStyle w:val="10"/>
            </w:pPr>
            <w:r>
              <w:t>≥97%</w:t>
            </w:r>
          </w:p>
        </w:tc>
        <w:tc>
          <w:tcPr>
            <w:tcW w:w="1843" w:type="dxa"/>
            <w:vAlign w:val="center"/>
          </w:tcPr>
          <w:p>
            <w:pPr>
              <w:pStyle w:val="10"/>
            </w:pPr>
            <w:r>
              <w:t>单位质量目标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根据委托合同要求出具检验检测报告及时率</w:t>
            </w:r>
          </w:p>
        </w:tc>
        <w:tc>
          <w:tcPr>
            <w:tcW w:w="2891" w:type="dxa"/>
            <w:vAlign w:val="center"/>
          </w:tcPr>
          <w:p>
            <w:pPr>
              <w:pStyle w:val="10"/>
            </w:pPr>
            <w:r>
              <w:t>根据委托合同要求出具检验检测报告工作时效</w:t>
            </w:r>
          </w:p>
        </w:tc>
        <w:tc>
          <w:tcPr>
            <w:tcW w:w="1276" w:type="dxa"/>
            <w:vAlign w:val="center"/>
          </w:tcPr>
          <w:p>
            <w:pPr>
              <w:pStyle w:val="10"/>
            </w:pPr>
            <w:r>
              <w:t>≤30工作日</w:t>
            </w:r>
          </w:p>
        </w:tc>
        <w:tc>
          <w:tcPr>
            <w:tcW w:w="1843" w:type="dxa"/>
            <w:vAlign w:val="center"/>
          </w:tcPr>
          <w:p>
            <w:pPr>
              <w:pStyle w:val="10"/>
            </w:pPr>
            <w:r>
              <w:t>计划目标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服务企业消除设备隐患率</w:t>
            </w:r>
          </w:p>
        </w:tc>
        <w:tc>
          <w:tcPr>
            <w:tcW w:w="2891" w:type="dxa"/>
            <w:vAlign w:val="center"/>
          </w:tcPr>
          <w:p>
            <w:pPr>
              <w:pStyle w:val="10"/>
            </w:pPr>
            <w:r>
              <w:t>服务企业消除特种设备安全隐患情况</w:t>
            </w:r>
          </w:p>
        </w:tc>
        <w:tc>
          <w:tcPr>
            <w:tcW w:w="1276" w:type="dxa"/>
            <w:vAlign w:val="center"/>
          </w:tcPr>
          <w:p>
            <w:pPr>
              <w:pStyle w:val="10"/>
            </w:pPr>
            <w:r>
              <w:t>100%</w:t>
            </w:r>
          </w:p>
        </w:tc>
        <w:tc>
          <w:tcPr>
            <w:tcW w:w="1843" w:type="dxa"/>
            <w:vAlign w:val="center"/>
          </w:tcPr>
          <w:p>
            <w:pPr>
              <w:pStyle w:val="10"/>
            </w:pPr>
            <w:r>
              <w:t xml:space="preserve">计划目标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客户满意度</w:t>
            </w:r>
          </w:p>
        </w:tc>
        <w:tc>
          <w:tcPr>
            <w:tcW w:w="2891" w:type="dxa"/>
            <w:vAlign w:val="center"/>
          </w:tcPr>
          <w:p>
            <w:pPr>
              <w:pStyle w:val="10"/>
            </w:pPr>
            <w:r>
              <w:t>客户对检验检测服务、质量、效率等方面的满意度97%以上</w:t>
            </w:r>
          </w:p>
        </w:tc>
        <w:tc>
          <w:tcPr>
            <w:tcW w:w="1276" w:type="dxa"/>
            <w:vAlign w:val="center"/>
          </w:tcPr>
          <w:p>
            <w:pPr>
              <w:pStyle w:val="10"/>
            </w:pPr>
            <w:r>
              <w:t>≥97%</w:t>
            </w:r>
          </w:p>
        </w:tc>
        <w:tc>
          <w:tcPr>
            <w:tcW w:w="1843" w:type="dxa"/>
            <w:vAlign w:val="center"/>
          </w:tcPr>
          <w:p>
            <w:pPr>
              <w:pStyle w:val="10"/>
            </w:pPr>
            <w:r>
              <w:t>单位质量目标</w:t>
            </w:r>
          </w:p>
        </w:tc>
      </w:tr>
    </w:tbl>
    <w:p>
      <w:pPr>
        <w:sectPr>
          <w:pgSz w:w="11900" w:h="16840"/>
          <w:pgMar w:top="1984" w:right="1304" w:bottom="1134" w:left="1304" w:header="720" w:footer="720" w:gutter="0"/>
          <w:pgNumType w:fmt="numberInDash"/>
          <w:cols w:space="720" w:num="1"/>
        </w:sect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504008青岛市产品质量检验研究院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37020023P880028107219</w:t>
            </w:r>
          </w:p>
        </w:tc>
        <w:tc>
          <w:tcPr>
            <w:tcW w:w="1587" w:type="dxa"/>
            <w:vAlign w:val="center"/>
          </w:tcPr>
          <w:p>
            <w:pPr>
              <w:pStyle w:val="9"/>
            </w:pPr>
            <w:r>
              <w:t>项目名称</w:t>
            </w:r>
          </w:p>
        </w:tc>
        <w:tc>
          <w:tcPr>
            <w:tcW w:w="4422" w:type="dxa"/>
            <w:gridSpan w:val="3"/>
            <w:vAlign w:val="center"/>
          </w:tcPr>
          <w:p>
            <w:pPr>
              <w:pStyle w:val="10"/>
            </w:pPr>
            <w:r>
              <w:t>质检院专项业务费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12800.00</w:t>
            </w:r>
          </w:p>
        </w:tc>
        <w:tc>
          <w:tcPr>
            <w:tcW w:w="1587" w:type="dxa"/>
            <w:vAlign w:val="center"/>
          </w:tcPr>
          <w:p>
            <w:pPr>
              <w:pStyle w:val="9"/>
            </w:pPr>
            <w:r>
              <w:t>其中：财政    资金</w:t>
            </w:r>
          </w:p>
        </w:tc>
        <w:tc>
          <w:tcPr>
            <w:tcW w:w="1304" w:type="dxa"/>
            <w:vAlign w:val="center"/>
          </w:tcPr>
          <w:p>
            <w:pPr>
              <w:pStyle w:val="10"/>
            </w:pPr>
            <w:r>
              <w:t xml:space="preserve"> </w:t>
            </w:r>
          </w:p>
        </w:tc>
        <w:tc>
          <w:tcPr>
            <w:tcW w:w="1276" w:type="dxa"/>
            <w:vAlign w:val="center"/>
          </w:tcPr>
          <w:p>
            <w:pPr>
              <w:pStyle w:val="9"/>
            </w:pPr>
            <w:r>
              <w:t>其他资金</w:t>
            </w:r>
          </w:p>
        </w:tc>
        <w:tc>
          <w:tcPr>
            <w:tcW w:w="1843" w:type="dxa"/>
            <w:vAlign w:val="center"/>
          </w:tcPr>
          <w:p>
            <w:pPr>
              <w:pStyle w:val="10"/>
            </w:pPr>
            <w:r>
              <w:t>12800.00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通过做好产业发展检验检测保障工作，充分发挥检验检测服务产业高质量发展的技术支撑作用，达到更好的为各类企业开展委托检验、研发测试、型式检验、质量保证检验、认证检验等各类检验检测。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3000.00</w:t>
            </w:r>
          </w:p>
        </w:tc>
        <w:tc>
          <w:tcPr>
            <w:tcW w:w="1587" w:type="dxa"/>
            <w:vAlign w:val="center"/>
          </w:tcPr>
          <w:p>
            <w:pPr>
              <w:pStyle w:val="11"/>
            </w:pPr>
            <w:r>
              <w:t>6400.00</w:t>
            </w:r>
          </w:p>
        </w:tc>
        <w:tc>
          <w:tcPr>
            <w:tcW w:w="1304" w:type="dxa"/>
            <w:vAlign w:val="center"/>
          </w:tcPr>
          <w:p>
            <w:pPr>
              <w:pStyle w:val="11"/>
            </w:pPr>
            <w:r>
              <w:t>9600.00</w:t>
            </w:r>
          </w:p>
        </w:tc>
        <w:tc>
          <w:tcPr>
            <w:tcW w:w="3118" w:type="dxa"/>
            <w:gridSpan w:val="2"/>
            <w:vAlign w:val="center"/>
          </w:tcPr>
          <w:p>
            <w:pPr>
              <w:pStyle w:val="11"/>
            </w:pPr>
            <w:r>
              <w:t>12800.00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通过做好产业发展检验检测保障工作，充分发挥检验检测服务产业高质量发展的技术支撑作用，为各类企业开展委托检验、研发测试、型式检验、质量保证检验、认证检验等各类检验检测。</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专用材料平均检测成本</w:t>
            </w:r>
          </w:p>
        </w:tc>
        <w:tc>
          <w:tcPr>
            <w:tcW w:w="2891" w:type="dxa"/>
            <w:vAlign w:val="center"/>
          </w:tcPr>
          <w:p>
            <w:pPr>
              <w:pStyle w:val="10"/>
            </w:pPr>
            <w:r>
              <w:t>专用材料平均检测成本小于等于500元/批次</w:t>
            </w:r>
          </w:p>
        </w:tc>
        <w:tc>
          <w:tcPr>
            <w:tcW w:w="1276" w:type="dxa"/>
            <w:vAlign w:val="center"/>
          </w:tcPr>
          <w:p>
            <w:pPr>
              <w:pStyle w:val="10"/>
            </w:pPr>
            <w:r>
              <w:t>≤500元/批次</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委托检测业务总批次</w:t>
            </w:r>
          </w:p>
        </w:tc>
        <w:tc>
          <w:tcPr>
            <w:tcW w:w="2891" w:type="dxa"/>
            <w:vAlign w:val="center"/>
          </w:tcPr>
          <w:p>
            <w:pPr>
              <w:pStyle w:val="10"/>
            </w:pPr>
            <w:r>
              <w:t>委托检测业务总批次大于等于3.6万批次</w:t>
            </w:r>
          </w:p>
        </w:tc>
        <w:tc>
          <w:tcPr>
            <w:tcW w:w="1276" w:type="dxa"/>
            <w:vAlign w:val="center"/>
          </w:tcPr>
          <w:p>
            <w:pPr>
              <w:pStyle w:val="10"/>
            </w:pPr>
            <w:r>
              <w:t>≥36000批次</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检验检测总批次</w:t>
            </w:r>
          </w:p>
        </w:tc>
        <w:tc>
          <w:tcPr>
            <w:tcW w:w="2891" w:type="dxa"/>
            <w:vAlign w:val="center"/>
          </w:tcPr>
          <w:p>
            <w:pPr>
              <w:pStyle w:val="10"/>
            </w:pPr>
            <w:r>
              <w:t>检验检测总批次大于等于4.1万批次</w:t>
            </w:r>
          </w:p>
        </w:tc>
        <w:tc>
          <w:tcPr>
            <w:tcW w:w="1276" w:type="dxa"/>
            <w:vAlign w:val="center"/>
          </w:tcPr>
          <w:p>
            <w:pPr>
              <w:pStyle w:val="10"/>
            </w:pPr>
            <w:r>
              <w:t>≥41000批次</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检测报告合格率</w:t>
            </w:r>
          </w:p>
        </w:tc>
        <w:tc>
          <w:tcPr>
            <w:tcW w:w="2891" w:type="dxa"/>
            <w:vAlign w:val="center"/>
          </w:tcPr>
          <w:p>
            <w:pPr>
              <w:pStyle w:val="10"/>
            </w:pPr>
            <w:r>
              <w:t>检测报告合格率达到100%</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根据委托合同要求出具报告及时率</w:t>
            </w:r>
          </w:p>
        </w:tc>
        <w:tc>
          <w:tcPr>
            <w:tcW w:w="2891" w:type="dxa"/>
            <w:vAlign w:val="center"/>
          </w:tcPr>
          <w:p>
            <w:pPr>
              <w:pStyle w:val="10"/>
            </w:pPr>
            <w:r>
              <w:t>根据委托合同要求出具报告及时率达到95%以上</w:t>
            </w:r>
          </w:p>
        </w:tc>
        <w:tc>
          <w:tcPr>
            <w:tcW w:w="1276" w:type="dxa"/>
            <w:vAlign w:val="center"/>
          </w:tcPr>
          <w:p>
            <w:pPr>
              <w:pStyle w:val="10"/>
            </w:pPr>
            <w:r>
              <w:t>≥95%</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发出报告事故率</w:t>
            </w:r>
          </w:p>
        </w:tc>
        <w:tc>
          <w:tcPr>
            <w:tcW w:w="2891" w:type="dxa"/>
            <w:vAlign w:val="center"/>
          </w:tcPr>
          <w:p>
            <w:pPr>
              <w:pStyle w:val="10"/>
            </w:pPr>
            <w:r>
              <w:t>发出报告事故率控制在0.02%以下</w:t>
            </w:r>
          </w:p>
        </w:tc>
        <w:tc>
          <w:tcPr>
            <w:tcW w:w="1276" w:type="dxa"/>
            <w:vAlign w:val="center"/>
          </w:tcPr>
          <w:p>
            <w:pPr>
              <w:pStyle w:val="10"/>
            </w:pPr>
            <w:r>
              <w:t>≤0.02%</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经济效益指标</w:t>
            </w:r>
          </w:p>
        </w:tc>
        <w:tc>
          <w:tcPr>
            <w:tcW w:w="1332" w:type="dxa"/>
            <w:vAlign w:val="center"/>
          </w:tcPr>
          <w:p>
            <w:pPr>
              <w:pStyle w:val="10"/>
            </w:pPr>
            <w:r>
              <w:t>服务企业数量</w:t>
            </w:r>
          </w:p>
        </w:tc>
        <w:tc>
          <w:tcPr>
            <w:tcW w:w="2891" w:type="dxa"/>
            <w:vAlign w:val="center"/>
          </w:tcPr>
          <w:p>
            <w:pPr>
              <w:pStyle w:val="10"/>
            </w:pPr>
            <w:r>
              <w:t>服务企业数量大于等于3500家</w:t>
            </w:r>
          </w:p>
        </w:tc>
        <w:tc>
          <w:tcPr>
            <w:tcW w:w="1276" w:type="dxa"/>
            <w:vAlign w:val="center"/>
          </w:tcPr>
          <w:p>
            <w:pPr>
              <w:pStyle w:val="10"/>
            </w:pPr>
            <w:r>
              <w:t>≥3500家</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客户满意度</w:t>
            </w:r>
          </w:p>
        </w:tc>
        <w:tc>
          <w:tcPr>
            <w:tcW w:w="2891" w:type="dxa"/>
            <w:vAlign w:val="center"/>
          </w:tcPr>
          <w:p>
            <w:pPr>
              <w:pStyle w:val="10"/>
            </w:pPr>
            <w:r>
              <w:t>客户满意度达到95%以上</w:t>
            </w:r>
          </w:p>
        </w:tc>
        <w:tc>
          <w:tcPr>
            <w:tcW w:w="1276" w:type="dxa"/>
            <w:vAlign w:val="center"/>
          </w:tcPr>
          <w:p>
            <w:pPr>
              <w:pStyle w:val="10"/>
            </w:pPr>
            <w:r>
              <w:t>≥95%</w:t>
            </w:r>
          </w:p>
        </w:tc>
        <w:tc>
          <w:tcPr>
            <w:tcW w:w="1843" w:type="dxa"/>
            <w:vAlign w:val="center"/>
          </w:tcPr>
          <w:p>
            <w:pPr>
              <w:pStyle w:val="10"/>
            </w:pPr>
            <w:r>
              <w:t>计划标准</w:t>
            </w:r>
          </w:p>
        </w:tc>
      </w:tr>
    </w:tbl>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outlineLvl w:val="3"/>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504009青岛市计量技术研究院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37020023P88002810720M</w:t>
            </w:r>
          </w:p>
        </w:tc>
        <w:tc>
          <w:tcPr>
            <w:tcW w:w="1587" w:type="dxa"/>
            <w:vAlign w:val="center"/>
          </w:tcPr>
          <w:p>
            <w:pPr>
              <w:pStyle w:val="9"/>
            </w:pPr>
            <w:r>
              <w:t>项目名称</w:t>
            </w:r>
          </w:p>
        </w:tc>
        <w:tc>
          <w:tcPr>
            <w:tcW w:w="4422" w:type="dxa"/>
            <w:gridSpan w:val="3"/>
            <w:vAlign w:val="center"/>
          </w:tcPr>
          <w:p>
            <w:pPr>
              <w:pStyle w:val="10"/>
            </w:pPr>
            <w:r>
              <w:t>计量技术能力建设专项业务费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5988.90</w:t>
            </w:r>
          </w:p>
        </w:tc>
        <w:tc>
          <w:tcPr>
            <w:tcW w:w="1587" w:type="dxa"/>
            <w:vAlign w:val="center"/>
          </w:tcPr>
          <w:p>
            <w:pPr>
              <w:pStyle w:val="9"/>
            </w:pPr>
            <w:r>
              <w:t>其中：财政    资金</w:t>
            </w:r>
          </w:p>
        </w:tc>
        <w:tc>
          <w:tcPr>
            <w:tcW w:w="1304" w:type="dxa"/>
            <w:vAlign w:val="center"/>
          </w:tcPr>
          <w:p>
            <w:pPr>
              <w:pStyle w:val="10"/>
            </w:pPr>
            <w:r>
              <w:t xml:space="preserve"> </w:t>
            </w:r>
          </w:p>
        </w:tc>
        <w:tc>
          <w:tcPr>
            <w:tcW w:w="1276" w:type="dxa"/>
            <w:vAlign w:val="center"/>
          </w:tcPr>
          <w:p>
            <w:pPr>
              <w:pStyle w:val="9"/>
            </w:pPr>
            <w:r>
              <w:t>其他资金</w:t>
            </w:r>
          </w:p>
        </w:tc>
        <w:tc>
          <w:tcPr>
            <w:tcW w:w="1843" w:type="dxa"/>
            <w:vAlign w:val="center"/>
          </w:tcPr>
          <w:p>
            <w:pPr>
              <w:pStyle w:val="10"/>
            </w:pPr>
            <w:r>
              <w:t>5988.90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紧紧围绕环境保护、工程测绘、医疗卫生、建筑检测等重点领域，通过加强量传溯源体系建设，提高科学计量水平和计量服务保障能力，服务我市优势产业发展、基础设施建设、疫情防控、产品质量检测等量传溯源需求，力争新建社会计量标准20项，保障已建社会公用计量标准的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1500.00</w:t>
            </w:r>
          </w:p>
        </w:tc>
        <w:tc>
          <w:tcPr>
            <w:tcW w:w="1587" w:type="dxa"/>
            <w:vAlign w:val="center"/>
          </w:tcPr>
          <w:p>
            <w:pPr>
              <w:pStyle w:val="11"/>
            </w:pPr>
            <w:r>
              <w:t>3000.00</w:t>
            </w:r>
          </w:p>
        </w:tc>
        <w:tc>
          <w:tcPr>
            <w:tcW w:w="1304" w:type="dxa"/>
            <w:vAlign w:val="center"/>
          </w:tcPr>
          <w:p>
            <w:pPr>
              <w:pStyle w:val="11"/>
            </w:pPr>
            <w:r>
              <w:t>4500.00</w:t>
            </w:r>
          </w:p>
        </w:tc>
        <w:tc>
          <w:tcPr>
            <w:tcW w:w="3118" w:type="dxa"/>
            <w:gridSpan w:val="2"/>
            <w:vAlign w:val="center"/>
          </w:tcPr>
          <w:p>
            <w:pPr>
              <w:pStyle w:val="11"/>
            </w:pPr>
            <w:r>
              <w:t>5988.90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目标内容1   我院通过加强量传溯源体系建设，提高科学计量水平和计量服务保障能力，服务我市优势产业发展、基础设施建设、疫情防控、产品质量检测等量传溯源需求，力争新建社会计量标准20项，达到保障已建社会公用计量标准的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rPr>
                <w:rFonts w:hint="eastAsia"/>
                <w:lang w:eastAsia="zh-CN"/>
              </w:rPr>
              <w:t>经济</w:t>
            </w:r>
            <w:r>
              <w:t>成本指标</w:t>
            </w:r>
          </w:p>
        </w:tc>
        <w:tc>
          <w:tcPr>
            <w:tcW w:w="1332" w:type="dxa"/>
            <w:vAlign w:val="center"/>
          </w:tcPr>
          <w:p>
            <w:pPr>
              <w:pStyle w:val="10"/>
              <w:rPr>
                <w:lang w:eastAsia="zh-CN"/>
              </w:rPr>
            </w:pPr>
            <w:r>
              <w:t>计量技术能力建设专项业务费</w:t>
            </w:r>
            <w:r>
              <w:rPr>
                <w:rFonts w:hint="eastAsia"/>
                <w:lang w:eastAsia="zh-CN"/>
              </w:rPr>
              <w:t>预算控制数</w:t>
            </w:r>
          </w:p>
        </w:tc>
        <w:tc>
          <w:tcPr>
            <w:tcW w:w="2891" w:type="dxa"/>
            <w:vAlign w:val="center"/>
          </w:tcPr>
          <w:p>
            <w:pPr>
              <w:pStyle w:val="10"/>
            </w:pPr>
            <w:r>
              <w:t>计量技术能力建设专项业务费</w:t>
            </w:r>
            <w:r>
              <w:rPr>
                <w:rFonts w:hint="eastAsia"/>
                <w:lang w:eastAsia="zh-CN"/>
              </w:rPr>
              <w:t>预算控制数</w:t>
            </w:r>
          </w:p>
        </w:tc>
        <w:tc>
          <w:tcPr>
            <w:tcW w:w="1276" w:type="dxa"/>
            <w:vAlign w:val="center"/>
          </w:tcPr>
          <w:p>
            <w:pPr>
              <w:pStyle w:val="10"/>
              <w:rPr>
                <w:lang w:eastAsia="zh-CN"/>
              </w:rPr>
            </w:pPr>
            <w:r>
              <w:rPr>
                <w:rFonts w:hint="eastAsia"/>
                <w:lang w:eastAsia="zh-CN"/>
              </w:rPr>
              <w:t>≤5988.9万元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新增仪器设备</w:t>
            </w:r>
          </w:p>
        </w:tc>
        <w:tc>
          <w:tcPr>
            <w:tcW w:w="2891" w:type="dxa"/>
            <w:vAlign w:val="center"/>
          </w:tcPr>
          <w:p>
            <w:pPr>
              <w:pStyle w:val="10"/>
            </w:pPr>
            <w:r>
              <w:t>新增仪器设备</w:t>
            </w:r>
          </w:p>
        </w:tc>
        <w:tc>
          <w:tcPr>
            <w:tcW w:w="1276" w:type="dxa"/>
            <w:vAlign w:val="center"/>
          </w:tcPr>
          <w:p>
            <w:pPr>
              <w:pStyle w:val="10"/>
            </w:pPr>
            <w:r>
              <w:t>≥50台</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专利申请数</w:t>
            </w:r>
          </w:p>
        </w:tc>
        <w:tc>
          <w:tcPr>
            <w:tcW w:w="2891" w:type="dxa"/>
            <w:vAlign w:val="center"/>
          </w:tcPr>
          <w:p>
            <w:pPr>
              <w:pStyle w:val="10"/>
            </w:pPr>
            <w:r>
              <w:t>专利申请数</w:t>
            </w:r>
          </w:p>
        </w:tc>
        <w:tc>
          <w:tcPr>
            <w:tcW w:w="1276" w:type="dxa"/>
            <w:vAlign w:val="center"/>
          </w:tcPr>
          <w:p>
            <w:pPr>
              <w:pStyle w:val="10"/>
            </w:pPr>
            <w:r>
              <w:t>≥2项</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发表论文数量</w:t>
            </w:r>
          </w:p>
        </w:tc>
        <w:tc>
          <w:tcPr>
            <w:tcW w:w="2891" w:type="dxa"/>
            <w:vAlign w:val="center"/>
          </w:tcPr>
          <w:p>
            <w:pPr>
              <w:pStyle w:val="10"/>
            </w:pPr>
            <w:r>
              <w:t>发表论文数量</w:t>
            </w:r>
          </w:p>
        </w:tc>
        <w:tc>
          <w:tcPr>
            <w:tcW w:w="1276" w:type="dxa"/>
            <w:vAlign w:val="center"/>
          </w:tcPr>
          <w:p>
            <w:pPr>
              <w:pStyle w:val="10"/>
            </w:pPr>
            <w:r>
              <w:t>≥2篇</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检定仪器设备数量</w:t>
            </w:r>
          </w:p>
        </w:tc>
        <w:tc>
          <w:tcPr>
            <w:tcW w:w="2891" w:type="dxa"/>
            <w:vAlign w:val="center"/>
          </w:tcPr>
          <w:p>
            <w:pPr>
              <w:pStyle w:val="10"/>
            </w:pPr>
            <w:r>
              <w:t>检定仪器设备数量</w:t>
            </w:r>
          </w:p>
        </w:tc>
        <w:tc>
          <w:tcPr>
            <w:tcW w:w="1276" w:type="dxa"/>
            <w:vAlign w:val="center"/>
          </w:tcPr>
          <w:p>
            <w:pPr>
              <w:pStyle w:val="10"/>
            </w:pPr>
            <w:r>
              <w:t>≥500000台</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rPr>
                <w:lang w:eastAsia="zh-CN"/>
              </w:rPr>
            </w:pPr>
            <w:r>
              <w:rPr>
                <w:rFonts w:hint="eastAsia"/>
                <w:lang w:eastAsia="zh-CN"/>
              </w:rPr>
              <w:t>质量指标</w:t>
            </w:r>
          </w:p>
        </w:tc>
        <w:tc>
          <w:tcPr>
            <w:tcW w:w="1332" w:type="dxa"/>
            <w:vAlign w:val="center"/>
          </w:tcPr>
          <w:p>
            <w:pPr>
              <w:pStyle w:val="10"/>
            </w:pPr>
            <w:r>
              <w:t>计量检定报告差错率</w:t>
            </w:r>
          </w:p>
        </w:tc>
        <w:tc>
          <w:tcPr>
            <w:tcW w:w="2891" w:type="dxa"/>
            <w:vAlign w:val="center"/>
          </w:tcPr>
          <w:p>
            <w:pPr>
              <w:pStyle w:val="10"/>
            </w:pPr>
            <w:r>
              <w:t>计量检定报告差错率</w:t>
            </w:r>
          </w:p>
        </w:tc>
        <w:tc>
          <w:tcPr>
            <w:tcW w:w="1276" w:type="dxa"/>
            <w:vAlign w:val="center"/>
          </w:tcPr>
          <w:p>
            <w:pPr>
              <w:pStyle w:val="10"/>
            </w:pPr>
            <w:r>
              <w:t>≤2%</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rPr>
                <w:rFonts w:hint="eastAsia"/>
                <w:lang w:eastAsia="zh-CN"/>
              </w:rPr>
              <w:t>质量指标</w:t>
            </w:r>
          </w:p>
        </w:tc>
        <w:tc>
          <w:tcPr>
            <w:tcW w:w="1332" w:type="dxa"/>
            <w:vAlign w:val="center"/>
          </w:tcPr>
          <w:p>
            <w:pPr>
              <w:pStyle w:val="10"/>
              <w:rPr>
                <w:lang w:eastAsia="zh-CN"/>
              </w:rPr>
            </w:pPr>
            <w:r>
              <w:t>仪器设备</w:t>
            </w:r>
            <w:r>
              <w:rPr>
                <w:rFonts w:hint="eastAsia"/>
                <w:lang w:eastAsia="zh-CN"/>
              </w:rPr>
              <w:t>检测合格率</w:t>
            </w:r>
          </w:p>
        </w:tc>
        <w:tc>
          <w:tcPr>
            <w:tcW w:w="2891" w:type="dxa"/>
            <w:vAlign w:val="center"/>
          </w:tcPr>
          <w:p>
            <w:pPr>
              <w:pStyle w:val="10"/>
            </w:pPr>
            <w:r>
              <w:t>仪器设备</w:t>
            </w:r>
            <w:r>
              <w:rPr>
                <w:rFonts w:hint="eastAsia"/>
                <w:lang w:eastAsia="zh-CN"/>
              </w:rPr>
              <w:t>检测合格情况</w:t>
            </w:r>
          </w:p>
        </w:tc>
        <w:tc>
          <w:tcPr>
            <w:tcW w:w="1276" w:type="dxa"/>
            <w:vAlign w:val="center"/>
          </w:tcPr>
          <w:p>
            <w:pPr>
              <w:pStyle w:val="10"/>
              <w:rPr>
                <w:lang w:eastAsia="zh-CN"/>
              </w:rPr>
            </w:pPr>
            <w:r>
              <w:rPr>
                <w:rFonts w:hint="eastAsia"/>
                <w:lang w:eastAsia="zh-CN"/>
              </w:rP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计量检定工作完成时间</w:t>
            </w:r>
          </w:p>
        </w:tc>
        <w:tc>
          <w:tcPr>
            <w:tcW w:w="2891" w:type="dxa"/>
            <w:vAlign w:val="center"/>
          </w:tcPr>
          <w:p>
            <w:pPr>
              <w:pStyle w:val="10"/>
            </w:pPr>
            <w:r>
              <w:t>计量检定工作完成时间</w:t>
            </w:r>
          </w:p>
        </w:tc>
        <w:tc>
          <w:tcPr>
            <w:tcW w:w="1276" w:type="dxa"/>
            <w:vAlign w:val="center"/>
          </w:tcPr>
          <w:p>
            <w:pPr>
              <w:pStyle w:val="10"/>
            </w:pPr>
            <w:r>
              <w:t>2023年12月10日之前</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定量包装商品净含量抽检合格率</w:t>
            </w:r>
          </w:p>
        </w:tc>
        <w:tc>
          <w:tcPr>
            <w:tcW w:w="2891" w:type="dxa"/>
            <w:vAlign w:val="center"/>
          </w:tcPr>
          <w:p>
            <w:pPr>
              <w:pStyle w:val="10"/>
            </w:pPr>
            <w:r>
              <w:t>定量包装商品净含量抽检合格率</w:t>
            </w:r>
          </w:p>
        </w:tc>
        <w:tc>
          <w:tcPr>
            <w:tcW w:w="1276" w:type="dxa"/>
            <w:vAlign w:val="center"/>
          </w:tcPr>
          <w:p>
            <w:pPr>
              <w:pStyle w:val="10"/>
            </w:pPr>
            <w:r>
              <w:t>≥95%</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r>
              <w:tab/>
            </w:r>
          </w:p>
          <w:p>
            <w:pPr>
              <w:pStyle w:val="10"/>
            </w:pPr>
          </w:p>
          <w:p>
            <w:pPr>
              <w:pStyle w:val="10"/>
            </w:pPr>
          </w:p>
        </w:tc>
        <w:tc>
          <w:tcPr>
            <w:tcW w:w="2891" w:type="dxa"/>
            <w:vAlign w:val="center"/>
          </w:tcPr>
          <w:p>
            <w:pPr>
              <w:pStyle w:val="10"/>
            </w:pPr>
            <w:r>
              <w:t>服务对象满意度</w:t>
            </w:r>
            <w:r>
              <w:tab/>
            </w:r>
          </w:p>
          <w:p>
            <w:pPr>
              <w:pStyle w:val="10"/>
            </w:pPr>
          </w:p>
          <w:p>
            <w:pPr>
              <w:pStyle w:val="10"/>
            </w:pPr>
          </w:p>
        </w:tc>
        <w:tc>
          <w:tcPr>
            <w:tcW w:w="1276" w:type="dxa"/>
            <w:vAlign w:val="center"/>
          </w:tcPr>
          <w:p>
            <w:pPr>
              <w:pStyle w:val="10"/>
            </w:pPr>
            <w:r>
              <w:t>≥90%</w:t>
            </w:r>
          </w:p>
        </w:tc>
        <w:tc>
          <w:tcPr>
            <w:tcW w:w="1843" w:type="dxa"/>
            <w:vAlign w:val="center"/>
          </w:tcPr>
          <w:p>
            <w:pPr>
              <w:pStyle w:val="10"/>
            </w:pPr>
            <w:r>
              <w:t>计划标准</w:t>
            </w:r>
          </w:p>
        </w:tc>
      </w:tr>
    </w:tbl>
    <w:p/>
    <w:p/>
    <w:p/>
    <w:p/>
    <w:p/>
    <w:p/>
    <w:p/>
    <w:p/>
    <w:p/>
    <w:p/>
    <w:p/>
    <w:p/>
    <w:p/>
    <w:p/>
    <w:p/>
    <w:p/>
    <w:p/>
    <w:p/>
    <w:p/>
    <w:p/>
    <w:p/>
    <w:p/>
    <w:p/>
    <w:p/>
    <w:p/>
    <w:p/>
    <w:p/>
    <w:p/>
    <w:p/>
    <w:p/>
    <w:p/>
    <w:p/>
    <w:p/>
    <w:p/>
    <w:p/>
    <w:p/>
    <w:p/>
    <w:p/>
    <w:p/>
    <w:p/>
    <w:p/>
    <w:p/>
    <w:p/>
    <w:p/>
    <w:p/>
    <w:p/>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12.口岸通关补助</w:t>
      </w:r>
    </w:p>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103001青岛市人民政府办公厅本级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37020023P21000110008U</w:t>
            </w:r>
          </w:p>
        </w:tc>
        <w:tc>
          <w:tcPr>
            <w:tcW w:w="1587" w:type="dxa"/>
            <w:vAlign w:val="center"/>
          </w:tcPr>
          <w:p>
            <w:pPr>
              <w:pStyle w:val="9"/>
            </w:pPr>
            <w:r>
              <w:t>项目名称</w:t>
            </w:r>
          </w:p>
        </w:tc>
        <w:tc>
          <w:tcPr>
            <w:tcW w:w="4422" w:type="dxa"/>
            <w:gridSpan w:val="3"/>
            <w:vAlign w:val="center"/>
          </w:tcPr>
          <w:p>
            <w:pPr>
              <w:pStyle w:val="10"/>
            </w:pPr>
            <w:r>
              <w:t>口岸大通关专项资金-通关综合补助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1244.00</w:t>
            </w:r>
          </w:p>
        </w:tc>
        <w:tc>
          <w:tcPr>
            <w:tcW w:w="1587" w:type="dxa"/>
            <w:vAlign w:val="center"/>
          </w:tcPr>
          <w:p>
            <w:pPr>
              <w:pStyle w:val="9"/>
            </w:pPr>
            <w:r>
              <w:t>其中：财政    资金</w:t>
            </w:r>
          </w:p>
        </w:tc>
        <w:tc>
          <w:tcPr>
            <w:tcW w:w="1304" w:type="dxa"/>
            <w:vAlign w:val="center"/>
          </w:tcPr>
          <w:p>
            <w:pPr>
              <w:pStyle w:val="10"/>
            </w:pPr>
            <w:r>
              <w:t>1244.00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口岸大通关综合补助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622.00</w:t>
            </w:r>
          </w:p>
        </w:tc>
        <w:tc>
          <w:tcPr>
            <w:tcW w:w="1304" w:type="dxa"/>
            <w:vAlign w:val="center"/>
          </w:tcPr>
          <w:p>
            <w:pPr>
              <w:pStyle w:val="11"/>
            </w:pPr>
            <w:r>
              <w:t>1244.00</w:t>
            </w:r>
          </w:p>
        </w:tc>
        <w:tc>
          <w:tcPr>
            <w:tcW w:w="3118" w:type="dxa"/>
            <w:gridSpan w:val="2"/>
            <w:vAlign w:val="center"/>
          </w:tcPr>
          <w:p>
            <w:pPr>
              <w:pStyle w:val="11"/>
            </w:pPr>
            <w:r>
              <w:t>1244.00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不断提升跨境贸易便利化水平，增强进出口企业获得感，外贸货物吞吐量不少于3亿吨，外贸集装箱吞吐量不少于1600万标箱，服务对象满意度达95%以上，助推我市打造“一带一路”国际合作新平台和新时代改革开放新高地，推动形成东西双向互济、陆海内外联动的开放格局。</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项目支出超预算比率</w:t>
            </w:r>
          </w:p>
        </w:tc>
        <w:tc>
          <w:tcPr>
            <w:tcW w:w="2891" w:type="dxa"/>
            <w:vAlign w:val="center"/>
          </w:tcPr>
          <w:p>
            <w:pPr>
              <w:pStyle w:val="10"/>
            </w:pPr>
            <w:r>
              <w:t>项目支出超预算比率</w:t>
            </w:r>
          </w:p>
        </w:tc>
        <w:tc>
          <w:tcPr>
            <w:tcW w:w="1276" w:type="dxa"/>
            <w:vAlign w:val="center"/>
          </w:tcPr>
          <w:p>
            <w:pPr>
              <w:pStyle w:val="10"/>
            </w:pPr>
            <w:r>
              <w:t>≤5%</w:t>
            </w:r>
          </w:p>
        </w:tc>
        <w:tc>
          <w:tcPr>
            <w:tcW w:w="1843" w:type="dxa"/>
            <w:vAlign w:val="center"/>
          </w:tcPr>
          <w:p>
            <w:pPr>
              <w:pStyle w:val="10"/>
            </w:pPr>
            <w:r>
              <w:t>各单位实际需求情况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监管进出口货物</w:t>
            </w:r>
          </w:p>
        </w:tc>
        <w:tc>
          <w:tcPr>
            <w:tcW w:w="2891" w:type="dxa"/>
            <w:vAlign w:val="center"/>
          </w:tcPr>
          <w:p>
            <w:pPr>
              <w:pStyle w:val="10"/>
            </w:pPr>
            <w:r>
              <w:t>监管青岛口岸进出口货物量</w:t>
            </w:r>
          </w:p>
        </w:tc>
        <w:tc>
          <w:tcPr>
            <w:tcW w:w="1276" w:type="dxa"/>
            <w:vAlign w:val="center"/>
          </w:tcPr>
          <w:p>
            <w:pPr>
              <w:pStyle w:val="10"/>
            </w:pPr>
            <w:r>
              <w:t>≥3亿吨</w:t>
            </w:r>
          </w:p>
        </w:tc>
        <w:tc>
          <w:tcPr>
            <w:tcW w:w="1843" w:type="dxa"/>
            <w:vAlign w:val="center"/>
          </w:tcPr>
          <w:p>
            <w:pPr>
              <w:pStyle w:val="10"/>
            </w:pPr>
            <w:r>
              <w:t>参照近三年数据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外贸船舶进出港数量</w:t>
            </w:r>
          </w:p>
        </w:tc>
        <w:tc>
          <w:tcPr>
            <w:tcW w:w="2891" w:type="dxa"/>
            <w:vAlign w:val="center"/>
          </w:tcPr>
          <w:p>
            <w:pPr>
              <w:pStyle w:val="10"/>
            </w:pPr>
            <w:r>
              <w:t>年内服务保障进出港船舶、交通工具数量</w:t>
            </w:r>
          </w:p>
        </w:tc>
        <w:tc>
          <w:tcPr>
            <w:tcW w:w="1276" w:type="dxa"/>
            <w:vAlign w:val="center"/>
          </w:tcPr>
          <w:p>
            <w:pPr>
              <w:pStyle w:val="10"/>
            </w:pPr>
            <w:r>
              <w:t>≥12万艘次</w:t>
            </w:r>
          </w:p>
        </w:tc>
        <w:tc>
          <w:tcPr>
            <w:tcW w:w="1843" w:type="dxa"/>
            <w:vAlign w:val="center"/>
          </w:tcPr>
          <w:p>
            <w:pPr>
              <w:pStyle w:val="10"/>
            </w:pPr>
            <w:r>
              <w:t>参照近三年数据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查验进出境人次</w:t>
            </w:r>
          </w:p>
        </w:tc>
        <w:tc>
          <w:tcPr>
            <w:tcW w:w="2891" w:type="dxa"/>
            <w:vAlign w:val="center"/>
          </w:tcPr>
          <w:p>
            <w:pPr>
              <w:pStyle w:val="10"/>
            </w:pPr>
            <w:r>
              <w:t>查验进出境人员（包括船员）数量</w:t>
            </w:r>
          </w:p>
        </w:tc>
        <w:tc>
          <w:tcPr>
            <w:tcW w:w="1276" w:type="dxa"/>
            <w:vAlign w:val="center"/>
          </w:tcPr>
          <w:p>
            <w:pPr>
              <w:pStyle w:val="10"/>
            </w:pPr>
            <w:r>
              <w:t>≥39万人次</w:t>
            </w:r>
          </w:p>
        </w:tc>
        <w:tc>
          <w:tcPr>
            <w:tcW w:w="1843" w:type="dxa"/>
            <w:vAlign w:val="center"/>
          </w:tcPr>
          <w:p>
            <w:pPr>
              <w:pStyle w:val="10"/>
            </w:pPr>
            <w:r>
              <w:t>参照近三年数据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整体通关时间压缩率</w:t>
            </w:r>
          </w:p>
        </w:tc>
        <w:tc>
          <w:tcPr>
            <w:tcW w:w="2891" w:type="dxa"/>
            <w:vAlign w:val="center"/>
          </w:tcPr>
          <w:p>
            <w:pPr>
              <w:pStyle w:val="10"/>
            </w:pPr>
            <w:r>
              <w:t>在疫情防控情况下，保持进出口整体通关时间较2017年压缩50%</w:t>
            </w:r>
          </w:p>
        </w:tc>
        <w:tc>
          <w:tcPr>
            <w:tcW w:w="1276" w:type="dxa"/>
            <w:vAlign w:val="center"/>
          </w:tcPr>
          <w:p>
            <w:pPr>
              <w:pStyle w:val="10"/>
            </w:pPr>
            <w:r>
              <w:t>≥50%</w:t>
            </w:r>
          </w:p>
        </w:tc>
        <w:tc>
          <w:tcPr>
            <w:tcW w:w="1843" w:type="dxa"/>
            <w:vAlign w:val="center"/>
          </w:tcPr>
          <w:p>
            <w:pPr>
              <w:pStyle w:val="10"/>
            </w:pPr>
            <w:r>
              <w:t>国家口岸办有关要求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船舶进出口岸手续网上办理率</w:t>
            </w:r>
          </w:p>
        </w:tc>
        <w:tc>
          <w:tcPr>
            <w:tcW w:w="2891" w:type="dxa"/>
            <w:vAlign w:val="center"/>
          </w:tcPr>
          <w:p>
            <w:pPr>
              <w:pStyle w:val="10"/>
            </w:pPr>
            <w:r>
              <w:t>船舶在网上办理进出口岸手续的比率</w:t>
            </w:r>
          </w:p>
        </w:tc>
        <w:tc>
          <w:tcPr>
            <w:tcW w:w="1276" w:type="dxa"/>
            <w:vAlign w:val="center"/>
          </w:tcPr>
          <w:p>
            <w:pPr>
              <w:pStyle w:val="10"/>
            </w:pPr>
            <w:r>
              <w:t>100%</w:t>
            </w:r>
          </w:p>
        </w:tc>
        <w:tc>
          <w:tcPr>
            <w:tcW w:w="1843" w:type="dxa"/>
            <w:vAlign w:val="center"/>
          </w:tcPr>
          <w:p>
            <w:pPr>
              <w:pStyle w:val="10"/>
            </w:pPr>
            <w:r>
              <w:t>根据相关工作要求及历史标准确定。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国际航行船舶进出口岸查验时间缩短幅度</w:t>
            </w:r>
          </w:p>
        </w:tc>
        <w:tc>
          <w:tcPr>
            <w:tcW w:w="2891" w:type="dxa"/>
            <w:vAlign w:val="center"/>
          </w:tcPr>
          <w:p>
            <w:pPr>
              <w:pStyle w:val="10"/>
            </w:pPr>
            <w:r>
              <w:t>（查验时间/法定查验时间）</w:t>
            </w:r>
          </w:p>
        </w:tc>
        <w:tc>
          <w:tcPr>
            <w:tcW w:w="1276" w:type="dxa"/>
            <w:vAlign w:val="center"/>
          </w:tcPr>
          <w:p>
            <w:pPr>
              <w:pStyle w:val="10"/>
            </w:pPr>
            <w:r>
              <w:t>≥35%</w:t>
            </w:r>
          </w:p>
        </w:tc>
        <w:tc>
          <w:tcPr>
            <w:tcW w:w="1843" w:type="dxa"/>
            <w:vAlign w:val="center"/>
          </w:tcPr>
          <w:p>
            <w:pPr>
              <w:pStyle w:val="10"/>
            </w:pPr>
            <w:r>
              <w:t>海事业务执法流程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口岸综合竞争力</w:t>
            </w:r>
          </w:p>
        </w:tc>
        <w:tc>
          <w:tcPr>
            <w:tcW w:w="2891" w:type="dxa"/>
            <w:vAlign w:val="center"/>
          </w:tcPr>
          <w:p>
            <w:pPr>
              <w:pStyle w:val="10"/>
            </w:pPr>
            <w:r>
              <w:t>外贸亿吨口岸全国排名情况</w:t>
            </w:r>
          </w:p>
        </w:tc>
        <w:tc>
          <w:tcPr>
            <w:tcW w:w="1276" w:type="dxa"/>
            <w:vAlign w:val="center"/>
          </w:tcPr>
          <w:p>
            <w:pPr>
              <w:pStyle w:val="10"/>
            </w:pPr>
            <w:r>
              <w:t>全国前三</w:t>
            </w:r>
          </w:p>
        </w:tc>
        <w:tc>
          <w:tcPr>
            <w:tcW w:w="1843" w:type="dxa"/>
            <w:vAlign w:val="center"/>
          </w:tcPr>
          <w:p>
            <w:pPr>
              <w:pStyle w:val="10"/>
            </w:pPr>
            <w:r>
              <w:t>参照近三年数据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为青岛市企业进出口货物减免税款金额</w:t>
            </w:r>
          </w:p>
        </w:tc>
        <w:tc>
          <w:tcPr>
            <w:tcW w:w="2891" w:type="dxa"/>
            <w:vAlign w:val="center"/>
          </w:tcPr>
          <w:p>
            <w:pPr>
              <w:pStyle w:val="10"/>
            </w:pPr>
            <w:r>
              <w:t>RCEP等自贸协定项下及利用减免税优惠政策为青岛企业进出口货物减免国内、国外税款金额</w:t>
            </w:r>
          </w:p>
        </w:tc>
        <w:tc>
          <w:tcPr>
            <w:tcW w:w="1276" w:type="dxa"/>
            <w:vAlign w:val="center"/>
          </w:tcPr>
          <w:p>
            <w:pPr>
              <w:pStyle w:val="10"/>
            </w:pPr>
            <w:r>
              <w:t>≥25亿元</w:t>
            </w:r>
          </w:p>
        </w:tc>
        <w:tc>
          <w:tcPr>
            <w:tcW w:w="1843" w:type="dxa"/>
            <w:vAlign w:val="center"/>
          </w:tcPr>
          <w:p>
            <w:pPr>
              <w:pStyle w:val="10"/>
            </w:pPr>
            <w:r>
              <w:t>参照近三年数据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企业满意度</w:t>
            </w:r>
          </w:p>
        </w:tc>
        <w:tc>
          <w:tcPr>
            <w:tcW w:w="2891" w:type="dxa"/>
            <w:vAlign w:val="center"/>
          </w:tcPr>
          <w:p>
            <w:pPr>
              <w:pStyle w:val="10"/>
            </w:pPr>
            <w:r>
              <w:t>企业对查验服务的评价</w:t>
            </w:r>
          </w:p>
        </w:tc>
        <w:tc>
          <w:tcPr>
            <w:tcW w:w="1276" w:type="dxa"/>
            <w:vAlign w:val="center"/>
          </w:tcPr>
          <w:p>
            <w:pPr>
              <w:pStyle w:val="10"/>
            </w:pPr>
            <w:r>
              <w:t>≥95%</w:t>
            </w:r>
          </w:p>
        </w:tc>
        <w:tc>
          <w:tcPr>
            <w:tcW w:w="1843" w:type="dxa"/>
            <w:vAlign w:val="center"/>
          </w:tcPr>
          <w:p>
            <w:pPr>
              <w:pStyle w:val="10"/>
            </w:pPr>
            <w:r>
              <w:t>有关需求和工作实际</w:t>
            </w:r>
          </w:p>
        </w:tc>
      </w:tr>
    </w:tbl>
    <w:p>
      <w:pPr>
        <w:sectPr>
          <w:pgSz w:w="11900" w:h="16840"/>
          <w:pgMar w:top="1984" w:right="1304" w:bottom="1134" w:left="1304" w:header="720" w:footer="720" w:gutter="0"/>
          <w:pgNumType w:fmt="numberInDash"/>
          <w:cols w:space="720" w:num="1"/>
        </w:sectPr>
      </w:pPr>
    </w:p>
    <w:p>
      <w:pPr>
        <w:numPr>
          <w:ilvl w:val="0"/>
          <w:numId w:val="1"/>
        </w:num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支持社会事业发展</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1.支持教育事业发展</w:t>
      </w:r>
    </w:p>
    <w:tbl>
      <w:tblPr>
        <w:tblStyle w:val="5"/>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704"/>
        <w:gridCol w:w="1893"/>
        <w:gridCol w:w="982"/>
        <w:gridCol w:w="411"/>
        <w:gridCol w:w="509"/>
        <w:gridCol w:w="705"/>
        <w:gridCol w:w="1138"/>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7"/>
            <w:tcBorders>
              <w:top w:val="single" w:color="FFFFFF" w:sz="6" w:space="0"/>
              <w:left w:val="single" w:color="FFFFFF" w:sz="6" w:space="0"/>
              <w:right w:val="single" w:color="FFFFFF" w:sz="6" w:space="0"/>
            </w:tcBorders>
            <w:vAlign w:val="center"/>
          </w:tcPr>
          <w:p>
            <w:pPr>
              <w:pStyle w:val="7"/>
            </w:pPr>
            <w:r>
              <w:t>206001青岛市教育局本级</w:t>
            </w:r>
          </w:p>
        </w:tc>
        <w:tc>
          <w:tcPr>
            <w:tcW w:w="1843"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980" w:type="dxa"/>
            <w:gridSpan w:val="2"/>
            <w:vAlign w:val="center"/>
          </w:tcPr>
          <w:p>
            <w:pPr>
              <w:pStyle w:val="10"/>
            </w:pPr>
            <w:r>
              <w:t>37020023P11002910005T</w:t>
            </w:r>
          </w:p>
        </w:tc>
        <w:tc>
          <w:tcPr>
            <w:tcW w:w="1893" w:type="dxa"/>
            <w:vAlign w:val="center"/>
          </w:tcPr>
          <w:p>
            <w:pPr>
              <w:pStyle w:val="9"/>
            </w:pPr>
            <w:r>
              <w:t>项目名称</w:t>
            </w:r>
          </w:p>
        </w:tc>
        <w:tc>
          <w:tcPr>
            <w:tcW w:w="3745" w:type="dxa"/>
            <w:gridSpan w:val="5"/>
            <w:vAlign w:val="center"/>
          </w:tcPr>
          <w:p>
            <w:pPr>
              <w:pStyle w:val="10"/>
            </w:pPr>
            <w:r>
              <w:t>高校校区建设及高校共建项目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704" w:type="dxa"/>
            <w:vAlign w:val="center"/>
          </w:tcPr>
          <w:p>
            <w:pPr>
              <w:pStyle w:val="10"/>
            </w:pPr>
            <w:r>
              <w:t>28200.00</w:t>
            </w:r>
          </w:p>
        </w:tc>
        <w:tc>
          <w:tcPr>
            <w:tcW w:w="1893" w:type="dxa"/>
            <w:vAlign w:val="center"/>
          </w:tcPr>
          <w:p>
            <w:pPr>
              <w:pStyle w:val="9"/>
            </w:pPr>
            <w:r>
              <w:t>其中：财政资金</w:t>
            </w:r>
          </w:p>
        </w:tc>
        <w:tc>
          <w:tcPr>
            <w:tcW w:w="1393" w:type="dxa"/>
            <w:gridSpan w:val="2"/>
            <w:vAlign w:val="center"/>
          </w:tcPr>
          <w:p>
            <w:pPr>
              <w:pStyle w:val="10"/>
            </w:pPr>
            <w:r>
              <w:t>28200.00</w:t>
            </w:r>
          </w:p>
        </w:tc>
        <w:tc>
          <w:tcPr>
            <w:tcW w:w="1214" w:type="dxa"/>
            <w:gridSpan w:val="2"/>
            <w:vAlign w:val="center"/>
          </w:tcPr>
          <w:p>
            <w:pPr>
              <w:pStyle w:val="9"/>
            </w:pPr>
            <w:r>
              <w:t>其他资金</w:t>
            </w:r>
          </w:p>
        </w:tc>
        <w:tc>
          <w:tcPr>
            <w:tcW w:w="1138"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8"/>
            <w:vAlign w:val="center"/>
          </w:tcPr>
          <w:p>
            <w:pPr>
              <w:pStyle w:val="10"/>
            </w:pPr>
            <w:r>
              <w:t>用于高校建设各项费用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rPr>
                <w:rFonts w:hint="eastAsia"/>
                <w:lang w:eastAsia="zh-CN"/>
              </w:rPr>
              <w:t>资金支出计划</w:t>
            </w:r>
          </w:p>
        </w:tc>
        <w:tc>
          <w:tcPr>
            <w:tcW w:w="2980" w:type="dxa"/>
            <w:gridSpan w:val="2"/>
            <w:vAlign w:val="center"/>
          </w:tcPr>
          <w:p>
            <w:pPr>
              <w:pStyle w:val="9"/>
            </w:pPr>
            <w:r>
              <w:t>3月底</w:t>
            </w:r>
          </w:p>
        </w:tc>
        <w:tc>
          <w:tcPr>
            <w:tcW w:w="1893" w:type="dxa"/>
            <w:vAlign w:val="center"/>
          </w:tcPr>
          <w:p>
            <w:pPr>
              <w:pStyle w:val="9"/>
            </w:pPr>
            <w:r>
              <w:t>6月底</w:t>
            </w:r>
          </w:p>
        </w:tc>
        <w:tc>
          <w:tcPr>
            <w:tcW w:w="982" w:type="dxa"/>
            <w:vAlign w:val="center"/>
          </w:tcPr>
          <w:p>
            <w:pPr>
              <w:pStyle w:val="9"/>
            </w:pPr>
            <w:r>
              <w:t>10月底</w:t>
            </w:r>
          </w:p>
        </w:tc>
        <w:tc>
          <w:tcPr>
            <w:tcW w:w="2763" w:type="dxa"/>
            <w:gridSpan w:val="4"/>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980" w:type="dxa"/>
            <w:gridSpan w:val="2"/>
            <w:vAlign w:val="center"/>
          </w:tcPr>
          <w:p>
            <w:pPr>
              <w:pStyle w:val="11"/>
            </w:pPr>
            <w:r>
              <w:t xml:space="preserve"> </w:t>
            </w:r>
          </w:p>
        </w:tc>
        <w:tc>
          <w:tcPr>
            <w:tcW w:w="1893" w:type="dxa"/>
            <w:vAlign w:val="center"/>
          </w:tcPr>
          <w:p>
            <w:pPr>
              <w:pStyle w:val="11"/>
            </w:pPr>
            <w:r>
              <w:t xml:space="preserve"> </w:t>
            </w:r>
          </w:p>
        </w:tc>
        <w:tc>
          <w:tcPr>
            <w:tcW w:w="982" w:type="dxa"/>
            <w:vAlign w:val="center"/>
          </w:tcPr>
          <w:p>
            <w:pPr>
              <w:pStyle w:val="11"/>
            </w:pPr>
            <w:r>
              <w:t xml:space="preserve"> </w:t>
            </w:r>
          </w:p>
        </w:tc>
        <w:tc>
          <w:tcPr>
            <w:tcW w:w="2763" w:type="dxa"/>
            <w:gridSpan w:val="4"/>
            <w:vAlign w:val="center"/>
          </w:tcPr>
          <w:p>
            <w:pPr>
              <w:pStyle w:val="11"/>
            </w:pPr>
            <w:r>
              <w:t>28200.00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8" w:type="dxa"/>
            <w:gridSpan w:val="8"/>
            <w:vAlign w:val="center"/>
          </w:tcPr>
          <w:p>
            <w:pPr>
              <w:pStyle w:val="10"/>
            </w:pPr>
            <w:r>
              <w:t>通过实施高校校区建设及高校共建项目，大幅度提升青岛市高等教育水平，为青岛市经济社会发展提供人才支撑和智力支持。</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123"/>
        <w:gridCol w:w="2214"/>
        <w:gridCol w:w="2162"/>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123" w:type="dxa"/>
            <w:vAlign w:val="center"/>
          </w:tcPr>
          <w:p>
            <w:pPr>
              <w:pStyle w:val="9"/>
            </w:pPr>
            <w:r>
              <w:t>二级指标</w:t>
            </w:r>
          </w:p>
        </w:tc>
        <w:tc>
          <w:tcPr>
            <w:tcW w:w="2214" w:type="dxa"/>
            <w:vAlign w:val="center"/>
          </w:tcPr>
          <w:p>
            <w:pPr>
              <w:pStyle w:val="9"/>
            </w:pPr>
            <w:r>
              <w:t>三级指标</w:t>
            </w:r>
          </w:p>
        </w:tc>
        <w:tc>
          <w:tcPr>
            <w:tcW w:w="2162"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123" w:type="dxa"/>
            <w:vAlign w:val="center"/>
          </w:tcPr>
          <w:p>
            <w:pPr>
              <w:pStyle w:val="10"/>
            </w:pPr>
            <w:r>
              <w:t>经济成本指标</w:t>
            </w:r>
          </w:p>
        </w:tc>
        <w:tc>
          <w:tcPr>
            <w:tcW w:w="2214" w:type="dxa"/>
            <w:vAlign w:val="center"/>
          </w:tcPr>
          <w:p>
            <w:pPr>
              <w:pStyle w:val="10"/>
            </w:pPr>
            <w:r>
              <w:t>高校校区建设及高校共建项目预算控制数</w:t>
            </w:r>
          </w:p>
        </w:tc>
        <w:tc>
          <w:tcPr>
            <w:tcW w:w="2162" w:type="dxa"/>
            <w:vAlign w:val="center"/>
          </w:tcPr>
          <w:p>
            <w:pPr>
              <w:pStyle w:val="10"/>
            </w:pPr>
            <w:r>
              <w:t>高校校区建设及高校共建项目预算控制数</w:t>
            </w:r>
          </w:p>
        </w:tc>
        <w:tc>
          <w:tcPr>
            <w:tcW w:w="1276" w:type="dxa"/>
            <w:vAlign w:val="center"/>
          </w:tcPr>
          <w:p>
            <w:pPr>
              <w:pStyle w:val="10"/>
            </w:pPr>
            <w:r>
              <w:t>≤28200万元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123" w:type="dxa"/>
            <w:vAlign w:val="center"/>
          </w:tcPr>
          <w:p>
            <w:pPr>
              <w:pStyle w:val="10"/>
            </w:pPr>
            <w:r>
              <w:t>数量指标</w:t>
            </w:r>
          </w:p>
        </w:tc>
        <w:tc>
          <w:tcPr>
            <w:tcW w:w="2214" w:type="dxa"/>
            <w:vAlign w:val="center"/>
          </w:tcPr>
          <w:p>
            <w:pPr>
              <w:pStyle w:val="10"/>
            </w:pPr>
            <w:r>
              <w:t>运行的高等教育机构数量</w:t>
            </w:r>
          </w:p>
        </w:tc>
        <w:tc>
          <w:tcPr>
            <w:tcW w:w="2162" w:type="dxa"/>
            <w:vAlign w:val="center"/>
          </w:tcPr>
          <w:p>
            <w:pPr>
              <w:pStyle w:val="10"/>
            </w:pPr>
            <w:r>
              <w:t>运行的高等教育机构数量</w:t>
            </w:r>
          </w:p>
        </w:tc>
        <w:tc>
          <w:tcPr>
            <w:tcW w:w="1276" w:type="dxa"/>
            <w:vAlign w:val="center"/>
          </w:tcPr>
          <w:p>
            <w:pPr>
              <w:pStyle w:val="10"/>
            </w:pPr>
            <w:r>
              <w:t>≥3个</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123" w:type="dxa"/>
            <w:vAlign w:val="center"/>
          </w:tcPr>
          <w:p>
            <w:pPr>
              <w:pStyle w:val="10"/>
            </w:pPr>
            <w:r>
              <w:t>数量指标</w:t>
            </w:r>
          </w:p>
        </w:tc>
        <w:tc>
          <w:tcPr>
            <w:tcW w:w="2214" w:type="dxa"/>
            <w:vAlign w:val="center"/>
          </w:tcPr>
          <w:p>
            <w:pPr>
              <w:pStyle w:val="10"/>
            </w:pPr>
            <w:r>
              <w:t>支持重点学科数量</w:t>
            </w:r>
          </w:p>
        </w:tc>
        <w:tc>
          <w:tcPr>
            <w:tcW w:w="2162" w:type="dxa"/>
            <w:vAlign w:val="center"/>
          </w:tcPr>
          <w:p>
            <w:pPr>
              <w:pStyle w:val="10"/>
            </w:pPr>
            <w:r>
              <w:t>支持重点学科数量</w:t>
            </w:r>
          </w:p>
        </w:tc>
        <w:tc>
          <w:tcPr>
            <w:tcW w:w="1276" w:type="dxa"/>
            <w:vAlign w:val="center"/>
          </w:tcPr>
          <w:p>
            <w:pPr>
              <w:pStyle w:val="10"/>
            </w:pPr>
            <w:r>
              <w:t>≥1个</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123" w:type="dxa"/>
            <w:vAlign w:val="center"/>
          </w:tcPr>
          <w:p>
            <w:pPr>
              <w:pStyle w:val="10"/>
            </w:pPr>
            <w:r>
              <w:t>质量指标</w:t>
            </w:r>
          </w:p>
        </w:tc>
        <w:tc>
          <w:tcPr>
            <w:tcW w:w="2214" w:type="dxa"/>
            <w:vAlign w:val="center"/>
          </w:tcPr>
          <w:p>
            <w:pPr>
              <w:pStyle w:val="10"/>
            </w:pPr>
            <w:r>
              <w:t>重点学科验收通过率</w:t>
            </w:r>
          </w:p>
        </w:tc>
        <w:tc>
          <w:tcPr>
            <w:tcW w:w="2162" w:type="dxa"/>
            <w:vAlign w:val="center"/>
          </w:tcPr>
          <w:p>
            <w:pPr>
              <w:pStyle w:val="10"/>
            </w:pPr>
            <w:r>
              <w:t>重点学科验收通过率</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123" w:type="dxa"/>
            <w:vAlign w:val="center"/>
          </w:tcPr>
          <w:p>
            <w:pPr>
              <w:pStyle w:val="10"/>
            </w:pPr>
            <w:r>
              <w:t>质量指标</w:t>
            </w:r>
          </w:p>
        </w:tc>
        <w:tc>
          <w:tcPr>
            <w:tcW w:w="2214" w:type="dxa"/>
            <w:vAlign w:val="center"/>
          </w:tcPr>
          <w:p>
            <w:pPr>
              <w:pStyle w:val="10"/>
            </w:pPr>
            <w:r>
              <w:t>竣工项目验收合格率</w:t>
            </w:r>
          </w:p>
        </w:tc>
        <w:tc>
          <w:tcPr>
            <w:tcW w:w="2162" w:type="dxa"/>
            <w:vAlign w:val="center"/>
          </w:tcPr>
          <w:p>
            <w:pPr>
              <w:pStyle w:val="10"/>
            </w:pPr>
            <w:r>
              <w:t>竣工项目验收合格率</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123" w:type="dxa"/>
            <w:vAlign w:val="center"/>
          </w:tcPr>
          <w:p>
            <w:pPr>
              <w:pStyle w:val="10"/>
            </w:pPr>
            <w:r>
              <w:t>时效指标</w:t>
            </w:r>
          </w:p>
        </w:tc>
        <w:tc>
          <w:tcPr>
            <w:tcW w:w="2214" w:type="dxa"/>
            <w:vAlign w:val="center"/>
          </w:tcPr>
          <w:p>
            <w:pPr>
              <w:pStyle w:val="10"/>
            </w:pPr>
            <w:r>
              <w:t>工作完成时间</w:t>
            </w:r>
          </w:p>
        </w:tc>
        <w:tc>
          <w:tcPr>
            <w:tcW w:w="2162" w:type="dxa"/>
            <w:vAlign w:val="center"/>
          </w:tcPr>
          <w:p>
            <w:pPr>
              <w:pStyle w:val="10"/>
            </w:pPr>
            <w:r>
              <w:t>工作完成时间</w:t>
            </w:r>
          </w:p>
        </w:tc>
        <w:tc>
          <w:tcPr>
            <w:tcW w:w="1276" w:type="dxa"/>
            <w:vAlign w:val="center"/>
          </w:tcPr>
          <w:p>
            <w:pPr>
              <w:pStyle w:val="10"/>
              <w:rPr>
                <w:lang w:eastAsia="zh-CN"/>
              </w:rPr>
            </w:pPr>
            <w:r>
              <w:rPr>
                <w:rFonts w:hint="eastAsia"/>
                <w:lang w:eastAsia="zh-CN"/>
              </w:rPr>
              <w:t>≤12月</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123" w:type="dxa"/>
            <w:vAlign w:val="center"/>
          </w:tcPr>
          <w:p>
            <w:pPr>
              <w:pStyle w:val="10"/>
            </w:pPr>
            <w:r>
              <w:t>社会效益指标</w:t>
            </w:r>
          </w:p>
        </w:tc>
        <w:tc>
          <w:tcPr>
            <w:tcW w:w="2214" w:type="dxa"/>
            <w:vAlign w:val="center"/>
          </w:tcPr>
          <w:p>
            <w:pPr>
              <w:pStyle w:val="10"/>
            </w:pPr>
            <w:r>
              <w:rPr>
                <w:rFonts w:hint="eastAsia"/>
                <w:lang w:eastAsia="zh-CN"/>
              </w:rPr>
              <w:t>加快</w:t>
            </w:r>
            <w:r>
              <w:t>全市教育高品质发展</w:t>
            </w:r>
          </w:p>
        </w:tc>
        <w:tc>
          <w:tcPr>
            <w:tcW w:w="2162" w:type="dxa"/>
            <w:vAlign w:val="center"/>
          </w:tcPr>
          <w:p>
            <w:pPr>
              <w:pStyle w:val="10"/>
            </w:pPr>
            <w:r>
              <w:t>全市教育高品质发展</w:t>
            </w:r>
          </w:p>
        </w:tc>
        <w:tc>
          <w:tcPr>
            <w:tcW w:w="1276" w:type="dxa"/>
            <w:vAlign w:val="center"/>
          </w:tcPr>
          <w:p>
            <w:pPr>
              <w:pStyle w:val="10"/>
              <w:rPr>
                <w:lang w:eastAsia="zh-CN"/>
              </w:rPr>
            </w:pPr>
            <w:r>
              <w:rPr>
                <w:rFonts w:hint="eastAsia"/>
                <w:lang w:eastAsia="zh-CN"/>
              </w:rPr>
              <w:t>效果明显</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123" w:type="dxa"/>
            <w:vAlign w:val="center"/>
          </w:tcPr>
          <w:p>
            <w:pPr>
              <w:pStyle w:val="10"/>
            </w:pPr>
            <w:r>
              <w:t>服务对象满意度指标</w:t>
            </w:r>
          </w:p>
        </w:tc>
        <w:tc>
          <w:tcPr>
            <w:tcW w:w="2214" w:type="dxa"/>
            <w:vAlign w:val="center"/>
          </w:tcPr>
          <w:p>
            <w:pPr>
              <w:pStyle w:val="10"/>
              <w:rPr>
                <w:lang w:eastAsia="zh-CN"/>
              </w:rPr>
            </w:pPr>
            <w:r>
              <w:t>高校满意</w:t>
            </w:r>
            <w:r>
              <w:rPr>
                <w:rFonts w:hint="eastAsia"/>
                <w:lang w:eastAsia="zh-CN"/>
              </w:rPr>
              <w:t>度</w:t>
            </w:r>
          </w:p>
        </w:tc>
        <w:tc>
          <w:tcPr>
            <w:tcW w:w="2162" w:type="dxa"/>
            <w:vAlign w:val="center"/>
          </w:tcPr>
          <w:p>
            <w:pPr>
              <w:pStyle w:val="10"/>
              <w:rPr>
                <w:lang w:eastAsia="zh-CN"/>
              </w:rPr>
            </w:pPr>
            <w:r>
              <w:t>高校满意</w:t>
            </w:r>
            <w:r>
              <w:rPr>
                <w:rFonts w:hint="eastAsia"/>
                <w:lang w:eastAsia="zh-CN"/>
              </w:rPr>
              <w:t>度</w:t>
            </w:r>
          </w:p>
        </w:tc>
        <w:tc>
          <w:tcPr>
            <w:tcW w:w="1276" w:type="dxa"/>
            <w:vAlign w:val="center"/>
          </w:tcPr>
          <w:p>
            <w:pPr>
              <w:pStyle w:val="10"/>
            </w:pPr>
            <w:r>
              <w:t>≥95%</w:t>
            </w:r>
          </w:p>
        </w:tc>
        <w:tc>
          <w:tcPr>
            <w:tcW w:w="1843" w:type="dxa"/>
            <w:vAlign w:val="center"/>
          </w:tcPr>
          <w:p>
            <w:pPr>
              <w:pStyle w:val="10"/>
            </w:pPr>
            <w:r>
              <w:t>计划标准</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206001青岛市教育局本级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37020023P110032100498</w:t>
            </w:r>
          </w:p>
        </w:tc>
        <w:tc>
          <w:tcPr>
            <w:tcW w:w="1587" w:type="dxa"/>
            <w:vAlign w:val="center"/>
          </w:tcPr>
          <w:p>
            <w:pPr>
              <w:pStyle w:val="9"/>
            </w:pPr>
            <w:r>
              <w:t>项目名称</w:t>
            </w:r>
          </w:p>
        </w:tc>
        <w:tc>
          <w:tcPr>
            <w:tcW w:w="4422" w:type="dxa"/>
            <w:gridSpan w:val="3"/>
            <w:vAlign w:val="center"/>
          </w:tcPr>
          <w:p>
            <w:pPr>
              <w:pStyle w:val="10"/>
            </w:pPr>
            <w:r>
              <w:t>青岛工程学院和5所高中人才公寓PPP项目运营补贴项目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16628.40</w:t>
            </w:r>
          </w:p>
        </w:tc>
        <w:tc>
          <w:tcPr>
            <w:tcW w:w="1587" w:type="dxa"/>
            <w:vAlign w:val="center"/>
          </w:tcPr>
          <w:p>
            <w:pPr>
              <w:pStyle w:val="9"/>
            </w:pPr>
            <w:r>
              <w:t>其中：财政    资金</w:t>
            </w:r>
          </w:p>
        </w:tc>
        <w:tc>
          <w:tcPr>
            <w:tcW w:w="1304" w:type="dxa"/>
            <w:vAlign w:val="center"/>
          </w:tcPr>
          <w:p>
            <w:pPr>
              <w:pStyle w:val="10"/>
            </w:pPr>
            <w:r>
              <w:t>16628.40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青岛工程学院和5所高中人才公寓PPP项目运营补贴项目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rPr>
                <w:rFonts w:hint="eastAsia"/>
                <w:lang w:eastAsia="zh-CN"/>
              </w:rP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16628.40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通过保障青岛工程学院和5所高中项目顺利完成，实现人才引进的效果。</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青岛工程学院和5所高中人才公寓PPP项目运营补贴项目预算控制数</w:t>
            </w:r>
          </w:p>
        </w:tc>
        <w:tc>
          <w:tcPr>
            <w:tcW w:w="2891" w:type="dxa"/>
            <w:vAlign w:val="center"/>
          </w:tcPr>
          <w:p>
            <w:pPr>
              <w:pStyle w:val="10"/>
            </w:pPr>
            <w:r>
              <w:t>青岛工程学院和5所高中人才公寓PPP项目运营补贴项目预算控制数</w:t>
            </w:r>
          </w:p>
        </w:tc>
        <w:tc>
          <w:tcPr>
            <w:tcW w:w="1276" w:type="dxa"/>
            <w:vAlign w:val="center"/>
          </w:tcPr>
          <w:p>
            <w:pPr>
              <w:pStyle w:val="10"/>
            </w:pPr>
            <w:r>
              <w:t>≤16628.4万元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PPP项目个数</w:t>
            </w:r>
          </w:p>
        </w:tc>
        <w:tc>
          <w:tcPr>
            <w:tcW w:w="2891" w:type="dxa"/>
            <w:vAlign w:val="center"/>
          </w:tcPr>
          <w:p>
            <w:pPr>
              <w:pStyle w:val="10"/>
            </w:pPr>
            <w:r>
              <w:t>PPP项目个数</w:t>
            </w:r>
          </w:p>
        </w:tc>
        <w:tc>
          <w:tcPr>
            <w:tcW w:w="1276" w:type="dxa"/>
            <w:vAlign w:val="center"/>
          </w:tcPr>
          <w:p>
            <w:pPr>
              <w:pStyle w:val="10"/>
            </w:pPr>
            <w:r>
              <w:t>6个</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年度考核次数</w:t>
            </w:r>
          </w:p>
        </w:tc>
        <w:tc>
          <w:tcPr>
            <w:tcW w:w="2891" w:type="dxa"/>
            <w:vAlign w:val="center"/>
          </w:tcPr>
          <w:p>
            <w:pPr>
              <w:pStyle w:val="10"/>
            </w:pPr>
            <w:r>
              <w:t>年度考核次数</w:t>
            </w:r>
          </w:p>
        </w:tc>
        <w:tc>
          <w:tcPr>
            <w:tcW w:w="1276" w:type="dxa"/>
            <w:vAlign w:val="center"/>
          </w:tcPr>
          <w:p>
            <w:pPr>
              <w:pStyle w:val="10"/>
            </w:pPr>
            <w:r>
              <w:t>1次</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PPP项目运营期绩效考核合格率</w:t>
            </w:r>
          </w:p>
        </w:tc>
        <w:tc>
          <w:tcPr>
            <w:tcW w:w="2891" w:type="dxa"/>
            <w:vAlign w:val="center"/>
          </w:tcPr>
          <w:p>
            <w:pPr>
              <w:pStyle w:val="10"/>
            </w:pPr>
            <w:r>
              <w:t>PPP项目运营期绩效考核合格率</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绩效考核发现问题整改完成率</w:t>
            </w:r>
          </w:p>
        </w:tc>
        <w:tc>
          <w:tcPr>
            <w:tcW w:w="2891" w:type="dxa"/>
            <w:vAlign w:val="center"/>
          </w:tcPr>
          <w:p>
            <w:pPr>
              <w:pStyle w:val="10"/>
            </w:pPr>
            <w:r>
              <w:t>绩效考核发现问题整改完成率</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工作完成时间</w:t>
            </w:r>
          </w:p>
        </w:tc>
        <w:tc>
          <w:tcPr>
            <w:tcW w:w="2891" w:type="dxa"/>
            <w:vAlign w:val="center"/>
          </w:tcPr>
          <w:p>
            <w:pPr>
              <w:pStyle w:val="10"/>
            </w:pPr>
            <w:r>
              <w:t>工作完成时间</w:t>
            </w:r>
          </w:p>
        </w:tc>
        <w:tc>
          <w:tcPr>
            <w:tcW w:w="1276" w:type="dxa"/>
            <w:vAlign w:val="center"/>
          </w:tcPr>
          <w:p>
            <w:pPr>
              <w:pStyle w:val="10"/>
              <w:rPr>
                <w:lang w:eastAsia="zh-CN"/>
              </w:rPr>
            </w:pPr>
            <w:r>
              <w:rPr>
                <w:rFonts w:hint="eastAsia"/>
                <w:lang w:eastAsia="zh-CN"/>
              </w:rPr>
              <w:t>≤12月</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建成项目投入使用率</w:t>
            </w:r>
          </w:p>
        </w:tc>
        <w:tc>
          <w:tcPr>
            <w:tcW w:w="2891" w:type="dxa"/>
            <w:vAlign w:val="center"/>
          </w:tcPr>
          <w:p>
            <w:pPr>
              <w:pStyle w:val="10"/>
            </w:pPr>
            <w:r>
              <w:t>建成项目投入使用率</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rPr>
                <w:lang w:eastAsia="zh-CN"/>
              </w:rPr>
            </w:pPr>
            <w:r>
              <w:t>受益对象满意</w:t>
            </w:r>
            <w:r>
              <w:rPr>
                <w:rFonts w:hint="eastAsia"/>
                <w:lang w:eastAsia="zh-CN"/>
              </w:rPr>
              <w:t>度</w:t>
            </w:r>
          </w:p>
        </w:tc>
        <w:tc>
          <w:tcPr>
            <w:tcW w:w="2891" w:type="dxa"/>
            <w:vAlign w:val="center"/>
          </w:tcPr>
          <w:p>
            <w:pPr>
              <w:pStyle w:val="10"/>
              <w:rPr>
                <w:lang w:eastAsia="zh-CN"/>
              </w:rPr>
            </w:pPr>
            <w:r>
              <w:t>受益对象满意</w:t>
            </w:r>
            <w:r>
              <w:rPr>
                <w:rFonts w:hint="eastAsia"/>
                <w:lang w:eastAsia="zh-CN"/>
              </w:rPr>
              <w:t>度</w:t>
            </w:r>
          </w:p>
        </w:tc>
        <w:tc>
          <w:tcPr>
            <w:tcW w:w="1276" w:type="dxa"/>
            <w:vAlign w:val="center"/>
          </w:tcPr>
          <w:p>
            <w:pPr>
              <w:pStyle w:val="10"/>
              <w:rPr>
                <w:lang w:eastAsia="zh-CN"/>
              </w:rPr>
            </w:pPr>
            <w:r>
              <w:t>≥95</w:t>
            </w:r>
            <w:r>
              <w:rPr>
                <w:rFonts w:hint="eastAsia"/>
                <w:lang w:eastAsia="zh-CN"/>
              </w:rPr>
              <w:t>%</w:t>
            </w:r>
          </w:p>
        </w:tc>
        <w:tc>
          <w:tcPr>
            <w:tcW w:w="1843" w:type="dxa"/>
            <w:vAlign w:val="center"/>
          </w:tcPr>
          <w:p>
            <w:pPr>
              <w:pStyle w:val="10"/>
            </w:pPr>
            <w:r>
              <w:t>计划标准</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2.支持科学文化事业发展</w:t>
      </w:r>
    </w:p>
    <w:tbl>
      <w:tblPr>
        <w:tblStyle w:val="5"/>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629"/>
        <w:gridCol w:w="1250"/>
        <w:gridCol w:w="1012"/>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7"/>
            <w:tcBorders>
              <w:top w:val="single" w:color="FFFFFF" w:sz="6" w:space="0"/>
              <w:left w:val="single" w:color="FFFFFF" w:sz="6" w:space="0"/>
              <w:right w:val="single" w:color="FFFFFF" w:sz="6" w:space="0"/>
            </w:tcBorders>
            <w:vAlign w:val="center"/>
          </w:tcPr>
          <w:p>
            <w:pPr>
              <w:pStyle w:val="7"/>
            </w:pPr>
            <w:r>
              <w:t>202001青岛市科学技术协会本级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3237" w:type="dxa"/>
            <w:gridSpan w:val="3"/>
            <w:vAlign w:val="center"/>
          </w:tcPr>
          <w:p>
            <w:pPr>
              <w:pStyle w:val="10"/>
            </w:pPr>
            <w:r>
              <w:t>37020023P06000510002P</w:t>
            </w:r>
          </w:p>
        </w:tc>
        <w:tc>
          <w:tcPr>
            <w:tcW w:w="1250" w:type="dxa"/>
            <w:vAlign w:val="center"/>
          </w:tcPr>
          <w:p>
            <w:pPr>
              <w:pStyle w:val="9"/>
            </w:pPr>
            <w:r>
              <w:t>项目名称</w:t>
            </w:r>
          </w:p>
        </w:tc>
        <w:tc>
          <w:tcPr>
            <w:tcW w:w="4131" w:type="dxa"/>
            <w:gridSpan w:val="3"/>
            <w:vAlign w:val="center"/>
          </w:tcPr>
          <w:p>
            <w:pPr>
              <w:pStyle w:val="10"/>
            </w:pPr>
            <w:r>
              <w:t>青岛科技馆项目运维资金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3000.00</w:t>
            </w:r>
          </w:p>
        </w:tc>
        <w:tc>
          <w:tcPr>
            <w:tcW w:w="1879" w:type="dxa"/>
            <w:gridSpan w:val="2"/>
            <w:vAlign w:val="center"/>
          </w:tcPr>
          <w:p>
            <w:pPr>
              <w:pStyle w:val="9"/>
            </w:pPr>
            <w:r>
              <w:t>其中：财政资金</w:t>
            </w:r>
          </w:p>
        </w:tc>
        <w:tc>
          <w:tcPr>
            <w:tcW w:w="1012" w:type="dxa"/>
            <w:vAlign w:val="center"/>
          </w:tcPr>
          <w:p>
            <w:pPr>
              <w:pStyle w:val="10"/>
            </w:pPr>
            <w:r>
              <w:t>3000.00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7"/>
            <w:vAlign w:val="center"/>
          </w:tcPr>
          <w:p>
            <w:pPr>
              <w:pStyle w:val="10"/>
            </w:pPr>
            <w:r>
              <w:t>用于科技馆新馆运维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rPr>
                <w:rFonts w:hint="eastAsia"/>
                <w:lang w:eastAsia="zh-CN"/>
              </w:rPr>
              <w:t>资金支出计划</w:t>
            </w:r>
          </w:p>
        </w:tc>
        <w:tc>
          <w:tcPr>
            <w:tcW w:w="2608" w:type="dxa"/>
            <w:gridSpan w:val="2"/>
            <w:vAlign w:val="center"/>
          </w:tcPr>
          <w:p>
            <w:pPr>
              <w:pStyle w:val="9"/>
            </w:pPr>
            <w:r>
              <w:t>3月底</w:t>
            </w:r>
          </w:p>
        </w:tc>
        <w:tc>
          <w:tcPr>
            <w:tcW w:w="1879" w:type="dxa"/>
            <w:gridSpan w:val="2"/>
            <w:vAlign w:val="center"/>
          </w:tcPr>
          <w:p>
            <w:pPr>
              <w:pStyle w:val="9"/>
            </w:pPr>
            <w:r>
              <w:t>6月底</w:t>
            </w:r>
          </w:p>
        </w:tc>
        <w:tc>
          <w:tcPr>
            <w:tcW w:w="1012" w:type="dxa"/>
            <w:vAlign w:val="center"/>
          </w:tcPr>
          <w:p>
            <w:pPr>
              <w:pStyle w:val="9"/>
            </w:pPr>
            <w:r>
              <w:t>10月底</w:t>
            </w:r>
          </w:p>
        </w:tc>
        <w:tc>
          <w:tcPr>
            <w:tcW w:w="3119"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879" w:type="dxa"/>
            <w:gridSpan w:val="2"/>
            <w:vAlign w:val="center"/>
          </w:tcPr>
          <w:p>
            <w:pPr>
              <w:pStyle w:val="11"/>
            </w:pPr>
            <w:r>
              <w:t xml:space="preserve"> </w:t>
            </w:r>
          </w:p>
        </w:tc>
        <w:tc>
          <w:tcPr>
            <w:tcW w:w="1012" w:type="dxa"/>
            <w:vAlign w:val="center"/>
          </w:tcPr>
          <w:p>
            <w:pPr>
              <w:pStyle w:val="11"/>
            </w:pPr>
            <w:r>
              <w:t>1500.00</w:t>
            </w:r>
          </w:p>
        </w:tc>
        <w:tc>
          <w:tcPr>
            <w:tcW w:w="3119" w:type="dxa"/>
            <w:gridSpan w:val="2"/>
            <w:vAlign w:val="center"/>
          </w:tcPr>
          <w:p>
            <w:pPr>
              <w:pStyle w:val="11"/>
            </w:pPr>
            <w:r>
              <w:t>3000.00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8" w:type="dxa"/>
            <w:gridSpan w:val="7"/>
            <w:vAlign w:val="center"/>
          </w:tcPr>
          <w:p>
            <w:pPr>
              <w:pStyle w:val="10"/>
            </w:pPr>
            <w:r>
              <w:t>通过完善制度、认真执行安全管理等活动，实现保障青岛科技馆正常运维的效果。</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2283"/>
        <w:gridCol w:w="1940"/>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2283" w:type="dxa"/>
            <w:vAlign w:val="center"/>
          </w:tcPr>
          <w:p>
            <w:pPr>
              <w:pStyle w:val="9"/>
            </w:pPr>
            <w:r>
              <w:t>三级指标</w:t>
            </w:r>
          </w:p>
        </w:tc>
        <w:tc>
          <w:tcPr>
            <w:tcW w:w="1940"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2283" w:type="dxa"/>
            <w:vAlign w:val="center"/>
          </w:tcPr>
          <w:p>
            <w:pPr>
              <w:pStyle w:val="10"/>
            </w:pPr>
            <w:r>
              <w:t>青岛科技馆项目运维项目预算控制数</w:t>
            </w:r>
          </w:p>
        </w:tc>
        <w:tc>
          <w:tcPr>
            <w:tcW w:w="1940" w:type="dxa"/>
            <w:vAlign w:val="center"/>
          </w:tcPr>
          <w:p>
            <w:pPr>
              <w:pStyle w:val="10"/>
            </w:pPr>
            <w:r>
              <w:t>反映青岛科技馆项目运维项目预算控制数</w:t>
            </w:r>
          </w:p>
        </w:tc>
        <w:tc>
          <w:tcPr>
            <w:tcW w:w="1276" w:type="dxa"/>
            <w:vAlign w:val="center"/>
          </w:tcPr>
          <w:p>
            <w:pPr>
              <w:pStyle w:val="10"/>
            </w:pPr>
            <w:r>
              <w:t>≤3000万元</w:t>
            </w:r>
          </w:p>
        </w:tc>
        <w:tc>
          <w:tcPr>
            <w:tcW w:w="1843" w:type="dxa"/>
            <w:vAlign w:val="center"/>
          </w:tcPr>
          <w:p>
            <w:pPr>
              <w:pStyle w:val="10"/>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rPr>
                <w:rFonts w:hint="eastAsia"/>
                <w:lang w:eastAsia="zh-CN"/>
              </w:rPr>
              <w:t>质量</w:t>
            </w:r>
            <w:r>
              <w:t>指标</w:t>
            </w:r>
          </w:p>
        </w:tc>
        <w:tc>
          <w:tcPr>
            <w:tcW w:w="2283" w:type="dxa"/>
            <w:vAlign w:val="center"/>
          </w:tcPr>
          <w:p>
            <w:pPr>
              <w:pStyle w:val="10"/>
            </w:pPr>
            <w:r>
              <w:t>展品完好率</w:t>
            </w:r>
          </w:p>
        </w:tc>
        <w:tc>
          <w:tcPr>
            <w:tcW w:w="1940" w:type="dxa"/>
            <w:vAlign w:val="center"/>
          </w:tcPr>
          <w:p>
            <w:pPr>
              <w:pStyle w:val="10"/>
            </w:pPr>
            <w:r>
              <w:t>展品完好率</w:t>
            </w:r>
          </w:p>
        </w:tc>
        <w:tc>
          <w:tcPr>
            <w:tcW w:w="1276" w:type="dxa"/>
            <w:vAlign w:val="center"/>
          </w:tcPr>
          <w:p>
            <w:pPr>
              <w:pStyle w:val="10"/>
            </w:pPr>
            <w:r>
              <w:t>≥98%</w:t>
            </w:r>
          </w:p>
        </w:tc>
        <w:tc>
          <w:tcPr>
            <w:tcW w:w="1843" w:type="dxa"/>
            <w:vAlign w:val="center"/>
          </w:tcPr>
          <w:p>
            <w:pPr>
              <w:pStyle w:val="10"/>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pStyle w:val="11"/>
            </w:pPr>
          </w:p>
        </w:tc>
        <w:tc>
          <w:tcPr>
            <w:tcW w:w="1276" w:type="dxa"/>
            <w:vAlign w:val="center"/>
          </w:tcPr>
          <w:p>
            <w:pPr>
              <w:pStyle w:val="10"/>
            </w:pPr>
            <w:r>
              <w:t>数量指标</w:t>
            </w:r>
          </w:p>
        </w:tc>
        <w:tc>
          <w:tcPr>
            <w:tcW w:w="2283" w:type="dxa"/>
            <w:vAlign w:val="center"/>
          </w:tcPr>
          <w:p>
            <w:pPr>
              <w:pStyle w:val="10"/>
              <w:rPr>
                <w:lang w:eastAsia="zh-CN"/>
              </w:rPr>
            </w:pPr>
            <w:r>
              <w:rPr>
                <w:rFonts w:hint="eastAsia"/>
                <w:lang w:eastAsia="zh-CN"/>
              </w:rPr>
              <w:t>展览完成率</w:t>
            </w:r>
          </w:p>
        </w:tc>
        <w:tc>
          <w:tcPr>
            <w:tcW w:w="1940" w:type="dxa"/>
            <w:vAlign w:val="center"/>
          </w:tcPr>
          <w:p>
            <w:pPr>
              <w:pStyle w:val="10"/>
            </w:pPr>
            <w:r>
              <w:rPr>
                <w:rFonts w:hint="eastAsia"/>
                <w:lang w:eastAsia="zh-CN"/>
              </w:rPr>
              <w:t>展览完成率</w:t>
            </w:r>
          </w:p>
        </w:tc>
        <w:tc>
          <w:tcPr>
            <w:tcW w:w="1276" w:type="dxa"/>
            <w:vAlign w:val="center"/>
          </w:tcPr>
          <w:p>
            <w:pPr>
              <w:pStyle w:val="10"/>
            </w:pPr>
            <w:r>
              <w:t>100%</w:t>
            </w:r>
          </w:p>
        </w:tc>
        <w:tc>
          <w:tcPr>
            <w:tcW w:w="1843" w:type="dxa"/>
            <w:vAlign w:val="center"/>
          </w:tcPr>
          <w:p>
            <w:pPr>
              <w:pStyle w:val="10"/>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2283" w:type="dxa"/>
            <w:vAlign w:val="center"/>
          </w:tcPr>
          <w:p>
            <w:pPr>
              <w:pStyle w:val="10"/>
            </w:pPr>
            <w:r>
              <w:t>组织展教活动</w:t>
            </w:r>
          </w:p>
        </w:tc>
        <w:tc>
          <w:tcPr>
            <w:tcW w:w="1940" w:type="dxa"/>
            <w:vAlign w:val="center"/>
          </w:tcPr>
          <w:p>
            <w:pPr>
              <w:pStyle w:val="10"/>
            </w:pPr>
            <w:r>
              <w:t>组织展教活动</w:t>
            </w:r>
          </w:p>
        </w:tc>
        <w:tc>
          <w:tcPr>
            <w:tcW w:w="1276" w:type="dxa"/>
            <w:vAlign w:val="center"/>
          </w:tcPr>
          <w:p>
            <w:pPr>
              <w:pStyle w:val="10"/>
            </w:pPr>
            <w:r>
              <w:t>≥80场次</w:t>
            </w:r>
          </w:p>
        </w:tc>
        <w:tc>
          <w:tcPr>
            <w:tcW w:w="1843" w:type="dxa"/>
            <w:vAlign w:val="center"/>
          </w:tcPr>
          <w:p>
            <w:pPr>
              <w:pStyle w:val="10"/>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2283" w:type="dxa"/>
            <w:vAlign w:val="center"/>
          </w:tcPr>
          <w:p>
            <w:pPr>
              <w:pStyle w:val="10"/>
            </w:pPr>
            <w:r>
              <w:t>安全责任执行合规率</w:t>
            </w:r>
          </w:p>
        </w:tc>
        <w:tc>
          <w:tcPr>
            <w:tcW w:w="1940" w:type="dxa"/>
            <w:vAlign w:val="center"/>
          </w:tcPr>
          <w:p>
            <w:pPr>
              <w:pStyle w:val="10"/>
            </w:pPr>
            <w:r>
              <w:t>安全责任执行到位</w:t>
            </w:r>
          </w:p>
        </w:tc>
        <w:tc>
          <w:tcPr>
            <w:tcW w:w="1276" w:type="dxa"/>
            <w:vAlign w:val="center"/>
          </w:tcPr>
          <w:p>
            <w:pPr>
              <w:pStyle w:val="10"/>
            </w:pPr>
            <w:r>
              <w:t>100%</w:t>
            </w:r>
          </w:p>
        </w:tc>
        <w:tc>
          <w:tcPr>
            <w:tcW w:w="1843" w:type="dxa"/>
            <w:vAlign w:val="center"/>
          </w:tcPr>
          <w:p>
            <w:pPr>
              <w:pStyle w:val="10"/>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2283" w:type="dxa"/>
            <w:vAlign w:val="center"/>
          </w:tcPr>
          <w:p>
            <w:pPr>
              <w:pStyle w:val="10"/>
            </w:pPr>
            <w:r>
              <w:t>制度建设合规率</w:t>
            </w:r>
          </w:p>
        </w:tc>
        <w:tc>
          <w:tcPr>
            <w:tcW w:w="1940" w:type="dxa"/>
            <w:vAlign w:val="center"/>
          </w:tcPr>
          <w:p>
            <w:pPr>
              <w:pStyle w:val="10"/>
            </w:pPr>
            <w:r>
              <w:t>健全各项管理制度</w:t>
            </w:r>
          </w:p>
        </w:tc>
        <w:tc>
          <w:tcPr>
            <w:tcW w:w="1276" w:type="dxa"/>
            <w:vAlign w:val="center"/>
          </w:tcPr>
          <w:p>
            <w:pPr>
              <w:pStyle w:val="10"/>
            </w:pPr>
            <w:r>
              <w:t>100%</w:t>
            </w:r>
          </w:p>
        </w:tc>
        <w:tc>
          <w:tcPr>
            <w:tcW w:w="1843" w:type="dxa"/>
            <w:vAlign w:val="center"/>
          </w:tcPr>
          <w:p>
            <w:pPr>
              <w:pStyle w:val="10"/>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2283" w:type="dxa"/>
            <w:vAlign w:val="center"/>
          </w:tcPr>
          <w:p>
            <w:pPr>
              <w:pStyle w:val="10"/>
              <w:rPr>
                <w:lang w:eastAsia="zh-CN"/>
              </w:rPr>
            </w:pPr>
            <w:r>
              <w:t>工作完成</w:t>
            </w:r>
            <w:r>
              <w:rPr>
                <w:rFonts w:hint="eastAsia"/>
                <w:lang w:eastAsia="zh-CN"/>
              </w:rPr>
              <w:t>及时率</w:t>
            </w:r>
          </w:p>
        </w:tc>
        <w:tc>
          <w:tcPr>
            <w:tcW w:w="1940" w:type="dxa"/>
            <w:vAlign w:val="center"/>
          </w:tcPr>
          <w:p>
            <w:pPr>
              <w:pStyle w:val="10"/>
              <w:rPr>
                <w:lang w:eastAsia="zh-CN"/>
              </w:rPr>
            </w:pPr>
            <w:r>
              <w:t>工作完成</w:t>
            </w:r>
            <w:r>
              <w:rPr>
                <w:rFonts w:hint="eastAsia"/>
                <w:lang w:eastAsia="zh-CN"/>
              </w:rPr>
              <w:t>及时情况</w:t>
            </w:r>
          </w:p>
        </w:tc>
        <w:tc>
          <w:tcPr>
            <w:tcW w:w="1276" w:type="dxa"/>
            <w:vAlign w:val="center"/>
          </w:tcPr>
          <w:p>
            <w:pPr>
              <w:pStyle w:val="10"/>
              <w:rPr>
                <w:lang w:eastAsia="zh-CN"/>
              </w:rPr>
            </w:pPr>
            <w:r>
              <w:rPr>
                <w:rFonts w:hint="eastAsia"/>
                <w:lang w:eastAsia="zh-CN"/>
              </w:rPr>
              <w:t>100%</w:t>
            </w:r>
          </w:p>
        </w:tc>
        <w:tc>
          <w:tcPr>
            <w:tcW w:w="1843" w:type="dxa"/>
            <w:vAlign w:val="center"/>
          </w:tcPr>
          <w:p>
            <w:pPr>
              <w:pStyle w:val="10"/>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t>社会效益指标</w:t>
            </w:r>
          </w:p>
        </w:tc>
        <w:tc>
          <w:tcPr>
            <w:tcW w:w="2283" w:type="dxa"/>
            <w:vAlign w:val="center"/>
          </w:tcPr>
          <w:p>
            <w:pPr>
              <w:pStyle w:val="10"/>
            </w:pPr>
            <w:r>
              <w:t>精神文明及科普工作能力</w:t>
            </w:r>
          </w:p>
        </w:tc>
        <w:tc>
          <w:tcPr>
            <w:tcW w:w="1940" w:type="dxa"/>
            <w:vAlign w:val="center"/>
          </w:tcPr>
          <w:p>
            <w:pPr>
              <w:pStyle w:val="10"/>
            </w:pPr>
            <w:r>
              <w:t>配套服务，促进全市精神文明和科普工作</w:t>
            </w:r>
          </w:p>
        </w:tc>
        <w:tc>
          <w:tcPr>
            <w:tcW w:w="1276" w:type="dxa"/>
            <w:vAlign w:val="center"/>
          </w:tcPr>
          <w:p>
            <w:pPr>
              <w:pStyle w:val="10"/>
            </w:pPr>
            <w:r>
              <w:rPr>
                <w:rFonts w:hint="eastAsia"/>
                <w:lang w:eastAsia="zh-CN"/>
              </w:rPr>
              <w:t>同比</w:t>
            </w:r>
            <w:r>
              <w:t>提升</w:t>
            </w:r>
          </w:p>
        </w:tc>
        <w:tc>
          <w:tcPr>
            <w:tcW w:w="1843" w:type="dxa"/>
            <w:vAlign w:val="center"/>
          </w:tcPr>
          <w:p>
            <w:pPr>
              <w:pStyle w:val="10"/>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2283" w:type="dxa"/>
            <w:vAlign w:val="center"/>
          </w:tcPr>
          <w:p>
            <w:pPr>
              <w:pStyle w:val="10"/>
            </w:pPr>
            <w:r>
              <w:t>生态环境管理能力</w:t>
            </w:r>
          </w:p>
        </w:tc>
        <w:tc>
          <w:tcPr>
            <w:tcW w:w="1940" w:type="dxa"/>
            <w:vAlign w:val="center"/>
          </w:tcPr>
          <w:p>
            <w:pPr>
              <w:pStyle w:val="10"/>
            </w:pPr>
            <w:r>
              <w:t>加强管理，提高生态环境管理能力</w:t>
            </w:r>
          </w:p>
        </w:tc>
        <w:tc>
          <w:tcPr>
            <w:tcW w:w="1276" w:type="dxa"/>
            <w:vAlign w:val="center"/>
          </w:tcPr>
          <w:p>
            <w:pPr>
              <w:pStyle w:val="10"/>
            </w:pPr>
            <w:r>
              <w:rPr>
                <w:rFonts w:hint="eastAsia"/>
                <w:lang w:eastAsia="zh-CN"/>
              </w:rPr>
              <w:t>同比</w:t>
            </w:r>
            <w:r>
              <w:t>提升</w:t>
            </w:r>
          </w:p>
        </w:tc>
        <w:tc>
          <w:tcPr>
            <w:tcW w:w="1843" w:type="dxa"/>
            <w:vAlign w:val="center"/>
          </w:tcPr>
          <w:p>
            <w:pPr>
              <w:pStyle w:val="10"/>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2283" w:type="dxa"/>
            <w:vAlign w:val="center"/>
          </w:tcPr>
          <w:p>
            <w:pPr>
              <w:pStyle w:val="10"/>
            </w:pPr>
            <w:r>
              <w:t>科普教育及文旅业</w:t>
            </w:r>
          </w:p>
        </w:tc>
        <w:tc>
          <w:tcPr>
            <w:tcW w:w="1940" w:type="dxa"/>
            <w:vAlign w:val="center"/>
          </w:tcPr>
          <w:p>
            <w:pPr>
              <w:pStyle w:val="10"/>
            </w:pPr>
            <w:r>
              <w:t>带动全市科普工作、科技教育工作及文化</w:t>
            </w:r>
          </w:p>
        </w:tc>
        <w:tc>
          <w:tcPr>
            <w:tcW w:w="1276" w:type="dxa"/>
            <w:vAlign w:val="center"/>
          </w:tcPr>
          <w:p>
            <w:pPr>
              <w:pStyle w:val="10"/>
              <w:rPr>
                <w:lang w:eastAsia="zh-CN"/>
              </w:rPr>
            </w:pPr>
            <w:r>
              <w:rPr>
                <w:rFonts w:hint="eastAsia"/>
                <w:lang w:eastAsia="zh-CN"/>
              </w:rPr>
              <w:t>效果明显</w:t>
            </w:r>
          </w:p>
        </w:tc>
        <w:tc>
          <w:tcPr>
            <w:tcW w:w="1843" w:type="dxa"/>
            <w:vAlign w:val="center"/>
          </w:tcPr>
          <w:p>
            <w:pPr>
              <w:pStyle w:val="10"/>
            </w:pPr>
            <w:r>
              <w:t>计划指标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2283" w:type="dxa"/>
            <w:vAlign w:val="center"/>
          </w:tcPr>
          <w:p>
            <w:pPr>
              <w:pStyle w:val="10"/>
            </w:pPr>
            <w:r>
              <w:t>合作方满意度</w:t>
            </w:r>
          </w:p>
        </w:tc>
        <w:tc>
          <w:tcPr>
            <w:tcW w:w="1940" w:type="dxa"/>
            <w:vAlign w:val="center"/>
          </w:tcPr>
          <w:p>
            <w:pPr>
              <w:pStyle w:val="10"/>
            </w:pPr>
            <w:r>
              <w:t>合作方满意度</w:t>
            </w:r>
          </w:p>
        </w:tc>
        <w:tc>
          <w:tcPr>
            <w:tcW w:w="1276" w:type="dxa"/>
            <w:vAlign w:val="center"/>
          </w:tcPr>
          <w:p>
            <w:pPr>
              <w:pStyle w:val="10"/>
            </w:pPr>
            <w:r>
              <w:t>≥80%</w:t>
            </w:r>
          </w:p>
        </w:tc>
        <w:tc>
          <w:tcPr>
            <w:tcW w:w="1843" w:type="dxa"/>
            <w:vAlign w:val="center"/>
          </w:tcPr>
          <w:p>
            <w:pPr>
              <w:pStyle w:val="10"/>
            </w:pPr>
            <w:r>
              <w:t>计划指标</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301001中共青岛市委宣传部本级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37020023P310005100071</w:t>
            </w:r>
          </w:p>
        </w:tc>
        <w:tc>
          <w:tcPr>
            <w:tcW w:w="1587" w:type="dxa"/>
            <w:vAlign w:val="center"/>
          </w:tcPr>
          <w:p>
            <w:pPr>
              <w:pStyle w:val="9"/>
            </w:pPr>
            <w:r>
              <w:t>项目名称</w:t>
            </w:r>
          </w:p>
        </w:tc>
        <w:tc>
          <w:tcPr>
            <w:tcW w:w="4422" w:type="dxa"/>
            <w:gridSpan w:val="3"/>
            <w:vAlign w:val="center"/>
          </w:tcPr>
          <w:p>
            <w:pPr>
              <w:pStyle w:val="10"/>
            </w:pPr>
            <w:r>
              <w:t>文艺精品创作和文化活动扶持奖励资金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2000.00</w:t>
            </w:r>
          </w:p>
        </w:tc>
        <w:tc>
          <w:tcPr>
            <w:tcW w:w="1587" w:type="dxa"/>
            <w:vAlign w:val="center"/>
          </w:tcPr>
          <w:p>
            <w:pPr>
              <w:pStyle w:val="9"/>
            </w:pPr>
            <w:r>
              <w:t>其中：财政    资金</w:t>
            </w:r>
          </w:p>
        </w:tc>
        <w:tc>
          <w:tcPr>
            <w:tcW w:w="1304" w:type="dxa"/>
            <w:vAlign w:val="center"/>
          </w:tcPr>
          <w:p>
            <w:pPr>
              <w:pStyle w:val="10"/>
            </w:pPr>
            <w:r>
              <w:t>2000.00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实施文艺作品质量提升工程，扶持奖励一批既聚焦现实、又弘扬主旋律的优秀作品，打造“青岛文艺高峰”。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1000.00</w:t>
            </w:r>
          </w:p>
        </w:tc>
        <w:tc>
          <w:tcPr>
            <w:tcW w:w="1304" w:type="dxa"/>
            <w:vAlign w:val="center"/>
          </w:tcPr>
          <w:p>
            <w:pPr>
              <w:pStyle w:val="11"/>
            </w:pPr>
            <w:r>
              <w:t>2000.00</w:t>
            </w:r>
          </w:p>
        </w:tc>
        <w:tc>
          <w:tcPr>
            <w:tcW w:w="3118" w:type="dxa"/>
            <w:gridSpan w:val="2"/>
            <w:vAlign w:val="center"/>
          </w:tcPr>
          <w:p>
            <w:pPr>
              <w:pStyle w:val="11"/>
            </w:pPr>
            <w:r>
              <w:t>2000.00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全年重点扶持一批突出主旋律、具有时代特色、体现青岛特色的文艺创作项目及文化文艺活动项目，鼓励我市更多原创文艺精品涌现，提升文艺创作水平，促进我市文化事业繁荣发展。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文艺精品创作和文化活动扶持奖励金额</w:t>
            </w:r>
          </w:p>
        </w:tc>
        <w:tc>
          <w:tcPr>
            <w:tcW w:w="2891" w:type="dxa"/>
            <w:vAlign w:val="center"/>
          </w:tcPr>
          <w:p>
            <w:pPr>
              <w:pStyle w:val="10"/>
            </w:pPr>
            <w:r>
              <w:t>文艺精品创作和文化活动扶持奖励金额≤2000万元</w:t>
            </w:r>
          </w:p>
        </w:tc>
        <w:tc>
          <w:tcPr>
            <w:tcW w:w="1276" w:type="dxa"/>
            <w:vAlign w:val="center"/>
          </w:tcPr>
          <w:p>
            <w:pPr>
              <w:pStyle w:val="10"/>
            </w:pPr>
            <w:r>
              <w:t>≤2000万元</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扶持活动类文化文艺活动数量</w:t>
            </w:r>
          </w:p>
        </w:tc>
        <w:tc>
          <w:tcPr>
            <w:tcW w:w="2891" w:type="dxa"/>
            <w:vAlign w:val="center"/>
          </w:tcPr>
          <w:p>
            <w:pPr>
              <w:pStyle w:val="10"/>
            </w:pPr>
            <w:r>
              <w:t>扶持活动类文化文艺活动数量≥25个</w:t>
            </w:r>
          </w:p>
        </w:tc>
        <w:tc>
          <w:tcPr>
            <w:tcW w:w="1276" w:type="dxa"/>
            <w:vAlign w:val="center"/>
          </w:tcPr>
          <w:p>
            <w:pPr>
              <w:pStyle w:val="10"/>
            </w:pPr>
            <w:r>
              <w:t>≥25个</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扶持创作类文艺精品数量</w:t>
            </w:r>
          </w:p>
        </w:tc>
        <w:tc>
          <w:tcPr>
            <w:tcW w:w="2891" w:type="dxa"/>
            <w:vAlign w:val="center"/>
          </w:tcPr>
          <w:p>
            <w:pPr>
              <w:pStyle w:val="10"/>
            </w:pPr>
            <w:r>
              <w:t>扶持创作类文艺精品数量≥35个</w:t>
            </w:r>
          </w:p>
        </w:tc>
        <w:tc>
          <w:tcPr>
            <w:tcW w:w="1276" w:type="dxa"/>
            <w:vAlign w:val="center"/>
          </w:tcPr>
          <w:p>
            <w:pPr>
              <w:pStyle w:val="10"/>
            </w:pPr>
            <w:r>
              <w:t>≥35个</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rPr>
                <w:rFonts w:asciiTheme="minorHAnsi" w:hAnsiTheme="minorHAnsi"/>
                <w:lang w:val="uk-UA"/>
              </w:rPr>
            </w:pPr>
            <w:r>
              <w:rPr>
                <w:rFonts w:hint="eastAsia"/>
                <w:lang w:eastAsia="zh-CN"/>
              </w:rPr>
              <w:t>文化文艺活动扶持成功率</w:t>
            </w:r>
          </w:p>
        </w:tc>
        <w:tc>
          <w:tcPr>
            <w:tcW w:w="2891" w:type="dxa"/>
            <w:vAlign w:val="center"/>
          </w:tcPr>
          <w:p>
            <w:pPr>
              <w:pStyle w:val="10"/>
            </w:pPr>
            <w:r>
              <w:rPr>
                <w:rFonts w:hint="eastAsia"/>
                <w:lang w:eastAsia="zh-CN"/>
              </w:rPr>
              <w:t>文化文艺活动扶持成功率</w:t>
            </w:r>
          </w:p>
        </w:tc>
        <w:tc>
          <w:tcPr>
            <w:tcW w:w="1276" w:type="dxa"/>
            <w:vAlign w:val="center"/>
          </w:tcPr>
          <w:p>
            <w:pPr>
              <w:pStyle w:val="10"/>
            </w:pPr>
            <w:r>
              <w:rPr>
                <w:lang w:eastAsia="zh-CN"/>
              </w:rPr>
              <w:t>100%</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rPr>
                <w:rFonts w:hint="eastAsia"/>
                <w:lang w:eastAsia="zh-CN"/>
              </w:rPr>
              <w:t>质量指标</w:t>
            </w:r>
          </w:p>
        </w:tc>
        <w:tc>
          <w:tcPr>
            <w:tcW w:w="1332" w:type="dxa"/>
            <w:vAlign w:val="center"/>
          </w:tcPr>
          <w:p>
            <w:pPr>
              <w:pStyle w:val="10"/>
              <w:rPr>
                <w:lang w:eastAsia="zh-CN"/>
              </w:rPr>
            </w:pPr>
            <w:r>
              <w:rPr>
                <w:rFonts w:hint="eastAsia"/>
                <w:lang w:eastAsia="zh-CN"/>
              </w:rPr>
              <w:t>文艺精品质量达标率</w:t>
            </w:r>
          </w:p>
        </w:tc>
        <w:tc>
          <w:tcPr>
            <w:tcW w:w="2891" w:type="dxa"/>
            <w:vAlign w:val="center"/>
          </w:tcPr>
          <w:p>
            <w:pPr>
              <w:pStyle w:val="10"/>
              <w:rPr>
                <w:lang w:eastAsia="zh-CN"/>
              </w:rPr>
            </w:pPr>
            <w:r>
              <w:rPr>
                <w:rFonts w:hint="eastAsia"/>
                <w:lang w:eastAsia="zh-CN"/>
              </w:rPr>
              <w:t>文艺精品质量达标率</w:t>
            </w:r>
          </w:p>
        </w:tc>
        <w:tc>
          <w:tcPr>
            <w:tcW w:w="1276" w:type="dxa"/>
            <w:vAlign w:val="center"/>
          </w:tcPr>
          <w:p>
            <w:pPr>
              <w:pStyle w:val="10"/>
            </w:pPr>
            <w:r>
              <w:rPr>
                <w:lang w:eastAsia="zh-CN"/>
              </w:rPr>
              <w:t>100%</w:t>
            </w:r>
          </w:p>
        </w:tc>
        <w:tc>
          <w:tcPr>
            <w:tcW w:w="1843" w:type="dxa"/>
            <w:vAlign w:val="center"/>
          </w:tcPr>
          <w:p>
            <w:pPr>
              <w:pStyle w:val="10"/>
              <w:rPr>
                <w:lang w:eastAsia="zh-CN"/>
              </w:rPr>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rPr>
                <w:lang w:eastAsia="zh-CN"/>
              </w:rPr>
            </w:pPr>
            <w:r>
              <w:t>完成文艺精品创作和文化活动扶持奖励工作</w:t>
            </w:r>
            <w:r>
              <w:rPr>
                <w:rFonts w:hint="eastAsia"/>
                <w:lang w:eastAsia="zh-CN"/>
              </w:rPr>
              <w:t>完成及时性</w:t>
            </w:r>
          </w:p>
        </w:tc>
        <w:tc>
          <w:tcPr>
            <w:tcW w:w="2891" w:type="dxa"/>
            <w:vAlign w:val="center"/>
          </w:tcPr>
          <w:p>
            <w:pPr>
              <w:pStyle w:val="10"/>
            </w:pPr>
            <w:r>
              <w:t>完成文艺精品创作和文化活动扶持奖励工作</w:t>
            </w:r>
            <w:r>
              <w:rPr>
                <w:rFonts w:hint="eastAsia"/>
                <w:lang w:eastAsia="zh-CN"/>
              </w:rPr>
              <w:t>完成及时性</w:t>
            </w:r>
          </w:p>
        </w:tc>
        <w:tc>
          <w:tcPr>
            <w:tcW w:w="1276" w:type="dxa"/>
            <w:vAlign w:val="center"/>
          </w:tcPr>
          <w:p>
            <w:pPr>
              <w:pStyle w:val="10"/>
              <w:rPr>
                <w:rFonts w:asciiTheme="minorHAnsi" w:hAnsiTheme="minorHAnsi"/>
                <w:lang w:val="uk-UA"/>
              </w:rPr>
            </w:pPr>
            <w:r>
              <w:rPr>
                <w:rFonts w:hint="eastAsia"/>
                <w:lang w:eastAsia="zh-CN"/>
              </w:rPr>
              <w:t>100%</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以文艺精品展示我市城市精神风貌，丰富市民精神文化生活</w:t>
            </w:r>
          </w:p>
        </w:tc>
        <w:tc>
          <w:tcPr>
            <w:tcW w:w="2891" w:type="dxa"/>
            <w:vAlign w:val="center"/>
          </w:tcPr>
          <w:p>
            <w:pPr>
              <w:pStyle w:val="10"/>
            </w:pPr>
            <w:r>
              <w:t>以文艺精品展示我市城市精神风貌，丰富市民精神文化生活。</w:t>
            </w:r>
          </w:p>
        </w:tc>
        <w:tc>
          <w:tcPr>
            <w:tcW w:w="1276" w:type="dxa"/>
            <w:vAlign w:val="center"/>
          </w:tcPr>
          <w:p>
            <w:pPr>
              <w:pStyle w:val="10"/>
            </w:pPr>
            <w:r>
              <w:rPr>
                <w:rFonts w:hint="eastAsia"/>
                <w:lang w:eastAsia="zh-CN"/>
              </w:rPr>
              <w:t>效果明显</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群众对文艺精品满意度</w:t>
            </w:r>
          </w:p>
        </w:tc>
        <w:tc>
          <w:tcPr>
            <w:tcW w:w="2891" w:type="dxa"/>
            <w:vAlign w:val="center"/>
          </w:tcPr>
          <w:p>
            <w:pPr>
              <w:pStyle w:val="10"/>
            </w:pPr>
            <w:r>
              <w:t>群众对文艺精品满意度</w:t>
            </w:r>
          </w:p>
        </w:tc>
        <w:tc>
          <w:tcPr>
            <w:tcW w:w="1276" w:type="dxa"/>
            <w:vAlign w:val="center"/>
          </w:tcPr>
          <w:p>
            <w:pPr>
              <w:pStyle w:val="10"/>
            </w:pPr>
            <w:r>
              <w:t>≥90%</w:t>
            </w:r>
          </w:p>
        </w:tc>
        <w:tc>
          <w:tcPr>
            <w:tcW w:w="1843" w:type="dxa"/>
            <w:vAlign w:val="center"/>
          </w:tcPr>
          <w:p>
            <w:pPr>
              <w:pStyle w:val="10"/>
            </w:pPr>
            <w:r>
              <w:rPr>
                <w:rFonts w:hint="eastAsia"/>
                <w:lang w:eastAsia="zh-CN"/>
              </w:rPr>
              <w:t>计划标准</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jc w:val="both"/>
      </w:pPr>
      <w:r>
        <w:rPr>
          <w:rFonts w:ascii="方正仿宋_GBK" w:hAnsi="方正仿宋_GBK" w:eastAsia="方正仿宋_GBK" w:cs="方正仿宋_GBK"/>
          <w:color w:val="000000"/>
          <w:sz w:val="28"/>
        </w:rPr>
        <w:t xml:space="preserve"> </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301001中共青岛市委宣传部本级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37020023P32000310012M</w:t>
            </w:r>
          </w:p>
        </w:tc>
        <w:tc>
          <w:tcPr>
            <w:tcW w:w="1587" w:type="dxa"/>
            <w:vAlign w:val="center"/>
          </w:tcPr>
          <w:p>
            <w:pPr>
              <w:pStyle w:val="9"/>
            </w:pPr>
            <w:r>
              <w:t>项目名称</w:t>
            </w:r>
          </w:p>
        </w:tc>
        <w:tc>
          <w:tcPr>
            <w:tcW w:w="4422" w:type="dxa"/>
            <w:gridSpan w:val="3"/>
            <w:vAlign w:val="center"/>
          </w:tcPr>
          <w:p>
            <w:pPr>
              <w:pStyle w:val="10"/>
            </w:pPr>
            <w:r>
              <w:t>文化事业建设资金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2500.00</w:t>
            </w:r>
          </w:p>
        </w:tc>
        <w:tc>
          <w:tcPr>
            <w:tcW w:w="1587" w:type="dxa"/>
            <w:vAlign w:val="center"/>
          </w:tcPr>
          <w:p>
            <w:pPr>
              <w:pStyle w:val="9"/>
            </w:pPr>
            <w:r>
              <w:t>其中：财政    资金</w:t>
            </w:r>
          </w:p>
        </w:tc>
        <w:tc>
          <w:tcPr>
            <w:tcW w:w="1304" w:type="dxa"/>
            <w:vAlign w:val="center"/>
          </w:tcPr>
          <w:p>
            <w:pPr>
              <w:pStyle w:val="10"/>
            </w:pPr>
            <w:r>
              <w:t>2500.00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用于宣传教育、文艺创作、文化产业发展、理论宣讲等工作，促进我市文化事业发展。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rFonts w:asciiTheme="minorHAnsi" w:hAnsiTheme="minorHAnsi"/>
                <w:lang w:val="uk-UA"/>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600.00</w:t>
            </w:r>
          </w:p>
        </w:tc>
        <w:tc>
          <w:tcPr>
            <w:tcW w:w="1587" w:type="dxa"/>
            <w:vAlign w:val="center"/>
          </w:tcPr>
          <w:p>
            <w:pPr>
              <w:pStyle w:val="11"/>
            </w:pPr>
            <w:r>
              <w:t>1200.00</w:t>
            </w:r>
          </w:p>
        </w:tc>
        <w:tc>
          <w:tcPr>
            <w:tcW w:w="1304" w:type="dxa"/>
            <w:vAlign w:val="center"/>
          </w:tcPr>
          <w:p>
            <w:pPr>
              <w:pStyle w:val="11"/>
            </w:pPr>
            <w:r>
              <w:t>1800.00</w:t>
            </w:r>
          </w:p>
        </w:tc>
        <w:tc>
          <w:tcPr>
            <w:tcW w:w="3118" w:type="dxa"/>
            <w:gridSpan w:val="2"/>
            <w:vAlign w:val="center"/>
          </w:tcPr>
          <w:p>
            <w:pPr>
              <w:pStyle w:val="11"/>
            </w:pPr>
            <w:r>
              <w:t>2500.00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继续推动对上发稿，扩大对上宣传；为全市5400个农村免费订阅重点党报党刊。巩固和发展全市意识形态领域积极健康、向上向好的总体态势。指导市社会科学优秀成果评审工作，推动新型智库建设。推介一批重点文化产业企业、园区、项目。评选一批特色鲜明、示范性强、管理规范、配套完善的市级文化和科技融合示范基地。全面贯彻落实全国宣传思想工作会议精神，深化提升理论惠民宣讲工作。</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文化事业建设</w:t>
            </w:r>
            <w:r>
              <w:rPr>
                <w:rFonts w:hint="eastAsia"/>
                <w:lang w:eastAsia="zh-CN"/>
              </w:rPr>
              <w:t>预算控制数</w:t>
            </w:r>
          </w:p>
        </w:tc>
        <w:tc>
          <w:tcPr>
            <w:tcW w:w="2891" w:type="dxa"/>
            <w:vAlign w:val="center"/>
          </w:tcPr>
          <w:p>
            <w:pPr>
              <w:pStyle w:val="10"/>
            </w:pPr>
            <w:r>
              <w:t>文化事业建设</w:t>
            </w:r>
            <w:r>
              <w:rPr>
                <w:rFonts w:hint="eastAsia"/>
                <w:lang w:eastAsia="zh-CN"/>
              </w:rPr>
              <w:t>预算控制数</w:t>
            </w:r>
          </w:p>
        </w:tc>
        <w:tc>
          <w:tcPr>
            <w:tcW w:w="1276" w:type="dxa"/>
            <w:vAlign w:val="center"/>
          </w:tcPr>
          <w:p>
            <w:pPr>
              <w:pStyle w:val="10"/>
            </w:pPr>
            <w:r>
              <w:t>≤2500万元</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爱国主义、国防教育基地补助数量</w:t>
            </w:r>
          </w:p>
        </w:tc>
        <w:tc>
          <w:tcPr>
            <w:tcW w:w="2891" w:type="dxa"/>
            <w:vAlign w:val="center"/>
          </w:tcPr>
          <w:p>
            <w:pPr>
              <w:pStyle w:val="10"/>
            </w:pPr>
            <w:r>
              <w:t>爱国主义、国防教育基地补助数量10个</w:t>
            </w:r>
          </w:p>
        </w:tc>
        <w:tc>
          <w:tcPr>
            <w:tcW w:w="1276" w:type="dxa"/>
            <w:vAlign w:val="center"/>
          </w:tcPr>
          <w:p>
            <w:pPr>
              <w:pStyle w:val="10"/>
            </w:pPr>
            <w:r>
              <w:t>10个</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农村免费订阅重点党报党刊</w:t>
            </w:r>
          </w:p>
        </w:tc>
        <w:tc>
          <w:tcPr>
            <w:tcW w:w="2891" w:type="dxa"/>
            <w:vAlign w:val="center"/>
          </w:tcPr>
          <w:p>
            <w:pPr>
              <w:pStyle w:val="10"/>
            </w:pPr>
            <w:r>
              <w:t>为全市5400个农村免费订阅重点党报党刊</w:t>
            </w:r>
          </w:p>
        </w:tc>
        <w:tc>
          <w:tcPr>
            <w:tcW w:w="1276" w:type="dxa"/>
            <w:vAlign w:val="center"/>
          </w:tcPr>
          <w:p>
            <w:pPr>
              <w:pStyle w:val="10"/>
            </w:pPr>
            <w:r>
              <w:t>≥5400个村</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组织开展高雅艺术进校园活动</w:t>
            </w:r>
          </w:p>
        </w:tc>
        <w:tc>
          <w:tcPr>
            <w:tcW w:w="2891" w:type="dxa"/>
            <w:vAlign w:val="center"/>
          </w:tcPr>
          <w:p>
            <w:pPr>
              <w:pStyle w:val="10"/>
            </w:pPr>
            <w:r>
              <w:t>组织开展高雅艺术进校园活动约30场</w:t>
            </w:r>
          </w:p>
        </w:tc>
        <w:tc>
          <w:tcPr>
            <w:tcW w:w="1276" w:type="dxa"/>
            <w:vAlign w:val="center"/>
          </w:tcPr>
          <w:p>
            <w:pPr>
              <w:pStyle w:val="10"/>
            </w:pPr>
            <w:r>
              <w:t>约30场</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rPr>
                <w:rFonts w:hint="eastAsia"/>
                <w:lang w:eastAsia="zh-CN"/>
              </w:rPr>
              <w:t>数量指标</w:t>
            </w:r>
          </w:p>
        </w:tc>
        <w:tc>
          <w:tcPr>
            <w:tcW w:w="1332" w:type="dxa"/>
            <w:vAlign w:val="center"/>
          </w:tcPr>
          <w:p>
            <w:pPr>
              <w:pStyle w:val="10"/>
            </w:pPr>
            <w:r>
              <w:t>文博会综合展区面积</w:t>
            </w:r>
          </w:p>
        </w:tc>
        <w:tc>
          <w:tcPr>
            <w:tcW w:w="2891" w:type="dxa"/>
            <w:vAlign w:val="center"/>
          </w:tcPr>
          <w:p>
            <w:pPr>
              <w:pStyle w:val="10"/>
            </w:pPr>
            <w:r>
              <w:t>文博会综合展区面积≥400平方米</w:t>
            </w:r>
          </w:p>
        </w:tc>
        <w:tc>
          <w:tcPr>
            <w:tcW w:w="1276" w:type="dxa"/>
            <w:vAlign w:val="center"/>
          </w:tcPr>
          <w:p>
            <w:pPr>
              <w:pStyle w:val="10"/>
            </w:pPr>
            <w:r>
              <w:t>≥400平方米</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rPr>
                <w:rFonts w:hint="eastAsia"/>
                <w:lang w:eastAsia="zh-CN"/>
              </w:rPr>
              <w:t>数量</w:t>
            </w:r>
            <w:r>
              <w:t>指标</w:t>
            </w:r>
          </w:p>
        </w:tc>
        <w:tc>
          <w:tcPr>
            <w:tcW w:w="1332" w:type="dxa"/>
            <w:vAlign w:val="center"/>
          </w:tcPr>
          <w:p>
            <w:pPr>
              <w:pStyle w:val="10"/>
            </w:pPr>
            <w:r>
              <w:t>理论宣讲受众人次</w:t>
            </w:r>
          </w:p>
        </w:tc>
        <w:tc>
          <w:tcPr>
            <w:tcW w:w="2891" w:type="dxa"/>
            <w:vAlign w:val="center"/>
          </w:tcPr>
          <w:p>
            <w:pPr>
              <w:pStyle w:val="10"/>
            </w:pPr>
            <w:r>
              <w:t>理论宣讲受众人次≥150万</w:t>
            </w:r>
          </w:p>
        </w:tc>
        <w:tc>
          <w:tcPr>
            <w:tcW w:w="1276" w:type="dxa"/>
            <w:vAlign w:val="center"/>
          </w:tcPr>
          <w:p>
            <w:pPr>
              <w:pStyle w:val="10"/>
            </w:pPr>
            <w:r>
              <w:t>≥150万</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rPr>
                <w:rFonts w:hint="eastAsia"/>
                <w:lang w:eastAsia="zh-CN"/>
              </w:rPr>
              <w:t>数量</w:t>
            </w:r>
            <w:r>
              <w:t>指标</w:t>
            </w:r>
          </w:p>
        </w:tc>
        <w:tc>
          <w:tcPr>
            <w:tcW w:w="1332" w:type="dxa"/>
            <w:vAlign w:val="center"/>
          </w:tcPr>
          <w:p>
            <w:pPr>
              <w:pStyle w:val="10"/>
            </w:pPr>
            <w:r>
              <w:t>做好重大主题、重要节日社会氛围营造次数</w:t>
            </w:r>
          </w:p>
        </w:tc>
        <w:tc>
          <w:tcPr>
            <w:tcW w:w="2891" w:type="dxa"/>
            <w:vAlign w:val="center"/>
          </w:tcPr>
          <w:p>
            <w:pPr>
              <w:pStyle w:val="10"/>
            </w:pPr>
            <w:r>
              <w:t>做好二十大、两会等重大主题、重要节日社会氛围营造不少于3次。</w:t>
            </w:r>
          </w:p>
        </w:tc>
        <w:tc>
          <w:tcPr>
            <w:tcW w:w="1276" w:type="dxa"/>
            <w:vAlign w:val="center"/>
          </w:tcPr>
          <w:p>
            <w:pPr>
              <w:pStyle w:val="10"/>
            </w:pPr>
            <w:r>
              <w:t>≥3次</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rPr>
                <w:lang w:eastAsia="zh-CN"/>
              </w:rPr>
            </w:pPr>
            <w:r>
              <w:rPr>
                <w:rFonts w:hint="eastAsia"/>
                <w:lang w:eastAsia="zh-CN"/>
              </w:rPr>
              <w:t>质量指标</w:t>
            </w:r>
          </w:p>
        </w:tc>
        <w:tc>
          <w:tcPr>
            <w:tcW w:w="1332" w:type="dxa"/>
            <w:vAlign w:val="center"/>
          </w:tcPr>
          <w:p>
            <w:pPr>
              <w:pStyle w:val="10"/>
            </w:pPr>
            <w:r>
              <w:rPr>
                <w:rFonts w:hint="eastAsia"/>
                <w:lang w:eastAsia="zh-CN"/>
              </w:rPr>
              <w:t>补助政策符合度</w:t>
            </w:r>
          </w:p>
        </w:tc>
        <w:tc>
          <w:tcPr>
            <w:tcW w:w="2891" w:type="dxa"/>
            <w:vAlign w:val="center"/>
          </w:tcPr>
          <w:p>
            <w:pPr>
              <w:pStyle w:val="10"/>
            </w:pPr>
            <w:r>
              <w:rPr>
                <w:rFonts w:hint="eastAsia"/>
                <w:lang w:eastAsia="zh-CN"/>
              </w:rPr>
              <w:t>补助政策符合度</w:t>
            </w:r>
          </w:p>
        </w:tc>
        <w:tc>
          <w:tcPr>
            <w:tcW w:w="1276" w:type="dxa"/>
            <w:vAlign w:val="center"/>
          </w:tcPr>
          <w:p>
            <w:pPr>
              <w:pStyle w:val="10"/>
            </w:pPr>
            <w:r>
              <w:rPr>
                <w:lang w:eastAsia="zh-CN"/>
              </w:rPr>
              <w:t>100%</w:t>
            </w:r>
          </w:p>
        </w:tc>
        <w:tc>
          <w:tcPr>
            <w:tcW w:w="1843" w:type="dxa"/>
            <w:vAlign w:val="center"/>
          </w:tcPr>
          <w:p>
            <w:pPr>
              <w:pStyle w:val="10"/>
              <w:rPr>
                <w:lang w:eastAsia="zh-CN"/>
              </w:rPr>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rPr>
                <w:lang w:eastAsia="zh-CN"/>
              </w:rPr>
            </w:pPr>
            <w:r>
              <w:rPr>
                <w:rFonts w:hint="eastAsia"/>
                <w:lang w:eastAsia="zh-CN"/>
              </w:rPr>
              <w:t>质量指标</w:t>
            </w:r>
          </w:p>
        </w:tc>
        <w:tc>
          <w:tcPr>
            <w:tcW w:w="1332" w:type="dxa"/>
            <w:vAlign w:val="center"/>
          </w:tcPr>
          <w:p>
            <w:pPr>
              <w:pStyle w:val="10"/>
            </w:pPr>
            <w:r>
              <w:rPr>
                <w:rFonts w:hint="eastAsia"/>
                <w:lang w:eastAsia="zh-CN"/>
              </w:rPr>
              <w:t>活动开展成功率</w:t>
            </w:r>
          </w:p>
        </w:tc>
        <w:tc>
          <w:tcPr>
            <w:tcW w:w="2891" w:type="dxa"/>
            <w:vAlign w:val="center"/>
          </w:tcPr>
          <w:p>
            <w:pPr>
              <w:pStyle w:val="10"/>
            </w:pPr>
            <w:r>
              <w:rPr>
                <w:rFonts w:hint="eastAsia"/>
                <w:lang w:eastAsia="zh-CN"/>
              </w:rPr>
              <w:t>活动开展成功率</w:t>
            </w:r>
          </w:p>
        </w:tc>
        <w:tc>
          <w:tcPr>
            <w:tcW w:w="1276" w:type="dxa"/>
            <w:vAlign w:val="center"/>
          </w:tcPr>
          <w:p>
            <w:pPr>
              <w:pStyle w:val="10"/>
            </w:pPr>
            <w:r>
              <w:rPr>
                <w:lang w:eastAsia="zh-CN"/>
              </w:rPr>
              <w:t>100%</w:t>
            </w:r>
          </w:p>
        </w:tc>
        <w:tc>
          <w:tcPr>
            <w:tcW w:w="1843" w:type="dxa"/>
            <w:vAlign w:val="center"/>
          </w:tcPr>
          <w:p>
            <w:pPr>
              <w:pStyle w:val="10"/>
              <w:rPr>
                <w:lang w:eastAsia="zh-CN"/>
              </w:rPr>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w:t>
            </w:r>
            <w:r>
              <w:rPr>
                <w:rFonts w:hint="eastAsia"/>
                <w:lang w:eastAsia="zh-CN"/>
              </w:rPr>
              <w:t>完成及时性</w:t>
            </w:r>
          </w:p>
        </w:tc>
        <w:tc>
          <w:tcPr>
            <w:tcW w:w="2891" w:type="dxa"/>
            <w:vAlign w:val="center"/>
          </w:tcPr>
          <w:p>
            <w:pPr>
              <w:pStyle w:val="10"/>
            </w:pPr>
            <w:r>
              <w:t>项目</w:t>
            </w:r>
            <w:r>
              <w:rPr>
                <w:rFonts w:hint="eastAsia"/>
                <w:lang w:eastAsia="zh-CN"/>
              </w:rPr>
              <w:t>完成及时性</w:t>
            </w:r>
          </w:p>
        </w:tc>
        <w:tc>
          <w:tcPr>
            <w:tcW w:w="1276" w:type="dxa"/>
            <w:vAlign w:val="center"/>
          </w:tcPr>
          <w:p>
            <w:pPr>
              <w:pStyle w:val="10"/>
            </w:pPr>
            <w:r>
              <w:rPr>
                <w:rFonts w:hint="eastAsia"/>
                <w:lang w:eastAsia="zh-CN"/>
              </w:rPr>
              <w:t>100%</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新闻宣传特别是对上宣传工作名列全国同类城市前茅</w:t>
            </w:r>
          </w:p>
        </w:tc>
        <w:tc>
          <w:tcPr>
            <w:tcW w:w="2891" w:type="dxa"/>
            <w:vAlign w:val="center"/>
          </w:tcPr>
          <w:p>
            <w:pPr>
              <w:pStyle w:val="10"/>
            </w:pPr>
            <w:r>
              <w:t>新闻宣传特别是对上宣传工作名列全国同类城市前茅</w:t>
            </w:r>
          </w:p>
        </w:tc>
        <w:tc>
          <w:tcPr>
            <w:tcW w:w="1276" w:type="dxa"/>
            <w:vAlign w:val="center"/>
          </w:tcPr>
          <w:p>
            <w:pPr>
              <w:pStyle w:val="10"/>
              <w:rPr>
                <w:rFonts w:asciiTheme="minorHAnsi" w:hAnsiTheme="minorHAnsi"/>
                <w:lang w:val="uk-UA"/>
              </w:rPr>
            </w:pPr>
            <w:r>
              <w:t>全国同类城市前茅</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参展山东文博会企业满意率</w:t>
            </w:r>
          </w:p>
        </w:tc>
        <w:tc>
          <w:tcPr>
            <w:tcW w:w="2891" w:type="dxa"/>
            <w:vAlign w:val="center"/>
          </w:tcPr>
          <w:p>
            <w:pPr>
              <w:pStyle w:val="10"/>
            </w:pPr>
            <w:r>
              <w:t>参展山东文博会企业满意率≥95%</w:t>
            </w:r>
          </w:p>
        </w:tc>
        <w:tc>
          <w:tcPr>
            <w:tcW w:w="1276" w:type="dxa"/>
            <w:vAlign w:val="center"/>
          </w:tcPr>
          <w:p>
            <w:pPr>
              <w:pStyle w:val="10"/>
            </w:pPr>
            <w:r>
              <w:t>≥95%</w:t>
            </w:r>
          </w:p>
        </w:tc>
        <w:tc>
          <w:tcPr>
            <w:tcW w:w="1843" w:type="dxa"/>
            <w:vAlign w:val="center"/>
          </w:tcPr>
          <w:p>
            <w:pPr>
              <w:pStyle w:val="10"/>
            </w:pPr>
            <w:r>
              <w:rPr>
                <w:rFonts w:hint="eastAsia"/>
                <w:lang w:eastAsia="zh-CN"/>
              </w:rPr>
              <w:t>计划标准</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302001青岛市文化和旅游局本级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37020023P31001610002U</w:t>
            </w:r>
          </w:p>
        </w:tc>
        <w:tc>
          <w:tcPr>
            <w:tcW w:w="1587" w:type="dxa"/>
            <w:vAlign w:val="center"/>
          </w:tcPr>
          <w:p>
            <w:pPr>
              <w:pStyle w:val="9"/>
            </w:pPr>
            <w:r>
              <w:t>项目名称</w:t>
            </w:r>
          </w:p>
        </w:tc>
        <w:tc>
          <w:tcPr>
            <w:tcW w:w="4422" w:type="dxa"/>
            <w:gridSpan w:val="3"/>
            <w:vAlign w:val="center"/>
          </w:tcPr>
          <w:p>
            <w:pPr>
              <w:pStyle w:val="10"/>
            </w:pPr>
            <w:r>
              <w:t>文化旅游品质提升经费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5203.00</w:t>
            </w:r>
          </w:p>
        </w:tc>
        <w:tc>
          <w:tcPr>
            <w:tcW w:w="1587" w:type="dxa"/>
            <w:vAlign w:val="center"/>
          </w:tcPr>
          <w:p>
            <w:pPr>
              <w:pStyle w:val="9"/>
            </w:pPr>
            <w:r>
              <w:t>其中：财政    资金</w:t>
            </w:r>
          </w:p>
        </w:tc>
        <w:tc>
          <w:tcPr>
            <w:tcW w:w="1304" w:type="dxa"/>
            <w:vAlign w:val="center"/>
          </w:tcPr>
          <w:p>
            <w:pPr>
              <w:pStyle w:val="10"/>
            </w:pPr>
            <w:r>
              <w:t>5203.00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开展文旅消费、宣传促销、省旅游发展大会开幕式等支出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100.00</w:t>
            </w:r>
          </w:p>
        </w:tc>
        <w:tc>
          <w:tcPr>
            <w:tcW w:w="1587" w:type="dxa"/>
            <w:vAlign w:val="center"/>
          </w:tcPr>
          <w:p>
            <w:pPr>
              <w:pStyle w:val="11"/>
            </w:pPr>
            <w:r>
              <w:t>3500.00</w:t>
            </w:r>
          </w:p>
        </w:tc>
        <w:tc>
          <w:tcPr>
            <w:tcW w:w="1304" w:type="dxa"/>
            <w:vAlign w:val="center"/>
          </w:tcPr>
          <w:p>
            <w:pPr>
              <w:pStyle w:val="11"/>
            </w:pPr>
            <w:r>
              <w:t>5000.00</w:t>
            </w:r>
          </w:p>
        </w:tc>
        <w:tc>
          <w:tcPr>
            <w:tcW w:w="3118" w:type="dxa"/>
            <w:gridSpan w:val="2"/>
            <w:vAlign w:val="center"/>
          </w:tcPr>
          <w:p>
            <w:pPr>
              <w:pStyle w:val="11"/>
            </w:pPr>
            <w:r>
              <w:t>5203.00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2023年度开展文化旅游消费、文旅宣传推广和文化旅游品质提升活动，提高青岛市文化旅游品质</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文化旅游品质提升预算成本数</w:t>
            </w:r>
          </w:p>
        </w:tc>
        <w:tc>
          <w:tcPr>
            <w:tcW w:w="2891" w:type="dxa"/>
            <w:vAlign w:val="center"/>
          </w:tcPr>
          <w:p>
            <w:pPr>
              <w:pStyle w:val="10"/>
            </w:pPr>
            <w:r>
              <w:t>文化旅游品质提升预算成本数</w:t>
            </w:r>
          </w:p>
        </w:tc>
        <w:tc>
          <w:tcPr>
            <w:tcW w:w="1276" w:type="dxa"/>
            <w:vAlign w:val="center"/>
          </w:tcPr>
          <w:p>
            <w:pPr>
              <w:pStyle w:val="10"/>
            </w:pPr>
            <w:r>
              <w:t>≤5203万元</w:t>
            </w:r>
          </w:p>
        </w:tc>
        <w:tc>
          <w:tcPr>
            <w:tcW w:w="1843" w:type="dxa"/>
            <w:vAlign w:val="center"/>
          </w:tcPr>
          <w:p>
            <w:pPr>
              <w:pStyle w:val="10"/>
            </w:pPr>
            <w:r>
              <w:t>下达预算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文旅消费上架产品和服务数量</w:t>
            </w:r>
          </w:p>
        </w:tc>
        <w:tc>
          <w:tcPr>
            <w:tcW w:w="2891" w:type="dxa"/>
            <w:vAlign w:val="center"/>
          </w:tcPr>
          <w:p>
            <w:pPr>
              <w:pStyle w:val="10"/>
            </w:pPr>
            <w:r>
              <w:t>文旅消费上架产品和服务数量</w:t>
            </w:r>
          </w:p>
        </w:tc>
        <w:tc>
          <w:tcPr>
            <w:tcW w:w="1276" w:type="dxa"/>
            <w:vAlign w:val="center"/>
          </w:tcPr>
          <w:p>
            <w:pPr>
              <w:pStyle w:val="10"/>
            </w:pPr>
            <w:r>
              <w:t>≥2.5万项</w:t>
            </w:r>
          </w:p>
        </w:tc>
        <w:tc>
          <w:tcPr>
            <w:tcW w:w="1843"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开展文旅活动</w:t>
            </w:r>
          </w:p>
        </w:tc>
        <w:tc>
          <w:tcPr>
            <w:tcW w:w="2891" w:type="dxa"/>
            <w:vAlign w:val="center"/>
          </w:tcPr>
          <w:p>
            <w:pPr>
              <w:pStyle w:val="10"/>
            </w:pPr>
            <w:r>
              <w:t>开展文旅活动</w:t>
            </w:r>
          </w:p>
        </w:tc>
        <w:tc>
          <w:tcPr>
            <w:tcW w:w="1276" w:type="dxa"/>
            <w:vAlign w:val="center"/>
          </w:tcPr>
          <w:p>
            <w:pPr>
              <w:pStyle w:val="10"/>
            </w:pPr>
            <w:r>
              <w:t>≥7项</w:t>
            </w:r>
          </w:p>
        </w:tc>
        <w:tc>
          <w:tcPr>
            <w:tcW w:w="1843"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开展宣传促销活动</w:t>
            </w:r>
          </w:p>
        </w:tc>
        <w:tc>
          <w:tcPr>
            <w:tcW w:w="2891" w:type="dxa"/>
            <w:vAlign w:val="center"/>
          </w:tcPr>
          <w:p>
            <w:pPr>
              <w:pStyle w:val="10"/>
            </w:pPr>
            <w:r>
              <w:t>开展宣传促销活动</w:t>
            </w:r>
          </w:p>
        </w:tc>
        <w:tc>
          <w:tcPr>
            <w:tcW w:w="1276" w:type="dxa"/>
            <w:vAlign w:val="center"/>
          </w:tcPr>
          <w:p>
            <w:pPr>
              <w:pStyle w:val="10"/>
            </w:pPr>
            <w:r>
              <w:t xml:space="preserve">≥4项 </w:t>
            </w:r>
          </w:p>
        </w:tc>
        <w:tc>
          <w:tcPr>
            <w:tcW w:w="1843"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省旅游发展大会达标率和宣传活动达标率</w:t>
            </w:r>
          </w:p>
        </w:tc>
        <w:tc>
          <w:tcPr>
            <w:tcW w:w="2891" w:type="dxa"/>
            <w:vAlign w:val="center"/>
          </w:tcPr>
          <w:p>
            <w:pPr>
              <w:pStyle w:val="10"/>
            </w:pPr>
            <w:r>
              <w:t>省旅游发展大会达标率和宣传活动达标率</w:t>
            </w:r>
          </w:p>
        </w:tc>
        <w:tc>
          <w:tcPr>
            <w:tcW w:w="1276" w:type="dxa"/>
            <w:vAlign w:val="center"/>
          </w:tcPr>
          <w:p>
            <w:pPr>
              <w:pStyle w:val="10"/>
            </w:pPr>
            <w:r>
              <w:t>100%</w:t>
            </w:r>
          </w:p>
        </w:tc>
        <w:tc>
          <w:tcPr>
            <w:tcW w:w="1843"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任务完成率</w:t>
            </w:r>
          </w:p>
        </w:tc>
        <w:tc>
          <w:tcPr>
            <w:tcW w:w="2891" w:type="dxa"/>
            <w:vAlign w:val="center"/>
          </w:tcPr>
          <w:p>
            <w:pPr>
              <w:pStyle w:val="10"/>
            </w:pPr>
            <w:r>
              <w:t>任务完成率</w:t>
            </w:r>
          </w:p>
        </w:tc>
        <w:tc>
          <w:tcPr>
            <w:tcW w:w="1276" w:type="dxa"/>
            <w:vAlign w:val="center"/>
          </w:tcPr>
          <w:p>
            <w:pPr>
              <w:pStyle w:val="10"/>
            </w:pPr>
            <w:r>
              <w:t>100%</w:t>
            </w:r>
          </w:p>
        </w:tc>
        <w:tc>
          <w:tcPr>
            <w:tcW w:w="1843"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大会活动完成时间</w:t>
            </w:r>
          </w:p>
        </w:tc>
        <w:tc>
          <w:tcPr>
            <w:tcW w:w="2891" w:type="dxa"/>
            <w:vAlign w:val="center"/>
          </w:tcPr>
          <w:p>
            <w:pPr>
              <w:pStyle w:val="10"/>
            </w:pPr>
            <w:r>
              <w:t>大会活动完成时间</w:t>
            </w:r>
          </w:p>
        </w:tc>
        <w:tc>
          <w:tcPr>
            <w:tcW w:w="1276" w:type="dxa"/>
            <w:vAlign w:val="center"/>
          </w:tcPr>
          <w:p>
            <w:pPr>
              <w:pStyle w:val="10"/>
            </w:pPr>
            <w:r>
              <w:t>10月底之前</w:t>
            </w:r>
          </w:p>
        </w:tc>
        <w:tc>
          <w:tcPr>
            <w:tcW w:w="1843"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青岛市文化旅游品质</w:t>
            </w:r>
          </w:p>
        </w:tc>
        <w:tc>
          <w:tcPr>
            <w:tcW w:w="2891" w:type="dxa"/>
            <w:vAlign w:val="center"/>
          </w:tcPr>
          <w:p>
            <w:pPr>
              <w:pStyle w:val="10"/>
            </w:pPr>
            <w:r>
              <w:t>青岛市文化旅游品质</w:t>
            </w:r>
          </w:p>
        </w:tc>
        <w:tc>
          <w:tcPr>
            <w:tcW w:w="1276" w:type="dxa"/>
            <w:vAlign w:val="center"/>
          </w:tcPr>
          <w:p>
            <w:pPr>
              <w:pStyle w:val="10"/>
            </w:pPr>
            <w:r>
              <w:rPr>
                <w:rFonts w:hint="eastAsia"/>
                <w:lang w:eastAsia="zh-CN"/>
              </w:rPr>
              <w:t>同比</w:t>
            </w:r>
            <w:r>
              <w:t>提升</w:t>
            </w:r>
          </w:p>
        </w:tc>
        <w:tc>
          <w:tcPr>
            <w:tcW w:w="1843"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参会人员满意度</w:t>
            </w:r>
          </w:p>
        </w:tc>
        <w:tc>
          <w:tcPr>
            <w:tcW w:w="2891" w:type="dxa"/>
            <w:vAlign w:val="center"/>
          </w:tcPr>
          <w:p>
            <w:pPr>
              <w:pStyle w:val="10"/>
            </w:pPr>
            <w:r>
              <w:t>参会人员满意度</w:t>
            </w:r>
          </w:p>
        </w:tc>
        <w:tc>
          <w:tcPr>
            <w:tcW w:w="1276" w:type="dxa"/>
            <w:vAlign w:val="center"/>
          </w:tcPr>
          <w:p>
            <w:pPr>
              <w:pStyle w:val="10"/>
            </w:pPr>
            <w:r>
              <w:t>≥90%</w:t>
            </w:r>
          </w:p>
        </w:tc>
        <w:tc>
          <w:tcPr>
            <w:tcW w:w="1843" w:type="dxa"/>
            <w:vAlign w:val="center"/>
          </w:tcPr>
          <w:p>
            <w:pPr>
              <w:pStyle w:val="10"/>
            </w:pPr>
            <w:r>
              <w:t>工作计划</w:t>
            </w:r>
          </w:p>
        </w:tc>
      </w:tr>
    </w:tbl>
    <w:p>
      <w:pPr>
        <w:sectPr>
          <w:pgSz w:w="11900" w:h="16840"/>
          <w:pgMar w:top="1984" w:right="1304" w:bottom="1134" w:left="1304" w:header="720" w:footer="720" w:gutter="0"/>
          <w:pgNumType w:fmt="numberInDash"/>
          <w:cols w:space="720" w:num="1"/>
        </w:sect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302001青岛市文化和旅游局本级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37020023P33000510003Y</w:t>
            </w:r>
          </w:p>
        </w:tc>
        <w:tc>
          <w:tcPr>
            <w:tcW w:w="1587" w:type="dxa"/>
            <w:vAlign w:val="center"/>
          </w:tcPr>
          <w:p>
            <w:pPr>
              <w:pStyle w:val="9"/>
            </w:pPr>
            <w:r>
              <w:t>项目名称</w:t>
            </w:r>
          </w:p>
        </w:tc>
        <w:tc>
          <w:tcPr>
            <w:tcW w:w="4422" w:type="dxa"/>
            <w:gridSpan w:val="3"/>
            <w:vAlign w:val="center"/>
          </w:tcPr>
          <w:p>
            <w:pPr>
              <w:pStyle w:val="10"/>
            </w:pPr>
            <w:r>
              <w:t>文旅产业奖补资金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3788.00</w:t>
            </w:r>
          </w:p>
        </w:tc>
        <w:tc>
          <w:tcPr>
            <w:tcW w:w="1587" w:type="dxa"/>
            <w:vAlign w:val="center"/>
          </w:tcPr>
          <w:p>
            <w:pPr>
              <w:pStyle w:val="9"/>
            </w:pPr>
            <w:r>
              <w:t>其中：财政    资金</w:t>
            </w:r>
          </w:p>
        </w:tc>
        <w:tc>
          <w:tcPr>
            <w:tcW w:w="1304" w:type="dxa"/>
            <w:vAlign w:val="center"/>
          </w:tcPr>
          <w:p>
            <w:pPr>
              <w:pStyle w:val="10"/>
            </w:pPr>
            <w:r>
              <w:t>3788.00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对文旅产业、乡村旅游等进行奖补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3000.00</w:t>
            </w:r>
          </w:p>
        </w:tc>
        <w:tc>
          <w:tcPr>
            <w:tcW w:w="1587" w:type="dxa"/>
            <w:vAlign w:val="center"/>
          </w:tcPr>
          <w:p>
            <w:pPr>
              <w:pStyle w:val="11"/>
            </w:pPr>
            <w:r>
              <w:t>3788.00</w:t>
            </w:r>
          </w:p>
        </w:tc>
        <w:tc>
          <w:tcPr>
            <w:tcW w:w="1304" w:type="dxa"/>
            <w:vAlign w:val="center"/>
          </w:tcPr>
          <w:p>
            <w:pPr>
              <w:pStyle w:val="11"/>
            </w:pPr>
            <w:r>
              <w:t>3788.00</w:t>
            </w:r>
          </w:p>
        </w:tc>
        <w:tc>
          <w:tcPr>
            <w:tcW w:w="3118" w:type="dxa"/>
            <w:gridSpan w:val="2"/>
            <w:vAlign w:val="center"/>
          </w:tcPr>
          <w:p>
            <w:pPr>
              <w:pStyle w:val="11"/>
            </w:pPr>
            <w:r>
              <w:t>3788.00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6.2023年度，奖补单位数量58家，奖补乡村旅游村（镇）数量21个，奖补旅游行业技能人才7人，文化娱乐企业营业收入较上年增长</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696"/>
        <w:gridCol w:w="2527"/>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696" w:type="dxa"/>
            <w:vAlign w:val="center"/>
          </w:tcPr>
          <w:p>
            <w:pPr>
              <w:pStyle w:val="9"/>
            </w:pPr>
            <w:r>
              <w:t>三级指标</w:t>
            </w:r>
          </w:p>
        </w:tc>
        <w:tc>
          <w:tcPr>
            <w:tcW w:w="2527"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696" w:type="dxa"/>
            <w:vAlign w:val="center"/>
          </w:tcPr>
          <w:p>
            <w:pPr>
              <w:pStyle w:val="10"/>
            </w:pPr>
            <w:r>
              <w:t>文旅产业奖补预算成本数</w:t>
            </w:r>
          </w:p>
        </w:tc>
        <w:tc>
          <w:tcPr>
            <w:tcW w:w="2527" w:type="dxa"/>
            <w:vAlign w:val="center"/>
          </w:tcPr>
          <w:p>
            <w:pPr>
              <w:pStyle w:val="10"/>
            </w:pPr>
            <w:r>
              <w:t>文旅产业奖补预算成本数</w:t>
            </w:r>
          </w:p>
        </w:tc>
        <w:tc>
          <w:tcPr>
            <w:tcW w:w="1276" w:type="dxa"/>
            <w:vAlign w:val="center"/>
          </w:tcPr>
          <w:p>
            <w:pPr>
              <w:pStyle w:val="10"/>
            </w:pPr>
            <w:r>
              <w:t>≤3788万元</w:t>
            </w:r>
          </w:p>
        </w:tc>
        <w:tc>
          <w:tcPr>
            <w:tcW w:w="1843" w:type="dxa"/>
            <w:vAlign w:val="center"/>
          </w:tcPr>
          <w:p>
            <w:pPr>
              <w:pStyle w:val="10"/>
            </w:pPr>
            <w:r>
              <w:t>下达预算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696" w:type="dxa"/>
            <w:vAlign w:val="center"/>
          </w:tcPr>
          <w:p>
            <w:pPr>
              <w:pStyle w:val="10"/>
            </w:pPr>
            <w:r>
              <w:t>奖补单位数量</w:t>
            </w:r>
          </w:p>
        </w:tc>
        <w:tc>
          <w:tcPr>
            <w:tcW w:w="2527" w:type="dxa"/>
            <w:vAlign w:val="center"/>
          </w:tcPr>
          <w:p>
            <w:pPr>
              <w:pStyle w:val="10"/>
            </w:pPr>
            <w:r>
              <w:t>奖补单位数量</w:t>
            </w:r>
          </w:p>
        </w:tc>
        <w:tc>
          <w:tcPr>
            <w:tcW w:w="1276" w:type="dxa"/>
            <w:vAlign w:val="center"/>
          </w:tcPr>
          <w:p>
            <w:pPr>
              <w:pStyle w:val="10"/>
            </w:pPr>
            <w:r>
              <w:t>≥58家</w:t>
            </w:r>
          </w:p>
        </w:tc>
        <w:tc>
          <w:tcPr>
            <w:tcW w:w="1843"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696" w:type="dxa"/>
            <w:vAlign w:val="center"/>
          </w:tcPr>
          <w:p>
            <w:pPr>
              <w:pStyle w:val="10"/>
            </w:pPr>
            <w:r>
              <w:t>奖补乡村旅游村（镇）数量</w:t>
            </w:r>
          </w:p>
        </w:tc>
        <w:tc>
          <w:tcPr>
            <w:tcW w:w="2527" w:type="dxa"/>
            <w:vAlign w:val="center"/>
          </w:tcPr>
          <w:p>
            <w:pPr>
              <w:pStyle w:val="10"/>
            </w:pPr>
            <w:r>
              <w:t>奖补乡村旅游村（镇）数量</w:t>
            </w:r>
          </w:p>
        </w:tc>
        <w:tc>
          <w:tcPr>
            <w:tcW w:w="1276" w:type="dxa"/>
            <w:vAlign w:val="center"/>
          </w:tcPr>
          <w:p>
            <w:pPr>
              <w:pStyle w:val="10"/>
            </w:pPr>
            <w:r>
              <w:t>≥21个</w:t>
            </w:r>
          </w:p>
        </w:tc>
        <w:tc>
          <w:tcPr>
            <w:tcW w:w="1843"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696" w:type="dxa"/>
            <w:vAlign w:val="center"/>
          </w:tcPr>
          <w:p>
            <w:pPr>
              <w:pStyle w:val="10"/>
            </w:pPr>
            <w:r>
              <w:t>奖补旅游行业技能人才</w:t>
            </w:r>
          </w:p>
        </w:tc>
        <w:tc>
          <w:tcPr>
            <w:tcW w:w="2527" w:type="dxa"/>
            <w:vAlign w:val="center"/>
          </w:tcPr>
          <w:p>
            <w:pPr>
              <w:pStyle w:val="10"/>
            </w:pPr>
            <w:r>
              <w:t>奖补旅游行业技能人才数量</w:t>
            </w:r>
          </w:p>
        </w:tc>
        <w:tc>
          <w:tcPr>
            <w:tcW w:w="1276" w:type="dxa"/>
            <w:vAlign w:val="center"/>
          </w:tcPr>
          <w:p>
            <w:pPr>
              <w:pStyle w:val="10"/>
            </w:pPr>
            <w:r>
              <w:t>≥7人</w:t>
            </w:r>
          </w:p>
        </w:tc>
        <w:tc>
          <w:tcPr>
            <w:tcW w:w="1843"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696" w:type="dxa"/>
            <w:vAlign w:val="center"/>
          </w:tcPr>
          <w:p>
            <w:pPr>
              <w:pStyle w:val="10"/>
            </w:pPr>
            <w:r>
              <w:t>专款专用率</w:t>
            </w:r>
          </w:p>
        </w:tc>
        <w:tc>
          <w:tcPr>
            <w:tcW w:w="2527" w:type="dxa"/>
            <w:vAlign w:val="center"/>
          </w:tcPr>
          <w:p>
            <w:pPr>
              <w:pStyle w:val="10"/>
            </w:pPr>
            <w:r>
              <w:t>专款专用率</w:t>
            </w:r>
          </w:p>
        </w:tc>
        <w:tc>
          <w:tcPr>
            <w:tcW w:w="1276" w:type="dxa"/>
            <w:vAlign w:val="center"/>
          </w:tcPr>
          <w:p>
            <w:pPr>
              <w:pStyle w:val="10"/>
            </w:pPr>
            <w:r>
              <w:t>100%</w:t>
            </w:r>
          </w:p>
        </w:tc>
        <w:tc>
          <w:tcPr>
            <w:tcW w:w="1843"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696" w:type="dxa"/>
            <w:vAlign w:val="center"/>
          </w:tcPr>
          <w:p>
            <w:pPr>
              <w:pStyle w:val="10"/>
            </w:pPr>
            <w:r>
              <w:t>扶持对象公示率</w:t>
            </w:r>
          </w:p>
        </w:tc>
        <w:tc>
          <w:tcPr>
            <w:tcW w:w="2527" w:type="dxa"/>
            <w:vAlign w:val="center"/>
          </w:tcPr>
          <w:p>
            <w:pPr>
              <w:pStyle w:val="10"/>
            </w:pPr>
            <w:r>
              <w:t>扶持对象公示率</w:t>
            </w:r>
          </w:p>
        </w:tc>
        <w:tc>
          <w:tcPr>
            <w:tcW w:w="1276" w:type="dxa"/>
            <w:vAlign w:val="center"/>
          </w:tcPr>
          <w:p>
            <w:pPr>
              <w:pStyle w:val="10"/>
            </w:pPr>
            <w:r>
              <w:t>应公示尽公示</w:t>
            </w:r>
          </w:p>
        </w:tc>
        <w:tc>
          <w:tcPr>
            <w:tcW w:w="1843"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696" w:type="dxa"/>
            <w:vAlign w:val="center"/>
          </w:tcPr>
          <w:p>
            <w:pPr>
              <w:pStyle w:val="10"/>
            </w:pPr>
            <w:r>
              <w:t>奖补发放完成时间</w:t>
            </w:r>
          </w:p>
        </w:tc>
        <w:tc>
          <w:tcPr>
            <w:tcW w:w="2527" w:type="dxa"/>
            <w:vAlign w:val="center"/>
          </w:tcPr>
          <w:p>
            <w:pPr>
              <w:pStyle w:val="10"/>
            </w:pPr>
            <w:r>
              <w:t>奖补发放完成时间</w:t>
            </w:r>
          </w:p>
        </w:tc>
        <w:tc>
          <w:tcPr>
            <w:tcW w:w="1276" w:type="dxa"/>
            <w:vAlign w:val="center"/>
          </w:tcPr>
          <w:p>
            <w:pPr>
              <w:pStyle w:val="10"/>
            </w:pPr>
            <w:r>
              <w:t>12月底以前</w:t>
            </w:r>
          </w:p>
        </w:tc>
        <w:tc>
          <w:tcPr>
            <w:tcW w:w="1843"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696" w:type="dxa"/>
            <w:vAlign w:val="center"/>
          </w:tcPr>
          <w:p>
            <w:pPr>
              <w:pStyle w:val="10"/>
            </w:pPr>
            <w:r>
              <w:t>鼓励文化娱乐企业营业收入较上年增长</w:t>
            </w:r>
          </w:p>
        </w:tc>
        <w:tc>
          <w:tcPr>
            <w:tcW w:w="2527" w:type="dxa"/>
            <w:vAlign w:val="center"/>
          </w:tcPr>
          <w:p>
            <w:pPr>
              <w:pStyle w:val="10"/>
            </w:pPr>
            <w:r>
              <w:t>鼓励文化娱乐企业营业收入较上年增长金额</w:t>
            </w:r>
          </w:p>
        </w:tc>
        <w:tc>
          <w:tcPr>
            <w:tcW w:w="1276" w:type="dxa"/>
            <w:vAlign w:val="center"/>
          </w:tcPr>
          <w:p>
            <w:pPr>
              <w:pStyle w:val="10"/>
            </w:pPr>
            <w:r>
              <w:t>≥500万元/家</w:t>
            </w:r>
          </w:p>
        </w:tc>
        <w:tc>
          <w:tcPr>
            <w:tcW w:w="1843"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696" w:type="dxa"/>
            <w:vAlign w:val="center"/>
          </w:tcPr>
          <w:p>
            <w:pPr>
              <w:pStyle w:val="10"/>
            </w:pPr>
            <w:r>
              <w:t>奖补对象满意度</w:t>
            </w:r>
          </w:p>
        </w:tc>
        <w:tc>
          <w:tcPr>
            <w:tcW w:w="2527" w:type="dxa"/>
            <w:vAlign w:val="center"/>
          </w:tcPr>
          <w:p>
            <w:pPr>
              <w:pStyle w:val="10"/>
            </w:pPr>
            <w:r>
              <w:t>奖补对象满意度</w:t>
            </w:r>
          </w:p>
        </w:tc>
        <w:tc>
          <w:tcPr>
            <w:tcW w:w="1276" w:type="dxa"/>
            <w:vAlign w:val="center"/>
          </w:tcPr>
          <w:p>
            <w:pPr>
              <w:pStyle w:val="10"/>
            </w:pPr>
            <w:r>
              <w:t>≥90%</w:t>
            </w:r>
          </w:p>
        </w:tc>
        <w:tc>
          <w:tcPr>
            <w:tcW w:w="1843" w:type="dxa"/>
            <w:vAlign w:val="center"/>
          </w:tcPr>
          <w:p>
            <w:pPr>
              <w:pStyle w:val="10"/>
            </w:pPr>
            <w:r>
              <w:t>工作计划</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tbl>
      <w:tblPr>
        <w:tblStyle w:val="5"/>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783"/>
        <w:gridCol w:w="1625"/>
        <w:gridCol w:w="1232"/>
        <w:gridCol w:w="859"/>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7"/>
            </w:pPr>
            <w:r>
              <w:t>302001青岛市文化和旅游局本级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3059" w:type="dxa"/>
            <w:gridSpan w:val="2"/>
            <w:vAlign w:val="center"/>
          </w:tcPr>
          <w:p>
            <w:pPr>
              <w:pStyle w:val="10"/>
            </w:pPr>
            <w:r>
              <w:t>37020023P33000710003A</w:t>
            </w:r>
          </w:p>
        </w:tc>
        <w:tc>
          <w:tcPr>
            <w:tcW w:w="1625" w:type="dxa"/>
            <w:vAlign w:val="center"/>
          </w:tcPr>
          <w:p>
            <w:pPr>
              <w:pStyle w:val="9"/>
            </w:pPr>
            <w:r>
              <w:t>项目名称</w:t>
            </w:r>
          </w:p>
        </w:tc>
        <w:tc>
          <w:tcPr>
            <w:tcW w:w="3934" w:type="dxa"/>
            <w:gridSpan w:val="3"/>
            <w:vAlign w:val="center"/>
          </w:tcPr>
          <w:p>
            <w:pPr>
              <w:pStyle w:val="10"/>
            </w:pPr>
            <w:r>
              <w:t>影视产业补助资金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783" w:type="dxa"/>
            <w:vAlign w:val="center"/>
          </w:tcPr>
          <w:p>
            <w:pPr>
              <w:pStyle w:val="10"/>
            </w:pPr>
            <w:r>
              <w:t>2150.00</w:t>
            </w:r>
          </w:p>
        </w:tc>
        <w:tc>
          <w:tcPr>
            <w:tcW w:w="1625" w:type="dxa"/>
            <w:vAlign w:val="center"/>
          </w:tcPr>
          <w:p>
            <w:pPr>
              <w:pStyle w:val="9"/>
            </w:pPr>
            <w:r>
              <w:t>其中：财政    资金</w:t>
            </w:r>
          </w:p>
        </w:tc>
        <w:tc>
          <w:tcPr>
            <w:tcW w:w="1232" w:type="dxa"/>
            <w:vAlign w:val="center"/>
          </w:tcPr>
          <w:p>
            <w:pPr>
              <w:pStyle w:val="10"/>
            </w:pPr>
            <w:r>
              <w:t>2150.00</w:t>
            </w:r>
          </w:p>
        </w:tc>
        <w:tc>
          <w:tcPr>
            <w:tcW w:w="859"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对在青拍摄的影视作品给予补助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3059" w:type="dxa"/>
            <w:gridSpan w:val="2"/>
            <w:vAlign w:val="center"/>
          </w:tcPr>
          <w:p>
            <w:pPr>
              <w:pStyle w:val="9"/>
            </w:pPr>
            <w:r>
              <w:t>3月底</w:t>
            </w:r>
          </w:p>
        </w:tc>
        <w:tc>
          <w:tcPr>
            <w:tcW w:w="1625" w:type="dxa"/>
            <w:vAlign w:val="center"/>
          </w:tcPr>
          <w:p>
            <w:pPr>
              <w:pStyle w:val="9"/>
            </w:pPr>
            <w:r>
              <w:t>6月底</w:t>
            </w:r>
          </w:p>
        </w:tc>
        <w:tc>
          <w:tcPr>
            <w:tcW w:w="1232" w:type="dxa"/>
            <w:vAlign w:val="center"/>
          </w:tcPr>
          <w:p>
            <w:pPr>
              <w:pStyle w:val="9"/>
            </w:pPr>
            <w:r>
              <w:t>10月底</w:t>
            </w:r>
          </w:p>
        </w:tc>
        <w:tc>
          <w:tcPr>
            <w:tcW w:w="2702"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3059" w:type="dxa"/>
            <w:gridSpan w:val="2"/>
            <w:vAlign w:val="center"/>
          </w:tcPr>
          <w:p>
            <w:pPr>
              <w:pStyle w:val="11"/>
            </w:pPr>
            <w:r>
              <w:t xml:space="preserve"> </w:t>
            </w:r>
          </w:p>
        </w:tc>
        <w:tc>
          <w:tcPr>
            <w:tcW w:w="1625" w:type="dxa"/>
            <w:vAlign w:val="center"/>
          </w:tcPr>
          <w:p>
            <w:pPr>
              <w:pStyle w:val="11"/>
            </w:pPr>
            <w:r>
              <w:t>1000.00</w:t>
            </w:r>
          </w:p>
        </w:tc>
        <w:tc>
          <w:tcPr>
            <w:tcW w:w="1232" w:type="dxa"/>
            <w:vAlign w:val="center"/>
          </w:tcPr>
          <w:p>
            <w:pPr>
              <w:pStyle w:val="11"/>
            </w:pPr>
            <w:r>
              <w:t>2150.00</w:t>
            </w:r>
          </w:p>
        </w:tc>
        <w:tc>
          <w:tcPr>
            <w:tcW w:w="2702" w:type="dxa"/>
            <w:gridSpan w:val="2"/>
            <w:vAlign w:val="center"/>
          </w:tcPr>
          <w:p>
            <w:pPr>
              <w:pStyle w:val="11"/>
            </w:pPr>
            <w:r>
              <w:t>2150.00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8" w:type="dxa"/>
            <w:gridSpan w:val="6"/>
            <w:vAlign w:val="center"/>
          </w:tcPr>
          <w:p>
            <w:pPr>
              <w:pStyle w:val="10"/>
            </w:pPr>
            <w:r>
              <w:t>2023年度影视作品备案立项80部以上，完成100余部影视剧来青拍摄；每年吸引3-5部重点影视项目来青摄制，提高青岛电影之都影响力</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影视产业补助资金预算成本数</w:t>
            </w:r>
          </w:p>
        </w:tc>
        <w:tc>
          <w:tcPr>
            <w:tcW w:w="2891" w:type="dxa"/>
            <w:vAlign w:val="center"/>
          </w:tcPr>
          <w:p>
            <w:pPr>
              <w:pStyle w:val="10"/>
            </w:pPr>
            <w:r>
              <w:t>影视产业补助资金预算成本数</w:t>
            </w:r>
          </w:p>
        </w:tc>
        <w:tc>
          <w:tcPr>
            <w:tcW w:w="1276" w:type="dxa"/>
            <w:vAlign w:val="center"/>
          </w:tcPr>
          <w:p>
            <w:pPr>
              <w:pStyle w:val="10"/>
            </w:pPr>
            <w:r>
              <w:t>≤2150万元</w:t>
            </w:r>
          </w:p>
        </w:tc>
        <w:tc>
          <w:tcPr>
            <w:tcW w:w="1843" w:type="dxa"/>
            <w:vAlign w:val="center"/>
          </w:tcPr>
          <w:p>
            <w:pPr>
              <w:pStyle w:val="10"/>
            </w:pPr>
            <w:r>
              <w:t>下达预算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 xml:space="preserve"> 支持“青岛摄制”影视项目数量</w:t>
            </w:r>
          </w:p>
        </w:tc>
        <w:tc>
          <w:tcPr>
            <w:tcW w:w="2891" w:type="dxa"/>
            <w:vAlign w:val="center"/>
          </w:tcPr>
          <w:p>
            <w:pPr>
              <w:pStyle w:val="10"/>
            </w:pPr>
            <w:r>
              <w:t xml:space="preserve"> 支持“青岛摄制”影视项目数量</w:t>
            </w:r>
          </w:p>
        </w:tc>
        <w:tc>
          <w:tcPr>
            <w:tcW w:w="1276" w:type="dxa"/>
            <w:vAlign w:val="center"/>
          </w:tcPr>
          <w:p>
            <w:pPr>
              <w:pStyle w:val="10"/>
            </w:pPr>
            <w:r>
              <w:t>5部</w:t>
            </w:r>
          </w:p>
        </w:tc>
        <w:tc>
          <w:tcPr>
            <w:tcW w:w="1843"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吸引重点影视项目来青岛摄制</w:t>
            </w:r>
          </w:p>
        </w:tc>
        <w:tc>
          <w:tcPr>
            <w:tcW w:w="2891" w:type="dxa"/>
            <w:vAlign w:val="center"/>
          </w:tcPr>
          <w:p>
            <w:pPr>
              <w:pStyle w:val="10"/>
            </w:pPr>
            <w:r>
              <w:t>吸引重点影视项目来青岛摄制</w:t>
            </w:r>
          </w:p>
        </w:tc>
        <w:tc>
          <w:tcPr>
            <w:tcW w:w="1276" w:type="dxa"/>
            <w:vAlign w:val="center"/>
          </w:tcPr>
          <w:p>
            <w:pPr>
              <w:pStyle w:val="10"/>
            </w:pPr>
            <w:r>
              <w:t>≥3部</w:t>
            </w:r>
          </w:p>
        </w:tc>
        <w:tc>
          <w:tcPr>
            <w:tcW w:w="1843"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补助企业资质达标率</w:t>
            </w:r>
          </w:p>
        </w:tc>
        <w:tc>
          <w:tcPr>
            <w:tcW w:w="2891" w:type="dxa"/>
            <w:vAlign w:val="center"/>
          </w:tcPr>
          <w:p>
            <w:pPr>
              <w:pStyle w:val="10"/>
            </w:pPr>
            <w:r>
              <w:t>补助企业资质达标率</w:t>
            </w:r>
          </w:p>
        </w:tc>
        <w:tc>
          <w:tcPr>
            <w:tcW w:w="1276" w:type="dxa"/>
            <w:vAlign w:val="center"/>
          </w:tcPr>
          <w:p>
            <w:pPr>
              <w:pStyle w:val="10"/>
            </w:pPr>
            <w:r>
              <w:t>≥100%</w:t>
            </w:r>
          </w:p>
        </w:tc>
        <w:tc>
          <w:tcPr>
            <w:tcW w:w="1843"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专款专用率</w:t>
            </w:r>
          </w:p>
        </w:tc>
        <w:tc>
          <w:tcPr>
            <w:tcW w:w="2891" w:type="dxa"/>
            <w:vAlign w:val="center"/>
          </w:tcPr>
          <w:p>
            <w:pPr>
              <w:pStyle w:val="10"/>
            </w:pPr>
            <w:r>
              <w:t>专款专用率</w:t>
            </w:r>
          </w:p>
        </w:tc>
        <w:tc>
          <w:tcPr>
            <w:tcW w:w="1276" w:type="dxa"/>
            <w:vAlign w:val="center"/>
          </w:tcPr>
          <w:p>
            <w:pPr>
              <w:pStyle w:val="10"/>
            </w:pPr>
            <w:r>
              <w:t>100%</w:t>
            </w:r>
          </w:p>
        </w:tc>
        <w:tc>
          <w:tcPr>
            <w:tcW w:w="1843"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奖补资金发放完成时间</w:t>
            </w:r>
          </w:p>
        </w:tc>
        <w:tc>
          <w:tcPr>
            <w:tcW w:w="2891" w:type="dxa"/>
            <w:vAlign w:val="center"/>
          </w:tcPr>
          <w:p>
            <w:pPr>
              <w:pStyle w:val="10"/>
            </w:pPr>
            <w:r>
              <w:t>奖补资金发放完成时间</w:t>
            </w:r>
          </w:p>
        </w:tc>
        <w:tc>
          <w:tcPr>
            <w:tcW w:w="1276" w:type="dxa"/>
            <w:vAlign w:val="center"/>
          </w:tcPr>
          <w:p>
            <w:pPr>
              <w:pStyle w:val="10"/>
            </w:pPr>
            <w:r>
              <w:t>12月底之前</w:t>
            </w:r>
          </w:p>
        </w:tc>
        <w:tc>
          <w:tcPr>
            <w:tcW w:w="1843"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引进青岛摄制数量</w:t>
            </w:r>
          </w:p>
        </w:tc>
        <w:tc>
          <w:tcPr>
            <w:tcW w:w="2891" w:type="dxa"/>
            <w:vAlign w:val="center"/>
          </w:tcPr>
          <w:p>
            <w:pPr>
              <w:pStyle w:val="10"/>
            </w:pPr>
            <w:r>
              <w:t>引进青岛摄制数量</w:t>
            </w:r>
          </w:p>
        </w:tc>
        <w:tc>
          <w:tcPr>
            <w:tcW w:w="1276" w:type="dxa"/>
            <w:vAlign w:val="center"/>
          </w:tcPr>
          <w:p>
            <w:pPr>
              <w:pStyle w:val="10"/>
            </w:pPr>
            <w:r>
              <w:t>≥50部</w:t>
            </w:r>
          </w:p>
        </w:tc>
        <w:tc>
          <w:tcPr>
            <w:tcW w:w="1843"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补助对象满意度</w:t>
            </w:r>
          </w:p>
        </w:tc>
        <w:tc>
          <w:tcPr>
            <w:tcW w:w="2891" w:type="dxa"/>
            <w:vAlign w:val="center"/>
          </w:tcPr>
          <w:p>
            <w:pPr>
              <w:pStyle w:val="10"/>
            </w:pPr>
            <w:r>
              <w:t>补助对象满意度</w:t>
            </w:r>
          </w:p>
        </w:tc>
        <w:tc>
          <w:tcPr>
            <w:tcW w:w="1276" w:type="dxa"/>
            <w:vAlign w:val="center"/>
          </w:tcPr>
          <w:p>
            <w:pPr>
              <w:pStyle w:val="10"/>
            </w:pPr>
            <w:r>
              <w:t>≥90%</w:t>
            </w:r>
          </w:p>
        </w:tc>
        <w:tc>
          <w:tcPr>
            <w:tcW w:w="1843" w:type="dxa"/>
            <w:vAlign w:val="center"/>
          </w:tcPr>
          <w:p>
            <w:pPr>
              <w:pStyle w:val="10"/>
            </w:pPr>
            <w:r>
              <w:t>工作计划</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3.支持卫生事业发展</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403006青岛市中心血站</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37020023P38000210023L</w:t>
            </w:r>
          </w:p>
        </w:tc>
        <w:tc>
          <w:tcPr>
            <w:tcW w:w="1587" w:type="dxa"/>
            <w:vAlign w:val="center"/>
          </w:tcPr>
          <w:p>
            <w:pPr>
              <w:pStyle w:val="9"/>
            </w:pPr>
            <w:r>
              <w:t>项目名称</w:t>
            </w:r>
          </w:p>
        </w:tc>
        <w:tc>
          <w:tcPr>
            <w:tcW w:w="4422" w:type="dxa"/>
            <w:gridSpan w:val="3"/>
            <w:vAlign w:val="center"/>
          </w:tcPr>
          <w:p>
            <w:pPr>
              <w:pStyle w:val="10"/>
            </w:pPr>
            <w:r>
              <w:t>市中心血站专用材料和设备购置等补助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6861.00</w:t>
            </w:r>
          </w:p>
        </w:tc>
        <w:tc>
          <w:tcPr>
            <w:tcW w:w="1587" w:type="dxa"/>
            <w:vAlign w:val="center"/>
          </w:tcPr>
          <w:p>
            <w:pPr>
              <w:pStyle w:val="9"/>
            </w:pPr>
            <w:r>
              <w:t>其中：财政资金</w:t>
            </w:r>
          </w:p>
        </w:tc>
        <w:tc>
          <w:tcPr>
            <w:tcW w:w="1304" w:type="dxa"/>
            <w:vAlign w:val="center"/>
          </w:tcPr>
          <w:p>
            <w:pPr>
              <w:pStyle w:val="10"/>
            </w:pPr>
            <w:r>
              <w:t>6861.00</w:t>
            </w:r>
          </w:p>
        </w:tc>
        <w:tc>
          <w:tcPr>
            <w:tcW w:w="1276" w:type="dxa"/>
            <w:vAlign w:val="center"/>
          </w:tcPr>
          <w:p>
            <w:pPr>
              <w:pStyle w:val="9"/>
            </w:pPr>
            <w:r>
              <w:t>其他资金</w:t>
            </w:r>
          </w:p>
        </w:tc>
        <w:tc>
          <w:tcPr>
            <w:tcW w:w="1843" w:type="dxa"/>
            <w:vAlign w:val="center"/>
          </w:tcPr>
          <w:p>
            <w:pPr>
              <w:pStyle w:val="10"/>
              <w:rPr>
                <w:lang w:eastAsia="zh-CN"/>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主要是购置血液采集、检验、制备加工、存贮、运输及血液检测等所需耗材、试剂和设备；报销献血者及亲属医疗费用，发放献血者纪念品、营养品等保障献血者权益；保存血液耗用电费以及改善献血环境的房屋维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686.00</w:t>
            </w:r>
          </w:p>
        </w:tc>
        <w:tc>
          <w:tcPr>
            <w:tcW w:w="1587" w:type="dxa"/>
            <w:vAlign w:val="center"/>
          </w:tcPr>
          <w:p>
            <w:pPr>
              <w:pStyle w:val="11"/>
            </w:pPr>
            <w:r>
              <w:t>3430.50</w:t>
            </w:r>
          </w:p>
        </w:tc>
        <w:tc>
          <w:tcPr>
            <w:tcW w:w="1304" w:type="dxa"/>
            <w:vAlign w:val="center"/>
          </w:tcPr>
          <w:p>
            <w:pPr>
              <w:pStyle w:val="11"/>
            </w:pPr>
            <w:r>
              <w:t>5969.07</w:t>
            </w:r>
          </w:p>
        </w:tc>
        <w:tc>
          <w:tcPr>
            <w:tcW w:w="3118" w:type="dxa"/>
            <w:gridSpan w:val="2"/>
            <w:vAlign w:val="center"/>
          </w:tcPr>
          <w:p>
            <w:pPr>
              <w:pStyle w:val="11"/>
            </w:pPr>
            <w:r>
              <w:t>6861.00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通过采血工作正常进行，保证血液采集、制备、检验、储存等过程血液质量，为临床提供安全血液深入开展无偿献血社会宣传，大力推进无偿献血科普工作，拓宽宣传途径，营造良好的无偿献血氛围，进一步加强无偿献血相关保障工作。</w:t>
            </w:r>
          </w:p>
        </w:tc>
      </w:tr>
    </w:tbl>
    <w:p>
      <w:pPr>
        <w:spacing w:line="2" w:lineRule="exact"/>
        <w:jc w:val="center"/>
        <w:rPr>
          <w:rFonts w:eastAsia="宋体"/>
          <w:lang w:eastAsia="zh-CN"/>
        </w:rP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市中心血站专用材料和设备购置等补助预算控制数</w:t>
            </w:r>
          </w:p>
        </w:tc>
        <w:tc>
          <w:tcPr>
            <w:tcW w:w="2891" w:type="dxa"/>
            <w:vAlign w:val="center"/>
          </w:tcPr>
          <w:p>
            <w:pPr>
              <w:pStyle w:val="10"/>
            </w:pPr>
            <w:r>
              <w:t>考察市中心血站专用材料和设备购置等补助项目成本控制情况</w:t>
            </w:r>
          </w:p>
        </w:tc>
        <w:tc>
          <w:tcPr>
            <w:tcW w:w="1276" w:type="dxa"/>
            <w:vAlign w:val="center"/>
          </w:tcPr>
          <w:p>
            <w:pPr>
              <w:pStyle w:val="10"/>
            </w:pPr>
            <w:r>
              <w:t>≤6861万元</w:t>
            </w:r>
          </w:p>
        </w:tc>
        <w:tc>
          <w:tcPr>
            <w:tcW w:w="1843" w:type="dxa"/>
            <w:vAlign w:val="center"/>
          </w:tcPr>
          <w:p>
            <w:pPr>
              <w:pStyle w:val="10"/>
            </w:pPr>
            <w:r>
              <w:t>项目补助标准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完成无偿献血者血液采集人次</w:t>
            </w:r>
          </w:p>
        </w:tc>
        <w:tc>
          <w:tcPr>
            <w:tcW w:w="2891" w:type="dxa"/>
            <w:vAlign w:val="center"/>
          </w:tcPr>
          <w:p>
            <w:pPr>
              <w:pStyle w:val="10"/>
            </w:pPr>
            <w:r>
              <w:t>考察全年献血者采集的人次数量</w:t>
            </w:r>
          </w:p>
        </w:tc>
        <w:tc>
          <w:tcPr>
            <w:tcW w:w="1276" w:type="dxa"/>
            <w:vAlign w:val="center"/>
          </w:tcPr>
          <w:p>
            <w:pPr>
              <w:pStyle w:val="10"/>
            </w:pPr>
            <w:r>
              <w:t>≥15万人次</w:t>
            </w:r>
          </w:p>
        </w:tc>
        <w:tc>
          <w:tcPr>
            <w:tcW w:w="1843" w:type="dxa"/>
            <w:vAlign w:val="center"/>
          </w:tcPr>
          <w:p>
            <w:pPr>
              <w:pStyle w:val="10"/>
            </w:pPr>
            <w:r>
              <w:t>根据近几年采供血工作量测算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年采集全血数量</w:t>
            </w:r>
          </w:p>
        </w:tc>
        <w:tc>
          <w:tcPr>
            <w:tcW w:w="2891" w:type="dxa"/>
            <w:vAlign w:val="center"/>
          </w:tcPr>
          <w:p>
            <w:pPr>
              <w:pStyle w:val="10"/>
            </w:pPr>
            <w:r>
              <w:t>考察全年全血采集的数量</w:t>
            </w:r>
          </w:p>
        </w:tc>
        <w:tc>
          <w:tcPr>
            <w:tcW w:w="1276" w:type="dxa"/>
            <w:vAlign w:val="center"/>
          </w:tcPr>
          <w:p>
            <w:pPr>
              <w:pStyle w:val="10"/>
            </w:pPr>
            <w:r>
              <w:t>≥43吨</w:t>
            </w:r>
          </w:p>
        </w:tc>
        <w:tc>
          <w:tcPr>
            <w:tcW w:w="1843" w:type="dxa"/>
            <w:vAlign w:val="center"/>
          </w:tcPr>
          <w:p>
            <w:pPr>
              <w:pStyle w:val="10"/>
            </w:pPr>
            <w:r>
              <w:t>根据近几年采供血工作量测算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年采集血小板数量</w:t>
            </w:r>
          </w:p>
        </w:tc>
        <w:tc>
          <w:tcPr>
            <w:tcW w:w="2891" w:type="dxa"/>
            <w:vAlign w:val="center"/>
          </w:tcPr>
          <w:p>
            <w:pPr>
              <w:pStyle w:val="10"/>
            </w:pPr>
            <w:r>
              <w:t>考察全年血小板采集的数量</w:t>
            </w:r>
          </w:p>
        </w:tc>
        <w:tc>
          <w:tcPr>
            <w:tcW w:w="1276" w:type="dxa"/>
            <w:vAlign w:val="center"/>
          </w:tcPr>
          <w:p>
            <w:pPr>
              <w:pStyle w:val="10"/>
            </w:pPr>
            <w:r>
              <w:t>≥30000治疗量</w:t>
            </w:r>
          </w:p>
        </w:tc>
        <w:tc>
          <w:tcPr>
            <w:tcW w:w="1843" w:type="dxa"/>
            <w:vAlign w:val="center"/>
          </w:tcPr>
          <w:p>
            <w:pPr>
              <w:pStyle w:val="10"/>
            </w:pPr>
            <w:r>
              <w:t>根据近几年采供血工作量测算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血液非正常报废率</w:t>
            </w:r>
          </w:p>
        </w:tc>
        <w:tc>
          <w:tcPr>
            <w:tcW w:w="2891" w:type="dxa"/>
            <w:vAlign w:val="center"/>
          </w:tcPr>
          <w:p>
            <w:pPr>
              <w:pStyle w:val="10"/>
            </w:pPr>
            <w:r>
              <w:t>考察除血液检测阳性以外原因导致的血液报废情况</w:t>
            </w:r>
          </w:p>
        </w:tc>
        <w:tc>
          <w:tcPr>
            <w:tcW w:w="1276" w:type="dxa"/>
            <w:vAlign w:val="center"/>
          </w:tcPr>
          <w:p>
            <w:pPr>
              <w:pStyle w:val="10"/>
            </w:pPr>
            <w:r>
              <w:t>≤0.45%</w:t>
            </w:r>
          </w:p>
        </w:tc>
        <w:tc>
          <w:tcPr>
            <w:tcW w:w="1843" w:type="dxa"/>
            <w:vAlign w:val="center"/>
          </w:tcPr>
          <w:p>
            <w:pPr>
              <w:pStyle w:val="10"/>
            </w:pPr>
            <w:r>
              <w:t>根据我站血液质量管理目标以及行业标准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血液制品全过程关键控制点监视率</w:t>
            </w:r>
          </w:p>
        </w:tc>
        <w:tc>
          <w:tcPr>
            <w:tcW w:w="2891" w:type="dxa"/>
            <w:vAlign w:val="center"/>
          </w:tcPr>
          <w:p>
            <w:pPr>
              <w:pStyle w:val="10"/>
            </w:pPr>
            <w:r>
              <w:t>考察血液制品从采集、制备、检验、储存、发放、运输全过程关键控制点监视程度</w:t>
            </w:r>
          </w:p>
        </w:tc>
        <w:tc>
          <w:tcPr>
            <w:tcW w:w="1276" w:type="dxa"/>
            <w:vAlign w:val="center"/>
          </w:tcPr>
          <w:p>
            <w:pPr>
              <w:pStyle w:val="10"/>
            </w:pPr>
            <w:r>
              <w:t>100%</w:t>
            </w:r>
          </w:p>
        </w:tc>
        <w:tc>
          <w:tcPr>
            <w:tcW w:w="1843" w:type="dxa"/>
            <w:vAlign w:val="center"/>
          </w:tcPr>
          <w:p>
            <w:pPr>
              <w:pStyle w:val="10"/>
            </w:pPr>
            <w:r>
              <w:t>根据我站血液质量管理目标以及行业标准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rPr>
                <w:lang w:eastAsia="zh-CN"/>
              </w:rPr>
            </w:pPr>
            <w:r>
              <w:t>采血任务完成</w:t>
            </w:r>
            <w:r>
              <w:rPr>
                <w:rFonts w:hint="eastAsia"/>
                <w:lang w:eastAsia="zh-CN"/>
              </w:rPr>
              <w:t>及时率</w:t>
            </w:r>
          </w:p>
        </w:tc>
        <w:tc>
          <w:tcPr>
            <w:tcW w:w="2891" w:type="dxa"/>
            <w:vAlign w:val="center"/>
          </w:tcPr>
          <w:p>
            <w:pPr>
              <w:pStyle w:val="10"/>
            </w:pPr>
            <w:r>
              <w:t>考察完成采血任务的时间</w:t>
            </w:r>
          </w:p>
        </w:tc>
        <w:tc>
          <w:tcPr>
            <w:tcW w:w="1276" w:type="dxa"/>
            <w:vAlign w:val="center"/>
          </w:tcPr>
          <w:p>
            <w:pPr>
              <w:pStyle w:val="10"/>
              <w:rPr>
                <w:lang w:eastAsia="zh-CN"/>
              </w:rPr>
            </w:pPr>
            <w:r>
              <w:rPr>
                <w:rFonts w:hint="eastAsia"/>
                <w:lang w:eastAsia="zh-CN"/>
              </w:rPr>
              <w:t>100%</w:t>
            </w:r>
          </w:p>
        </w:tc>
        <w:tc>
          <w:tcPr>
            <w:tcW w:w="1843" w:type="dxa"/>
            <w:vAlign w:val="center"/>
          </w:tcPr>
          <w:p>
            <w:pPr>
              <w:pStyle w:val="10"/>
            </w:pPr>
            <w:r>
              <w:t>根据我站血液质量管理目标以及行业标准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千人口献血率</w:t>
            </w:r>
          </w:p>
        </w:tc>
        <w:tc>
          <w:tcPr>
            <w:tcW w:w="2891" w:type="dxa"/>
            <w:vAlign w:val="center"/>
          </w:tcPr>
          <w:p>
            <w:pPr>
              <w:pStyle w:val="10"/>
            </w:pPr>
            <w:r>
              <w:t>考察每千人口中拥有献血人数</w:t>
            </w:r>
          </w:p>
        </w:tc>
        <w:tc>
          <w:tcPr>
            <w:tcW w:w="1276" w:type="dxa"/>
            <w:vAlign w:val="center"/>
          </w:tcPr>
          <w:p>
            <w:pPr>
              <w:pStyle w:val="10"/>
            </w:pPr>
            <w:r>
              <w:t>≥12‰</w:t>
            </w:r>
          </w:p>
        </w:tc>
        <w:tc>
          <w:tcPr>
            <w:tcW w:w="1843" w:type="dxa"/>
            <w:vAlign w:val="center"/>
          </w:tcPr>
          <w:p>
            <w:pPr>
              <w:pStyle w:val="10"/>
            </w:pPr>
            <w:r>
              <w:t>根据国家相关要求规定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固定献血者比例</w:t>
            </w:r>
          </w:p>
        </w:tc>
        <w:tc>
          <w:tcPr>
            <w:tcW w:w="2891" w:type="dxa"/>
            <w:vAlign w:val="center"/>
          </w:tcPr>
          <w:p>
            <w:pPr>
              <w:pStyle w:val="10"/>
            </w:pPr>
            <w:r>
              <w:t>考察固定献血者占总献血者的比例</w:t>
            </w:r>
          </w:p>
        </w:tc>
        <w:tc>
          <w:tcPr>
            <w:tcW w:w="1276" w:type="dxa"/>
            <w:vAlign w:val="center"/>
          </w:tcPr>
          <w:p>
            <w:pPr>
              <w:pStyle w:val="10"/>
            </w:pPr>
            <w:r>
              <w:t>≥35%</w:t>
            </w:r>
          </w:p>
        </w:tc>
        <w:tc>
          <w:tcPr>
            <w:tcW w:w="1843" w:type="dxa"/>
            <w:vAlign w:val="center"/>
          </w:tcPr>
          <w:p>
            <w:pPr>
              <w:pStyle w:val="10"/>
            </w:pPr>
            <w:r>
              <w:t>根据国家相关要求规定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献血者满意度</w:t>
            </w:r>
          </w:p>
        </w:tc>
        <w:tc>
          <w:tcPr>
            <w:tcW w:w="2891" w:type="dxa"/>
            <w:vAlign w:val="center"/>
          </w:tcPr>
          <w:p>
            <w:pPr>
              <w:pStyle w:val="10"/>
            </w:pPr>
            <w:r>
              <w:t>通过第三方测评献血者的满意度</w:t>
            </w:r>
          </w:p>
        </w:tc>
        <w:tc>
          <w:tcPr>
            <w:tcW w:w="1276" w:type="dxa"/>
            <w:vAlign w:val="center"/>
          </w:tcPr>
          <w:p>
            <w:pPr>
              <w:pStyle w:val="10"/>
            </w:pPr>
            <w:r>
              <w:t>≥96%</w:t>
            </w:r>
          </w:p>
        </w:tc>
        <w:tc>
          <w:tcPr>
            <w:tcW w:w="1843" w:type="dxa"/>
            <w:vAlign w:val="center"/>
          </w:tcPr>
          <w:p>
            <w:pPr>
              <w:pStyle w:val="10"/>
            </w:pPr>
            <w:r>
              <w:t>根据我站相关要求规定</w:t>
            </w:r>
          </w:p>
        </w:tc>
      </w:tr>
    </w:tbl>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403017青岛市第六人民医院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37020023P66002410002W</w:t>
            </w:r>
          </w:p>
        </w:tc>
        <w:tc>
          <w:tcPr>
            <w:tcW w:w="1587" w:type="dxa"/>
            <w:vAlign w:val="center"/>
          </w:tcPr>
          <w:p>
            <w:pPr>
              <w:pStyle w:val="9"/>
            </w:pPr>
            <w:r>
              <w:t>项目名称</w:t>
            </w:r>
          </w:p>
        </w:tc>
        <w:tc>
          <w:tcPr>
            <w:tcW w:w="4422" w:type="dxa"/>
            <w:gridSpan w:val="3"/>
            <w:vAlign w:val="center"/>
          </w:tcPr>
          <w:p>
            <w:pPr>
              <w:pStyle w:val="10"/>
            </w:pPr>
            <w:r>
              <w:t>青岛市市民健康中心二期市公共卫生临床中心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10000.00</w:t>
            </w:r>
          </w:p>
        </w:tc>
        <w:tc>
          <w:tcPr>
            <w:tcW w:w="1587" w:type="dxa"/>
            <w:vAlign w:val="center"/>
          </w:tcPr>
          <w:p>
            <w:pPr>
              <w:pStyle w:val="9"/>
            </w:pPr>
            <w:r>
              <w:t>其中：财政资金</w:t>
            </w:r>
          </w:p>
        </w:tc>
        <w:tc>
          <w:tcPr>
            <w:tcW w:w="1304" w:type="dxa"/>
            <w:vAlign w:val="center"/>
          </w:tcPr>
          <w:p>
            <w:pPr>
              <w:pStyle w:val="10"/>
            </w:pPr>
            <w:r>
              <w:t>10000.00</w:t>
            </w:r>
          </w:p>
        </w:tc>
        <w:tc>
          <w:tcPr>
            <w:tcW w:w="1276" w:type="dxa"/>
            <w:vAlign w:val="center"/>
          </w:tcPr>
          <w:p>
            <w:pPr>
              <w:pStyle w:val="9"/>
            </w:pPr>
            <w:r>
              <w:t>其他资金</w:t>
            </w:r>
          </w:p>
        </w:tc>
        <w:tc>
          <w:tcPr>
            <w:tcW w:w="1843" w:type="dxa"/>
            <w:vAlign w:val="center"/>
          </w:tcPr>
          <w:p>
            <w:pPr>
              <w:pStyle w:val="10"/>
              <w:rPr>
                <w:lang w:eastAsia="zh-CN"/>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用于房屋建筑物支出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rPr>
                <w:lang w:eastAsia="zh-CN"/>
              </w:rPr>
            </w:pPr>
          </w:p>
        </w:tc>
        <w:tc>
          <w:tcPr>
            <w:tcW w:w="1587" w:type="dxa"/>
            <w:vAlign w:val="center"/>
          </w:tcPr>
          <w:p>
            <w:pPr>
              <w:pStyle w:val="11"/>
              <w:rPr>
                <w:lang w:eastAsia="zh-CN"/>
              </w:rPr>
            </w:pPr>
          </w:p>
        </w:tc>
        <w:tc>
          <w:tcPr>
            <w:tcW w:w="1304" w:type="dxa"/>
            <w:vAlign w:val="center"/>
          </w:tcPr>
          <w:p>
            <w:pPr>
              <w:pStyle w:val="11"/>
              <w:rPr>
                <w:lang w:eastAsia="zh-CN"/>
              </w:rPr>
            </w:pPr>
          </w:p>
        </w:tc>
        <w:tc>
          <w:tcPr>
            <w:tcW w:w="3118" w:type="dxa"/>
            <w:gridSpan w:val="2"/>
            <w:vAlign w:val="center"/>
          </w:tcPr>
          <w:p>
            <w:pPr>
              <w:pStyle w:val="11"/>
            </w:pPr>
            <w:r>
              <w:t>10000.00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2023年度，通过实施青岛市市民健康中心二期市公共卫生临床中心项目，完成工程建设167038.1平方米和床位采购1000张工作，达到提高接待患者数量的目标。服务对象满意度达95%以上。</w:t>
            </w:r>
          </w:p>
        </w:tc>
      </w:tr>
    </w:tbl>
    <w:p>
      <w:pPr>
        <w:spacing w:line="2" w:lineRule="exact"/>
        <w:jc w:val="center"/>
        <w:rPr>
          <w:rFonts w:eastAsia="宋体"/>
          <w:lang w:eastAsia="zh-CN"/>
        </w:rP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青岛市市民健康中心二期市公共卫生临床中心项目预算控制数</w:t>
            </w:r>
          </w:p>
        </w:tc>
        <w:tc>
          <w:tcPr>
            <w:tcW w:w="2891" w:type="dxa"/>
            <w:vAlign w:val="center"/>
          </w:tcPr>
          <w:p>
            <w:pPr>
              <w:pStyle w:val="10"/>
            </w:pPr>
            <w:r>
              <w:t>考核青岛市市民健康中心二期市公共卫生临床中心项目预算控制情况</w:t>
            </w:r>
          </w:p>
        </w:tc>
        <w:tc>
          <w:tcPr>
            <w:tcW w:w="1276" w:type="dxa"/>
            <w:vAlign w:val="center"/>
          </w:tcPr>
          <w:p>
            <w:pPr>
              <w:pStyle w:val="10"/>
            </w:pPr>
            <w:r>
              <w:t>≤10000万元</w:t>
            </w:r>
          </w:p>
        </w:tc>
        <w:tc>
          <w:tcPr>
            <w:tcW w:w="1843" w:type="dxa"/>
            <w:vAlign w:val="center"/>
          </w:tcPr>
          <w:p>
            <w:pPr>
              <w:pStyle w:val="10"/>
            </w:pPr>
            <w:r>
              <w:t>历史指标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建筑面积数量</w:t>
            </w:r>
          </w:p>
        </w:tc>
        <w:tc>
          <w:tcPr>
            <w:tcW w:w="2891" w:type="dxa"/>
            <w:vAlign w:val="center"/>
          </w:tcPr>
          <w:p>
            <w:pPr>
              <w:pStyle w:val="10"/>
            </w:pPr>
            <w:r>
              <w:t>考核建筑面积数量情况</w:t>
            </w:r>
          </w:p>
        </w:tc>
        <w:tc>
          <w:tcPr>
            <w:tcW w:w="1276" w:type="dxa"/>
            <w:vAlign w:val="center"/>
          </w:tcPr>
          <w:p>
            <w:pPr>
              <w:pStyle w:val="10"/>
            </w:pPr>
            <w:r>
              <w:t>167038.1平方米</w:t>
            </w:r>
          </w:p>
        </w:tc>
        <w:tc>
          <w:tcPr>
            <w:tcW w:w="1843" w:type="dxa"/>
            <w:vAlign w:val="center"/>
          </w:tcPr>
          <w:p>
            <w:pPr>
              <w:pStyle w:val="10"/>
            </w:pPr>
            <w:r>
              <w:t>历史指标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设置床位数量</w:t>
            </w:r>
          </w:p>
        </w:tc>
        <w:tc>
          <w:tcPr>
            <w:tcW w:w="2891" w:type="dxa"/>
            <w:vAlign w:val="center"/>
          </w:tcPr>
          <w:p>
            <w:pPr>
              <w:pStyle w:val="10"/>
            </w:pPr>
            <w:r>
              <w:t>考核设置床位数量情况</w:t>
            </w:r>
          </w:p>
        </w:tc>
        <w:tc>
          <w:tcPr>
            <w:tcW w:w="1276" w:type="dxa"/>
            <w:vAlign w:val="center"/>
          </w:tcPr>
          <w:p>
            <w:pPr>
              <w:pStyle w:val="10"/>
            </w:pPr>
            <w:r>
              <w:t>1000张</w:t>
            </w:r>
          </w:p>
        </w:tc>
        <w:tc>
          <w:tcPr>
            <w:tcW w:w="1843" w:type="dxa"/>
            <w:vAlign w:val="center"/>
          </w:tcPr>
          <w:p>
            <w:pPr>
              <w:pStyle w:val="10"/>
            </w:pPr>
            <w:r>
              <w:t>历史指标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工程验收合格率</w:t>
            </w:r>
          </w:p>
        </w:tc>
        <w:tc>
          <w:tcPr>
            <w:tcW w:w="2891" w:type="dxa"/>
            <w:vAlign w:val="center"/>
          </w:tcPr>
          <w:p>
            <w:pPr>
              <w:pStyle w:val="10"/>
            </w:pPr>
            <w:r>
              <w:t>考核工程验收合格情况</w:t>
            </w:r>
          </w:p>
        </w:tc>
        <w:tc>
          <w:tcPr>
            <w:tcW w:w="1276" w:type="dxa"/>
            <w:vAlign w:val="center"/>
          </w:tcPr>
          <w:p>
            <w:pPr>
              <w:pStyle w:val="10"/>
            </w:pPr>
            <w:r>
              <w:t>100%</w:t>
            </w:r>
          </w:p>
        </w:tc>
        <w:tc>
          <w:tcPr>
            <w:tcW w:w="1843" w:type="dxa"/>
            <w:vAlign w:val="center"/>
          </w:tcPr>
          <w:p>
            <w:pPr>
              <w:pStyle w:val="10"/>
            </w:pPr>
            <w:r>
              <w:t>历史指标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床位采购质量达标率</w:t>
            </w:r>
          </w:p>
        </w:tc>
        <w:tc>
          <w:tcPr>
            <w:tcW w:w="2891" w:type="dxa"/>
            <w:vAlign w:val="center"/>
          </w:tcPr>
          <w:p>
            <w:pPr>
              <w:pStyle w:val="10"/>
            </w:pPr>
            <w:r>
              <w:t>考核床位采购质量达标情况</w:t>
            </w:r>
          </w:p>
        </w:tc>
        <w:tc>
          <w:tcPr>
            <w:tcW w:w="1276" w:type="dxa"/>
            <w:vAlign w:val="center"/>
          </w:tcPr>
          <w:p>
            <w:pPr>
              <w:pStyle w:val="10"/>
            </w:pPr>
            <w:r>
              <w:t>100%</w:t>
            </w:r>
          </w:p>
        </w:tc>
        <w:tc>
          <w:tcPr>
            <w:tcW w:w="1843" w:type="dxa"/>
            <w:vAlign w:val="center"/>
          </w:tcPr>
          <w:p>
            <w:pPr>
              <w:pStyle w:val="10"/>
            </w:pPr>
            <w:r>
              <w:t>历史指标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装饰装修完成</w:t>
            </w:r>
            <w:r>
              <w:rPr>
                <w:rFonts w:hint="eastAsia"/>
                <w:lang w:eastAsia="zh-CN"/>
              </w:rPr>
              <w:t>及时率</w:t>
            </w:r>
          </w:p>
        </w:tc>
        <w:tc>
          <w:tcPr>
            <w:tcW w:w="2891" w:type="dxa"/>
            <w:vAlign w:val="center"/>
          </w:tcPr>
          <w:p>
            <w:pPr>
              <w:pStyle w:val="10"/>
            </w:pPr>
            <w:r>
              <w:t>考核装饰装修完成及时情况</w:t>
            </w:r>
          </w:p>
        </w:tc>
        <w:tc>
          <w:tcPr>
            <w:tcW w:w="1276" w:type="dxa"/>
            <w:vAlign w:val="center"/>
          </w:tcPr>
          <w:p>
            <w:pPr>
              <w:pStyle w:val="10"/>
              <w:rPr>
                <w:lang w:eastAsia="zh-CN"/>
              </w:rPr>
            </w:pPr>
            <w:r>
              <w:rPr>
                <w:rFonts w:hint="eastAsia"/>
                <w:lang w:eastAsia="zh-CN"/>
              </w:rPr>
              <w:t>100%</w:t>
            </w:r>
          </w:p>
        </w:tc>
        <w:tc>
          <w:tcPr>
            <w:tcW w:w="1843" w:type="dxa"/>
            <w:vAlign w:val="center"/>
          </w:tcPr>
          <w:p>
            <w:pPr>
              <w:pStyle w:val="10"/>
            </w:pPr>
            <w:r>
              <w:t>历史指标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安装工程施工完成</w:t>
            </w:r>
            <w:r>
              <w:rPr>
                <w:rFonts w:hint="eastAsia"/>
                <w:lang w:eastAsia="zh-CN"/>
              </w:rPr>
              <w:t>及时率</w:t>
            </w:r>
          </w:p>
        </w:tc>
        <w:tc>
          <w:tcPr>
            <w:tcW w:w="2891" w:type="dxa"/>
            <w:vAlign w:val="center"/>
          </w:tcPr>
          <w:p>
            <w:pPr>
              <w:pStyle w:val="10"/>
            </w:pPr>
            <w:r>
              <w:t>考核安装工程施工完成及时情况</w:t>
            </w:r>
          </w:p>
        </w:tc>
        <w:tc>
          <w:tcPr>
            <w:tcW w:w="1276" w:type="dxa"/>
            <w:vAlign w:val="center"/>
          </w:tcPr>
          <w:p>
            <w:pPr>
              <w:pStyle w:val="10"/>
              <w:rPr>
                <w:lang w:eastAsia="zh-CN"/>
              </w:rPr>
            </w:pPr>
            <w:r>
              <w:rPr>
                <w:rFonts w:hint="eastAsia"/>
                <w:lang w:eastAsia="zh-CN"/>
              </w:rPr>
              <w:t>100%</w:t>
            </w:r>
          </w:p>
        </w:tc>
        <w:tc>
          <w:tcPr>
            <w:tcW w:w="1843" w:type="dxa"/>
            <w:vAlign w:val="center"/>
          </w:tcPr>
          <w:p>
            <w:pPr>
              <w:pStyle w:val="10"/>
            </w:pPr>
            <w:r>
              <w:t>历史指标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提高患者接待数量</w:t>
            </w:r>
          </w:p>
        </w:tc>
        <w:tc>
          <w:tcPr>
            <w:tcW w:w="2891" w:type="dxa"/>
            <w:vAlign w:val="center"/>
          </w:tcPr>
          <w:p>
            <w:pPr>
              <w:pStyle w:val="10"/>
            </w:pPr>
            <w:r>
              <w:t>考核患者接待数量提高情况</w:t>
            </w:r>
          </w:p>
        </w:tc>
        <w:tc>
          <w:tcPr>
            <w:tcW w:w="1276" w:type="dxa"/>
            <w:vAlign w:val="center"/>
          </w:tcPr>
          <w:p>
            <w:pPr>
              <w:pStyle w:val="10"/>
            </w:pPr>
            <w:r>
              <w:t>20万人次/年</w:t>
            </w:r>
          </w:p>
        </w:tc>
        <w:tc>
          <w:tcPr>
            <w:tcW w:w="1843" w:type="dxa"/>
            <w:vAlign w:val="center"/>
          </w:tcPr>
          <w:p>
            <w:pPr>
              <w:pStyle w:val="10"/>
            </w:pPr>
            <w:r>
              <w:t>历史指标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社会群众对项目的满意程度</w:t>
            </w:r>
          </w:p>
        </w:tc>
        <w:tc>
          <w:tcPr>
            <w:tcW w:w="2891" w:type="dxa"/>
            <w:vAlign w:val="center"/>
          </w:tcPr>
          <w:p>
            <w:pPr>
              <w:pStyle w:val="10"/>
            </w:pPr>
            <w:r>
              <w:t>考核服务对象满意度</w:t>
            </w:r>
          </w:p>
        </w:tc>
        <w:tc>
          <w:tcPr>
            <w:tcW w:w="1276" w:type="dxa"/>
            <w:vAlign w:val="center"/>
          </w:tcPr>
          <w:p>
            <w:pPr>
              <w:pStyle w:val="10"/>
            </w:pPr>
            <w:r>
              <w:t>≥95%</w:t>
            </w:r>
          </w:p>
        </w:tc>
        <w:tc>
          <w:tcPr>
            <w:tcW w:w="1843" w:type="dxa"/>
            <w:vAlign w:val="center"/>
          </w:tcPr>
          <w:p>
            <w:pPr>
              <w:pStyle w:val="10"/>
            </w:pPr>
            <w:r>
              <w:t>历史指标</w:t>
            </w:r>
          </w:p>
        </w:tc>
      </w:tr>
    </w:tbl>
    <w:p>
      <w:pPr>
        <w:outlineLvl w:val="3"/>
        <w:rPr>
          <w:rFonts w:ascii="方正仿宋_GBK" w:hAnsi="方正仿宋_GBK" w:eastAsia="方正仿宋_GBK" w:cs="方正仿宋_GBK"/>
          <w:color w:val="000000"/>
          <w:sz w:val="28"/>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403014青岛山大齐鲁医院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37020023P660024100044</w:t>
            </w:r>
          </w:p>
        </w:tc>
        <w:tc>
          <w:tcPr>
            <w:tcW w:w="1587" w:type="dxa"/>
            <w:vAlign w:val="center"/>
          </w:tcPr>
          <w:p>
            <w:pPr>
              <w:pStyle w:val="9"/>
            </w:pPr>
            <w:r>
              <w:t>项目名称</w:t>
            </w:r>
          </w:p>
        </w:tc>
        <w:tc>
          <w:tcPr>
            <w:tcW w:w="4422" w:type="dxa"/>
            <w:gridSpan w:val="3"/>
            <w:vAlign w:val="center"/>
          </w:tcPr>
          <w:p>
            <w:pPr>
              <w:pStyle w:val="10"/>
            </w:pPr>
            <w:r>
              <w:t>山东大学齐鲁医院（青岛）二期项目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15000.00</w:t>
            </w:r>
          </w:p>
        </w:tc>
        <w:tc>
          <w:tcPr>
            <w:tcW w:w="1587" w:type="dxa"/>
            <w:vAlign w:val="center"/>
          </w:tcPr>
          <w:p>
            <w:pPr>
              <w:pStyle w:val="9"/>
            </w:pPr>
            <w:r>
              <w:t>其中：财政资金</w:t>
            </w:r>
          </w:p>
        </w:tc>
        <w:tc>
          <w:tcPr>
            <w:tcW w:w="1304" w:type="dxa"/>
            <w:vAlign w:val="center"/>
          </w:tcPr>
          <w:p>
            <w:pPr>
              <w:pStyle w:val="10"/>
            </w:pPr>
            <w:r>
              <w:t>15000.00</w:t>
            </w:r>
          </w:p>
        </w:tc>
        <w:tc>
          <w:tcPr>
            <w:tcW w:w="1276" w:type="dxa"/>
            <w:vAlign w:val="center"/>
          </w:tcPr>
          <w:p>
            <w:pPr>
              <w:pStyle w:val="9"/>
            </w:pPr>
            <w:r>
              <w:t>其他资金</w:t>
            </w:r>
          </w:p>
        </w:tc>
        <w:tc>
          <w:tcPr>
            <w:tcW w:w="1843" w:type="dxa"/>
            <w:vAlign w:val="center"/>
          </w:tcPr>
          <w:p>
            <w:pPr>
              <w:pStyle w:val="10"/>
              <w:rPr>
                <w:lang w:eastAsia="zh-CN"/>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用于山东大学齐鲁医院（青岛）二期项目建设支出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5000.00</w:t>
            </w:r>
          </w:p>
        </w:tc>
        <w:tc>
          <w:tcPr>
            <w:tcW w:w="1587" w:type="dxa"/>
            <w:vAlign w:val="center"/>
          </w:tcPr>
          <w:p>
            <w:pPr>
              <w:pStyle w:val="11"/>
            </w:pPr>
            <w:r>
              <w:t>15000.00</w:t>
            </w:r>
          </w:p>
        </w:tc>
        <w:tc>
          <w:tcPr>
            <w:tcW w:w="1304" w:type="dxa"/>
            <w:vAlign w:val="center"/>
          </w:tcPr>
          <w:p>
            <w:pPr>
              <w:pStyle w:val="11"/>
            </w:pPr>
            <w:r>
              <w:t>15000.00</w:t>
            </w:r>
          </w:p>
        </w:tc>
        <w:tc>
          <w:tcPr>
            <w:tcW w:w="3118" w:type="dxa"/>
            <w:gridSpan w:val="2"/>
            <w:vAlign w:val="center"/>
          </w:tcPr>
          <w:p>
            <w:pPr>
              <w:pStyle w:val="11"/>
            </w:pPr>
            <w:r>
              <w:t>15000.00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2023年度，通过实施山东大学齐鲁医院（青岛）二期项目，完成医疗综合楼及裙房二次结构、砌体、抹灰、地面工作，完成安装工程、精装修工程完成50%，外幕墙工程完成50%工作，完成医疗综合楼、裙房及立体停车库等工程主体结构建设工作，达到减少废气排放，降低污染的效果，社会满意度达90%以上。</w:t>
            </w:r>
          </w:p>
        </w:tc>
      </w:tr>
    </w:tbl>
    <w:p>
      <w:pPr>
        <w:spacing w:line="2" w:lineRule="exact"/>
        <w:jc w:val="center"/>
        <w:rPr>
          <w:rFonts w:eastAsia="宋体"/>
          <w:lang w:eastAsia="zh-CN"/>
        </w:rP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山东大学齐鲁医院（青岛）二期项目建设资金预算控制数</w:t>
            </w:r>
          </w:p>
        </w:tc>
        <w:tc>
          <w:tcPr>
            <w:tcW w:w="2891" w:type="dxa"/>
            <w:vAlign w:val="center"/>
          </w:tcPr>
          <w:p>
            <w:pPr>
              <w:pStyle w:val="10"/>
            </w:pPr>
            <w:r>
              <w:t>考察项目建设资金预算控制情况</w:t>
            </w:r>
          </w:p>
        </w:tc>
        <w:tc>
          <w:tcPr>
            <w:tcW w:w="1276" w:type="dxa"/>
            <w:vAlign w:val="center"/>
          </w:tcPr>
          <w:p>
            <w:pPr>
              <w:pStyle w:val="10"/>
            </w:pPr>
            <w:r>
              <w:t>≤15000万元</w:t>
            </w:r>
          </w:p>
        </w:tc>
        <w:tc>
          <w:tcPr>
            <w:tcW w:w="1843" w:type="dxa"/>
            <w:vAlign w:val="center"/>
          </w:tcPr>
          <w:p>
            <w:pPr>
              <w:pStyle w:val="10"/>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项目主体建设面积数量</w:t>
            </w:r>
          </w:p>
        </w:tc>
        <w:tc>
          <w:tcPr>
            <w:tcW w:w="2891" w:type="dxa"/>
            <w:vAlign w:val="center"/>
          </w:tcPr>
          <w:p>
            <w:pPr>
              <w:pStyle w:val="10"/>
            </w:pPr>
            <w:r>
              <w:t>考察项目主体建筑面积情况</w:t>
            </w:r>
          </w:p>
        </w:tc>
        <w:tc>
          <w:tcPr>
            <w:tcW w:w="1276" w:type="dxa"/>
            <w:vAlign w:val="center"/>
          </w:tcPr>
          <w:p>
            <w:pPr>
              <w:pStyle w:val="10"/>
            </w:pPr>
            <w:r>
              <w:t>16万平方米</w:t>
            </w:r>
          </w:p>
        </w:tc>
        <w:tc>
          <w:tcPr>
            <w:tcW w:w="1843" w:type="dxa"/>
            <w:vAlign w:val="center"/>
          </w:tcPr>
          <w:p>
            <w:pPr>
              <w:pStyle w:val="10"/>
            </w:pPr>
            <w:r>
              <w:t>按照项目批复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rPr>
                <w:lang w:eastAsia="zh-CN"/>
              </w:rPr>
            </w:pPr>
            <w:r>
              <w:t>精装修工程</w:t>
            </w:r>
            <w:r>
              <w:rPr>
                <w:rFonts w:hint="eastAsia"/>
                <w:lang w:eastAsia="zh-CN"/>
              </w:rPr>
              <w:t>完成率</w:t>
            </w:r>
          </w:p>
        </w:tc>
        <w:tc>
          <w:tcPr>
            <w:tcW w:w="2891" w:type="dxa"/>
            <w:vAlign w:val="center"/>
          </w:tcPr>
          <w:p>
            <w:pPr>
              <w:pStyle w:val="10"/>
            </w:pPr>
            <w:r>
              <w:t>考察精装修工程</w:t>
            </w:r>
            <w:r>
              <w:rPr>
                <w:rFonts w:hint="eastAsia"/>
                <w:lang w:eastAsia="zh-CN"/>
              </w:rPr>
              <w:t>数量</w:t>
            </w:r>
            <w:r>
              <w:t>完成情况</w:t>
            </w:r>
          </w:p>
        </w:tc>
        <w:tc>
          <w:tcPr>
            <w:tcW w:w="1276" w:type="dxa"/>
            <w:vAlign w:val="center"/>
          </w:tcPr>
          <w:p>
            <w:pPr>
              <w:pStyle w:val="10"/>
              <w:rPr>
                <w:lang w:eastAsia="zh-CN"/>
              </w:rPr>
            </w:pPr>
            <w:r>
              <w:rPr>
                <w:rFonts w:hint="eastAsia"/>
                <w:lang w:eastAsia="zh-CN"/>
              </w:rPr>
              <w:t>100%</w:t>
            </w:r>
          </w:p>
        </w:tc>
        <w:tc>
          <w:tcPr>
            <w:tcW w:w="1843" w:type="dxa"/>
            <w:vAlign w:val="center"/>
          </w:tcPr>
          <w:p>
            <w:pPr>
              <w:pStyle w:val="10"/>
            </w:pPr>
            <w:r>
              <w:t>按照项目批复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山东大学齐鲁医院（青岛）二期项目工作完成</w:t>
            </w:r>
            <w:r>
              <w:rPr>
                <w:rFonts w:hint="eastAsia"/>
                <w:lang w:eastAsia="zh-CN"/>
              </w:rPr>
              <w:t>及时率</w:t>
            </w:r>
          </w:p>
        </w:tc>
        <w:tc>
          <w:tcPr>
            <w:tcW w:w="2891" w:type="dxa"/>
            <w:vAlign w:val="center"/>
          </w:tcPr>
          <w:p>
            <w:pPr>
              <w:pStyle w:val="10"/>
            </w:pPr>
            <w:r>
              <w:t>山东大学齐鲁医院（青岛）二期项目工作完成</w:t>
            </w:r>
            <w:r>
              <w:rPr>
                <w:rFonts w:hint="eastAsia"/>
                <w:lang w:eastAsia="zh-CN"/>
              </w:rPr>
              <w:t>及时率</w:t>
            </w:r>
          </w:p>
        </w:tc>
        <w:tc>
          <w:tcPr>
            <w:tcW w:w="1276" w:type="dxa"/>
            <w:vAlign w:val="center"/>
          </w:tcPr>
          <w:p>
            <w:pPr>
              <w:pStyle w:val="10"/>
              <w:rPr>
                <w:lang w:eastAsia="zh-CN"/>
              </w:rPr>
            </w:pPr>
            <w:r>
              <w:t>1</w:t>
            </w:r>
            <w:r>
              <w:rPr>
                <w:rFonts w:hint="eastAsia"/>
                <w:lang w:eastAsia="zh-CN"/>
              </w:rPr>
              <w:t>00%</w:t>
            </w:r>
          </w:p>
        </w:tc>
        <w:tc>
          <w:tcPr>
            <w:tcW w:w="1843" w:type="dxa"/>
            <w:vAlign w:val="center"/>
          </w:tcPr>
          <w:p>
            <w:pPr>
              <w:pStyle w:val="10"/>
            </w:pPr>
            <w:r>
              <w:t>按照工程进度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安装工程、精装修工程工程质量验收合格率</w:t>
            </w:r>
          </w:p>
        </w:tc>
        <w:tc>
          <w:tcPr>
            <w:tcW w:w="2891" w:type="dxa"/>
            <w:vAlign w:val="center"/>
          </w:tcPr>
          <w:p>
            <w:pPr>
              <w:pStyle w:val="10"/>
            </w:pPr>
            <w:r>
              <w:t>考察安装工程、精装修工程工程质量验收合格情况</w:t>
            </w:r>
          </w:p>
        </w:tc>
        <w:tc>
          <w:tcPr>
            <w:tcW w:w="1276" w:type="dxa"/>
            <w:vAlign w:val="center"/>
          </w:tcPr>
          <w:p>
            <w:pPr>
              <w:pStyle w:val="10"/>
              <w:rPr>
                <w:lang w:eastAsia="zh-CN"/>
              </w:rPr>
            </w:pPr>
            <w:r>
              <w:t>100</w:t>
            </w:r>
            <w:r>
              <w:rPr>
                <w:rFonts w:hint="eastAsia"/>
                <w:lang w:eastAsia="zh-CN"/>
              </w:rPr>
              <w:t>%</w:t>
            </w:r>
          </w:p>
        </w:tc>
        <w:tc>
          <w:tcPr>
            <w:tcW w:w="1843" w:type="dxa"/>
            <w:vAlign w:val="center"/>
          </w:tcPr>
          <w:p>
            <w:pPr>
              <w:pStyle w:val="10"/>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项目主体建设工程质量验收合格率</w:t>
            </w:r>
          </w:p>
        </w:tc>
        <w:tc>
          <w:tcPr>
            <w:tcW w:w="2891" w:type="dxa"/>
            <w:vAlign w:val="center"/>
          </w:tcPr>
          <w:p>
            <w:pPr>
              <w:pStyle w:val="10"/>
            </w:pPr>
            <w:r>
              <w:t>考察项目主体建设工程质量验收合格情况</w:t>
            </w:r>
          </w:p>
        </w:tc>
        <w:tc>
          <w:tcPr>
            <w:tcW w:w="1276" w:type="dxa"/>
            <w:vAlign w:val="center"/>
          </w:tcPr>
          <w:p>
            <w:pPr>
              <w:pStyle w:val="10"/>
              <w:rPr>
                <w:lang w:eastAsia="zh-CN"/>
              </w:rPr>
            </w:pPr>
            <w:r>
              <w:t>100</w:t>
            </w:r>
            <w:r>
              <w:rPr>
                <w:rFonts w:hint="eastAsia"/>
                <w:lang w:eastAsia="zh-CN"/>
              </w:rPr>
              <w:t>%</w:t>
            </w:r>
          </w:p>
        </w:tc>
        <w:tc>
          <w:tcPr>
            <w:tcW w:w="1843" w:type="dxa"/>
            <w:vAlign w:val="center"/>
          </w:tcPr>
          <w:p>
            <w:pPr>
              <w:pStyle w:val="10"/>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生态效益指标</w:t>
            </w:r>
          </w:p>
        </w:tc>
        <w:tc>
          <w:tcPr>
            <w:tcW w:w="1332" w:type="dxa"/>
            <w:vAlign w:val="center"/>
          </w:tcPr>
          <w:p>
            <w:pPr>
              <w:pStyle w:val="10"/>
            </w:pPr>
            <w:r>
              <w:t>减少废气排放，降低污染</w:t>
            </w:r>
          </w:p>
        </w:tc>
        <w:tc>
          <w:tcPr>
            <w:tcW w:w="2891" w:type="dxa"/>
            <w:vAlign w:val="center"/>
          </w:tcPr>
          <w:p>
            <w:pPr>
              <w:pStyle w:val="10"/>
            </w:pPr>
            <w:r>
              <w:t>考察减少废气排放情况</w:t>
            </w:r>
          </w:p>
        </w:tc>
        <w:tc>
          <w:tcPr>
            <w:tcW w:w="1276" w:type="dxa"/>
            <w:vAlign w:val="center"/>
          </w:tcPr>
          <w:p>
            <w:pPr>
              <w:pStyle w:val="10"/>
              <w:rPr>
                <w:lang w:eastAsia="zh-CN"/>
              </w:rPr>
            </w:pPr>
            <w:r>
              <w:t>显著</w:t>
            </w:r>
            <w:r>
              <w:rPr>
                <w:rFonts w:hint="eastAsia"/>
                <w:lang w:eastAsia="zh-CN"/>
              </w:rPr>
              <w:t>减少</w:t>
            </w:r>
          </w:p>
        </w:tc>
        <w:tc>
          <w:tcPr>
            <w:tcW w:w="1843" w:type="dxa"/>
            <w:vAlign w:val="center"/>
          </w:tcPr>
          <w:p>
            <w:pPr>
              <w:pStyle w:val="10"/>
            </w:pPr>
            <w:r>
              <w:t>污染物排放量监测报告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社会满意度</w:t>
            </w:r>
          </w:p>
        </w:tc>
        <w:tc>
          <w:tcPr>
            <w:tcW w:w="2891" w:type="dxa"/>
            <w:vAlign w:val="center"/>
          </w:tcPr>
          <w:p>
            <w:pPr>
              <w:pStyle w:val="10"/>
            </w:pPr>
            <w:r>
              <w:t>社会满意度</w:t>
            </w:r>
          </w:p>
        </w:tc>
        <w:tc>
          <w:tcPr>
            <w:tcW w:w="1276" w:type="dxa"/>
            <w:vAlign w:val="center"/>
          </w:tcPr>
          <w:p>
            <w:pPr>
              <w:pStyle w:val="10"/>
              <w:rPr>
                <w:lang w:eastAsia="zh-CN"/>
              </w:rPr>
            </w:pPr>
            <w:r>
              <w:t>≥90</w:t>
            </w:r>
            <w:r>
              <w:rPr>
                <w:rFonts w:hint="eastAsia"/>
                <w:lang w:eastAsia="zh-CN"/>
              </w:rPr>
              <w:t>%</w:t>
            </w:r>
          </w:p>
        </w:tc>
        <w:tc>
          <w:tcPr>
            <w:tcW w:w="1843" w:type="dxa"/>
            <w:vAlign w:val="center"/>
          </w:tcPr>
          <w:p>
            <w:pPr>
              <w:pStyle w:val="10"/>
            </w:pPr>
            <w:r>
              <w:t>满意度调查</w:t>
            </w:r>
          </w:p>
        </w:tc>
      </w:tr>
    </w:tbl>
    <w:p>
      <w:pPr>
        <w:sectPr>
          <w:pgSz w:w="11900" w:h="16840"/>
          <w:pgMar w:top="1984" w:right="1304" w:bottom="1134" w:left="1304" w:header="720" w:footer="720" w:gutter="0"/>
          <w:pgNumType w:fmt="numberInDash"/>
          <w:cols w:space="720" w:num="1"/>
        </w:sect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403017青岛市第六人民医院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37020023P66002410002W</w:t>
            </w:r>
          </w:p>
        </w:tc>
        <w:tc>
          <w:tcPr>
            <w:tcW w:w="1587" w:type="dxa"/>
            <w:vAlign w:val="center"/>
          </w:tcPr>
          <w:p>
            <w:pPr>
              <w:pStyle w:val="9"/>
            </w:pPr>
            <w:r>
              <w:t>项目名称</w:t>
            </w:r>
          </w:p>
        </w:tc>
        <w:tc>
          <w:tcPr>
            <w:tcW w:w="4422" w:type="dxa"/>
            <w:gridSpan w:val="3"/>
            <w:vAlign w:val="center"/>
          </w:tcPr>
          <w:p>
            <w:pPr>
              <w:pStyle w:val="10"/>
            </w:pPr>
            <w:r>
              <w:t>青岛市市民健康中心二期市公共卫生临床中心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10000.00</w:t>
            </w:r>
          </w:p>
        </w:tc>
        <w:tc>
          <w:tcPr>
            <w:tcW w:w="1587" w:type="dxa"/>
            <w:vAlign w:val="center"/>
          </w:tcPr>
          <w:p>
            <w:pPr>
              <w:pStyle w:val="9"/>
            </w:pPr>
            <w:r>
              <w:t>其中：财政资金</w:t>
            </w:r>
          </w:p>
        </w:tc>
        <w:tc>
          <w:tcPr>
            <w:tcW w:w="1304" w:type="dxa"/>
            <w:vAlign w:val="center"/>
          </w:tcPr>
          <w:p>
            <w:pPr>
              <w:pStyle w:val="10"/>
            </w:pPr>
            <w:r>
              <w:t>10000.00</w:t>
            </w:r>
          </w:p>
        </w:tc>
        <w:tc>
          <w:tcPr>
            <w:tcW w:w="1276" w:type="dxa"/>
            <w:vAlign w:val="center"/>
          </w:tcPr>
          <w:p>
            <w:pPr>
              <w:pStyle w:val="9"/>
            </w:pPr>
            <w:r>
              <w:t>其他资金</w:t>
            </w:r>
          </w:p>
        </w:tc>
        <w:tc>
          <w:tcPr>
            <w:tcW w:w="1843" w:type="dxa"/>
            <w:vAlign w:val="center"/>
          </w:tcPr>
          <w:p>
            <w:pPr>
              <w:pStyle w:val="10"/>
              <w:rPr>
                <w:lang w:eastAsia="zh-CN"/>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用于房屋建筑物支出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rPr>
                <w:lang w:eastAsia="zh-CN"/>
              </w:rPr>
            </w:pPr>
          </w:p>
        </w:tc>
        <w:tc>
          <w:tcPr>
            <w:tcW w:w="1587" w:type="dxa"/>
            <w:vAlign w:val="center"/>
          </w:tcPr>
          <w:p>
            <w:pPr>
              <w:pStyle w:val="11"/>
              <w:rPr>
                <w:lang w:eastAsia="zh-CN"/>
              </w:rPr>
            </w:pPr>
          </w:p>
        </w:tc>
        <w:tc>
          <w:tcPr>
            <w:tcW w:w="1304" w:type="dxa"/>
            <w:vAlign w:val="center"/>
          </w:tcPr>
          <w:p>
            <w:pPr>
              <w:pStyle w:val="11"/>
              <w:rPr>
                <w:lang w:eastAsia="zh-CN"/>
              </w:rPr>
            </w:pPr>
          </w:p>
        </w:tc>
        <w:tc>
          <w:tcPr>
            <w:tcW w:w="3118" w:type="dxa"/>
            <w:gridSpan w:val="2"/>
            <w:vAlign w:val="center"/>
          </w:tcPr>
          <w:p>
            <w:pPr>
              <w:pStyle w:val="11"/>
            </w:pPr>
            <w:r>
              <w:t>10000.00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2023年度，通过实施青岛市市民健康中心二期市公共卫生临床中心项目，完成工程建设167038.1平方米和床位采购1000张工作，达到提高接待患者数量的目标。服务对象满意度达95%以上。</w:t>
            </w:r>
          </w:p>
        </w:tc>
      </w:tr>
    </w:tbl>
    <w:p>
      <w:pPr>
        <w:spacing w:line="2" w:lineRule="exact"/>
        <w:jc w:val="center"/>
        <w:rPr>
          <w:rFonts w:eastAsia="宋体"/>
          <w:lang w:eastAsia="zh-CN"/>
        </w:rPr>
      </w:pP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青岛市市民健康中心二期市公共卫生临床中心项目预算控制数</w:t>
            </w:r>
          </w:p>
        </w:tc>
        <w:tc>
          <w:tcPr>
            <w:tcW w:w="2891" w:type="dxa"/>
            <w:vAlign w:val="center"/>
          </w:tcPr>
          <w:p>
            <w:pPr>
              <w:pStyle w:val="10"/>
            </w:pPr>
            <w:r>
              <w:t>考核青岛市市民健康中心二期市公共卫生临床中心项目预算控制情况</w:t>
            </w:r>
          </w:p>
        </w:tc>
        <w:tc>
          <w:tcPr>
            <w:tcW w:w="1276" w:type="dxa"/>
            <w:vAlign w:val="center"/>
          </w:tcPr>
          <w:p>
            <w:pPr>
              <w:pStyle w:val="10"/>
            </w:pPr>
            <w:r>
              <w:t>≤10000万元</w:t>
            </w:r>
          </w:p>
        </w:tc>
        <w:tc>
          <w:tcPr>
            <w:tcW w:w="1843" w:type="dxa"/>
            <w:vAlign w:val="center"/>
          </w:tcPr>
          <w:p>
            <w:pPr>
              <w:pStyle w:val="10"/>
            </w:pPr>
            <w:r>
              <w:t>历史指标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建筑面积数量</w:t>
            </w:r>
          </w:p>
        </w:tc>
        <w:tc>
          <w:tcPr>
            <w:tcW w:w="2891" w:type="dxa"/>
            <w:vAlign w:val="center"/>
          </w:tcPr>
          <w:p>
            <w:pPr>
              <w:pStyle w:val="10"/>
            </w:pPr>
            <w:r>
              <w:t>考核建筑面积数量情况</w:t>
            </w:r>
          </w:p>
        </w:tc>
        <w:tc>
          <w:tcPr>
            <w:tcW w:w="1276" w:type="dxa"/>
            <w:vAlign w:val="center"/>
          </w:tcPr>
          <w:p>
            <w:pPr>
              <w:pStyle w:val="10"/>
            </w:pPr>
            <w:r>
              <w:t>167038.1平方米</w:t>
            </w:r>
          </w:p>
        </w:tc>
        <w:tc>
          <w:tcPr>
            <w:tcW w:w="1843" w:type="dxa"/>
            <w:vAlign w:val="center"/>
          </w:tcPr>
          <w:p>
            <w:pPr>
              <w:pStyle w:val="10"/>
            </w:pPr>
            <w:r>
              <w:t>历史指标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设置床位数量</w:t>
            </w:r>
          </w:p>
        </w:tc>
        <w:tc>
          <w:tcPr>
            <w:tcW w:w="2891" w:type="dxa"/>
            <w:vAlign w:val="center"/>
          </w:tcPr>
          <w:p>
            <w:pPr>
              <w:pStyle w:val="10"/>
            </w:pPr>
            <w:r>
              <w:t>考核设置床位数量情况</w:t>
            </w:r>
          </w:p>
        </w:tc>
        <w:tc>
          <w:tcPr>
            <w:tcW w:w="1276" w:type="dxa"/>
            <w:vAlign w:val="center"/>
          </w:tcPr>
          <w:p>
            <w:pPr>
              <w:pStyle w:val="10"/>
            </w:pPr>
            <w:r>
              <w:t>1000张</w:t>
            </w:r>
          </w:p>
        </w:tc>
        <w:tc>
          <w:tcPr>
            <w:tcW w:w="1843" w:type="dxa"/>
            <w:vAlign w:val="center"/>
          </w:tcPr>
          <w:p>
            <w:pPr>
              <w:pStyle w:val="10"/>
            </w:pPr>
            <w:r>
              <w:t>历史指标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工程验收合格率</w:t>
            </w:r>
          </w:p>
        </w:tc>
        <w:tc>
          <w:tcPr>
            <w:tcW w:w="2891" w:type="dxa"/>
            <w:vAlign w:val="center"/>
          </w:tcPr>
          <w:p>
            <w:pPr>
              <w:pStyle w:val="10"/>
            </w:pPr>
            <w:r>
              <w:t>考核工程验收合格情况</w:t>
            </w:r>
          </w:p>
        </w:tc>
        <w:tc>
          <w:tcPr>
            <w:tcW w:w="1276" w:type="dxa"/>
            <w:vAlign w:val="center"/>
          </w:tcPr>
          <w:p>
            <w:pPr>
              <w:pStyle w:val="10"/>
            </w:pPr>
            <w:r>
              <w:t>100%</w:t>
            </w:r>
          </w:p>
        </w:tc>
        <w:tc>
          <w:tcPr>
            <w:tcW w:w="1843" w:type="dxa"/>
            <w:vAlign w:val="center"/>
          </w:tcPr>
          <w:p>
            <w:pPr>
              <w:pStyle w:val="10"/>
            </w:pPr>
            <w:r>
              <w:t>历史指标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床位采购质量达标率</w:t>
            </w:r>
          </w:p>
        </w:tc>
        <w:tc>
          <w:tcPr>
            <w:tcW w:w="2891" w:type="dxa"/>
            <w:vAlign w:val="center"/>
          </w:tcPr>
          <w:p>
            <w:pPr>
              <w:pStyle w:val="10"/>
            </w:pPr>
            <w:r>
              <w:t>考核床位采购质量达标情况</w:t>
            </w:r>
          </w:p>
        </w:tc>
        <w:tc>
          <w:tcPr>
            <w:tcW w:w="1276" w:type="dxa"/>
            <w:vAlign w:val="center"/>
          </w:tcPr>
          <w:p>
            <w:pPr>
              <w:pStyle w:val="10"/>
            </w:pPr>
            <w:r>
              <w:t>100%</w:t>
            </w:r>
          </w:p>
        </w:tc>
        <w:tc>
          <w:tcPr>
            <w:tcW w:w="1843" w:type="dxa"/>
            <w:vAlign w:val="center"/>
          </w:tcPr>
          <w:p>
            <w:pPr>
              <w:pStyle w:val="10"/>
            </w:pPr>
            <w:r>
              <w:t>历史指标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装饰装修完成</w:t>
            </w:r>
            <w:r>
              <w:rPr>
                <w:rFonts w:hint="eastAsia"/>
                <w:lang w:eastAsia="zh-CN"/>
              </w:rPr>
              <w:t>及时率</w:t>
            </w:r>
          </w:p>
        </w:tc>
        <w:tc>
          <w:tcPr>
            <w:tcW w:w="2891" w:type="dxa"/>
            <w:vAlign w:val="center"/>
          </w:tcPr>
          <w:p>
            <w:pPr>
              <w:pStyle w:val="10"/>
            </w:pPr>
            <w:r>
              <w:t>考核装饰装修完成及时情况</w:t>
            </w:r>
          </w:p>
        </w:tc>
        <w:tc>
          <w:tcPr>
            <w:tcW w:w="1276" w:type="dxa"/>
            <w:vAlign w:val="center"/>
          </w:tcPr>
          <w:p>
            <w:pPr>
              <w:pStyle w:val="10"/>
              <w:rPr>
                <w:lang w:eastAsia="zh-CN"/>
              </w:rPr>
            </w:pPr>
            <w:r>
              <w:rPr>
                <w:rFonts w:hint="eastAsia"/>
                <w:lang w:eastAsia="zh-CN"/>
              </w:rPr>
              <w:t>100%</w:t>
            </w:r>
          </w:p>
        </w:tc>
        <w:tc>
          <w:tcPr>
            <w:tcW w:w="1843" w:type="dxa"/>
            <w:vAlign w:val="center"/>
          </w:tcPr>
          <w:p>
            <w:pPr>
              <w:pStyle w:val="10"/>
            </w:pPr>
            <w:r>
              <w:t>历史指标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安装工程施工完成</w:t>
            </w:r>
            <w:r>
              <w:rPr>
                <w:rFonts w:hint="eastAsia"/>
                <w:lang w:eastAsia="zh-CN"/>
              </w:rPr>
              <w:t>及时率</w:t>
            </w:r>
          </w:p>
        </w:tc>
        <w:tc>
          <w:tcPr>
            <w:tcW w:w="2891" w:type="dxa"/>
            <w:vAlign w:val="center"/>
          </w:tcPr>
          <w:p>
            <w:pPr>
              <w:pStyle w:val="10"/>
            </w:pPr>
            <w:r>
              <w:t>考核安装工程施工完成及时情况</w:t>
            </w:r>
          </w:p>
        </w:tc>
        <w:tc>
          <w:tcPr>
            <w:tcW w:w="1276" w:type="dxa"/>
            <w:vAlign w:val="center"/>
          </w:tcPr>
          <w:p>
            <w:pPr>
              <w:pStyle w:val="10"/>
              <w:rPr>
                <w:lang w:eastAsia="zh-CN"/>
              </w:rPr>
            </w:pPr>
            <w:r>
              <w:rPr>
                <w:rFonts w:hint="eastAsia"/>
                <w:lang w:eastAsia="zh-CN"/>
              </w:rPr>
              <w:t>100%</w:t>
            </w:r>
          </w:p>
        </w:tc>
        <w:tc>
          <w:tcPr>
            <w:tcW w:w="1843" w:type="dxa"/>
            <w:vAlign w:val="center"/>
          </w:tcPr>
          <w:p>
            <w:pPr>
              <w:pStyle w:val="10"/>
            </w:pPr>
            <w:r>
              <w:t>历史指标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提高患者接待数量</w:t>
            </w:r>
          </w:p>
        </w:tc>
        <w:tc>
          <w:tcPr>
            <w:tcW w:w="2891" w:type="dxa"/>
            <w:vAlign w:val="center"/>
          </w:tcPr>
          <w:p>
            <w:pPr>
              <w:pStyle w:val="10"/>
            </w:pPr>
            <w:r>
              <w:t>考核患者接待数量提高情况</w:t>
            </w:r>
          </w:p>
        </w:tc>
        <w:tc>
          <w:tcPr>
            <w:tcW w:w="1276" w:type="dxa"/>
            <w:vAlign w:val="center"/>
          </w:tcPr>
          <w:p>
            <w:pPr>
              <w:pStyle w:val="10"/>
            </w:pPr>
            <w:r>
              <w:t>20万人次/年</w:t>
            </w:r>
          </w:p>
        </w:tc>
        <w:tc>
          <w:tcPr>
            <w:tcW w:w="1843" w:type="dxa"/>
            <w:vAlign w:val="center"/>
          </w:tcPr>
          <w:p>
            <w:pPr>
              <w:pStyle w:val="10"/>
            </w:pPr>
            <w:r>
              <w:t>历史指标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社会群众对项目的满意程度</w:t>
            </w:r>
          </w:p>
        </w:tc>
        <w:tc>
          <w:tcPr>
            <w:tcW w:w="2891" w:type="dxa"/>
            <w:vAlign w:val="center"/>
          </w:tcPr>
          <w:p>
            <w:pPr>
              <w:pStyle w:val="10"/>
            </w:pPr>
            <w:r>
              <w:t>考核服务对象满意度</w:t>
            </w:r>
          </w:p>
        </w:tc>
        <w:tc>
          <w:tcPr>
            <w:tcW w:w="1276" w:type="dxa"/>
            <w:vAlign w:val="center"/>
          </w:tcPr>
          <w:p>
            <w:pPr>
              <w:pStyle w:val="10"/>
            </w:pPr>
            <w:r>
              <w:t>≥95%</w:t>
            </w:r>
          </w:p>
        </w:tc>
        <w:tc>
          <w:tcPr>
            <w:tcW w:w="1843" w:type="dxa"/>
            <w:vAlign w:val="center"/>
          </w:tcPr>
          <w:p>
            <w:pPr>
              <w:pStyle w:val="10"/>
            </w:pPr>
            <w:r>
              <w:t>历史指标</w:t>
            </w:r>
          </w:p>
        </w:tc>
      </w:tr>
    </w:tbl>
    <w:p>
      <w:pPr>
        <w:sectPr>
          <w:pgSz w:w="11900" w:h="16840"/>
          <w:pgMar w:top="1984" w:right="1304" w:bottom="1134" w:left="1304" w:header="720" w:footer="720" w:gutter="0"/>
          <w:pgNumType w:fmt="numberInDash"/>
          <w:cols w:space="720" w:num="1"/>
        </w:sectPr>
      </w:pPr>
    </w:p>
    <w:p>
      <w:pPr>
        <w:numPr>
          <w:ilvl w:val="0"/>
          <w:numId w:val="0"/>
        </w:numPr>
        <w:ind w:leftChars="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4.支持体育事业发展</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306001青岛市体育局本级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37020023P36001810008U</w:t>
            </w:r>
          </w:p>
        </w:tc>
        <w:tc>
          <w:tcPr>
            <w:tcW w:w="1587" w:type="dxa"/>
            <w:vAlign w:val="center"/>
          </w:tcPr>
          <w:p>
            <w:pPr>
              <w:pStyle w:val="9"/>
            </w:pPr>
            <w:r>
              <w:t>项目名称</w:t>
            </w:r>
          </w:p>
        </w:tc>
        <w:tc>
          <w:tcPr>
            <w:tcW w:w="4422" w:type="dxa"/>
            <w:gridSpan w:val="3"/>
            <w:vAlign w:val="center"/>
          </w:tcPr>
          <w:p>
            <w:pPr>
              <w:pStyle w:val="10"/>
            </w:pPr>
            <w:r>
              <w:t>市办实事健身场地建设资金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2570.00</w:t>
            </w:r>
          </w:p>
        </w:tc>
        <w:tc>
          <w:tcPr>
            <w:tcW w:w="1587" w:type="dxa"/>
            <w:vAlign w:val="center"/>
          </w:tcPr>
          <w:p>
            <w:pPr>
              <w:pStyle w:val="9"/>
            </w:pPr>
            <w:r>
              <w:t>其中：财政    资金</w:t>
            </w:r>
          </w:p>
        </w:tc>
        <w:tc>
          <w:tcPr>
            <w:tcW w:w="1304" w:type="dxa"/>
            <w:vAlign w:val="center"/>
          </w:tcPr>
          <w:p>
            <w:pPr>
              <w:pStyle w:val="10"/>
            </w:pPr>
            <w:r>
              <w:t>2570.00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市办实事健身场地建设资金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2570.00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通过健身场地建设，增加健身场地有效供给，建设全民健身体育公园、健身步道、健身路径等具备一定示范影响力的群众身边健身场地和设施310处，本年度申请资金1500万元，补齐群众身边健身设施短板，提升全民健身公共服务水平，预计每年服务人群不少于200万人次。验收2022年和2023年健身场地设施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健身场地建设预算控制数</w:t>
            </w:r>
          </w:p>
        </w:tc>
        <w:tc>
          <w:tcPr>
            <w:tcW w:w="2891" w:type="dxa"/>
            <w:vAlign w:val="center"/>
          </w:tcPr>
          <w:p>
            <w:pPr>
              <w:pStyle w:val="10"/>
            </w:pPr>
            <w:r>
              <w:t>反映健身场地建设预算控制数</w:t>
            </w:r>
          </w:p>
        </w:tc>
        <w:tc>
          <w:tcPr>
            <w:tcW w:w="1276" w:type="dxa"/>
            <w:vAlign w:val="center"/>
          </w:tcPr>
          <w:p>
            <w:pPr>
              <w:pStyle w:val="10"/>
            </w:pPr>
            <w:r>
              <w:t>≤2570万元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购建场地、设施数量</w:t>
            </w:r>
          </w:p>
        </w:tc>
        <w:tc>
          <w:tcPr>
            <w:tcW w:w="2891" w:type="dxa"/>
            <w:vAlign w:val="center"/>
          </w:tcPr>
          <w:p>
            <w:pPr>
              <w:pStyle w:val="10"/>
            </w:pPr>
            <w:r>
              <w:t>反映增建场地和设施数量</w:t>
            </w:r>
          </w:p>
        </w:tc>
        <w:tc>
          <w:tcPr>
            <w:tcW w:w="1276" w:type="dxa"/>
            <w:vAlign w:val="center"/>
          </w:tcPr>
          <w:p>
            <w:pPr>
              <w:pStyle w:val="10"/>
            </w:pPr>
            <w:r>
              <w:t>≥310个</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健身场地覆盖区市</w:t>
            </w:r>
          </w:p>
        </w:tc>
        <w:tc>
          <w:tcPr>
            <w:tcW w:w="2891" w:type="dxa"/>
            <w:vAlign w:val="center"/>
          </w:tcPr>
          <w:p>
            <w:pPr>
              <w:pStyle w:val="10"/>
            </w:pPr>
            <w:r>
              <w:t>反映健身场地覆盖区市数量</w:t>
            </w:r>
          </w:p>
        </w:tc>
        <w:tc>
          <w:tcPr>
            <w:tcW w:w="1276" w:type="dxa"/>
            <w:vAlign w:val="center"/>
          </w:tcPr>
          <w:p>
            <w:pPr>
              <w:pStyle w:val="10"/>
            </w:pPr>
            <w:r>
              <w:t>≥5个</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场地建设验收合格率</w:t>
            </w:r>
          </w:p>
        </w:tc>
        <w:tc>
          <w:tcPr>
            <w:tcW w:w="2891" w:type="dxa"/>
            <w:vAlign w:val="center"/>
          </w:tcPr>
          <w:p>
            <w:pPr>
              <w:pStyle w:val="10"/>
            </w:pPr>
            <w:r>
              <w:t>反映场地建设验收合格情况</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设施安装合格率</w:t>
            </w:r>
          </w:p>
        </w:tc>
        <w:tc>
          <w:tcPr>
            <w:tcW w:w="2891" w:type="dxa"/>
            <w:vAlign w:val="center"/>
          </w:tcPr>
          <w:p>
            <w:pPr>
              <w:pStyle w:val="10"/>
            </w:pPr>
            <w:r>
              <w:t>反映设施安装验收合格情况</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场地建设和设备购置项目工作开展及时率</w:t>
            </w:r>
          </w:p>
        </w:tc>
        <w:tc>
          <w:tcPr>
            <w:tcW w:w="2891" w:type="dxa"/>
            <w:vAlign w:val="center"/>
          </w:tcPr>
          <w:p>
            <w:pPr>
              <w:pStyle w:val="10"/>
            </w:pPr>
            <w:r>
              <w:t>按计划开展的及时率</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受益群众人数</w:t>
            </w:r>
          </w:p>
        </w:tc>
        <w:tc>
          <w:tcPr>
            <w:tcW w:w="2891" w:type="dxa"/>
            <w:vAlign w:val="center"/>
          </w:tcPr>
          <w:p>
            <w:pPr>
              <w:pStyle w:val="10"/>
            </w:pPr>
            <w:r>
              <w:t>反映每年服务人群量</w:t>
            </w:r>
          </w:p>
        </w:tc>
        <w:tc>
          <w:tcPr>
            <w:tcW w:w="1276" w:type="dxa"/>
            <w:vAlign w:val="center"/>
          </w:tcPr>
          <w:p>
            <w:pPr>
              <w:pStyle w:val="10"/>
            </w:pPr>
            <w:r>
              <w:t>≥2000000人次</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社会群众满意度</w:t>
            </w:r>
          </w:p>
        </w:tc>
        <w:tc>
          <w:tcPr>
            <w:tcW w:w="2891" w:type="dxa"/>
            <w:vAlign w:val="center"/>
          </w:tcPr>
          <w:p>
            <w:pPr>
              <w:pStyle w:val="10"/>
            </w:pPr>
            <w:r>
              <w:t>反映社会群众满意度</w:t>
            </w:r>
          </w:p>
        </w:tc>
        <w:tc>
          <w:tcPr>
            <w:tcW w:w="1276" w:type="dxa"/>
            <w:vAlign w:val="center"/>
          </w:tcPr>
          <w:p>
            <w:pPr>
              <w:pStyle w:val="10"/>
            </w:pPr>
            <w:r>
              <w:t>≥85%</w:t>
            </w:r>
          </w:p>
        </w:tc>
        <w:tc>
          <w:tcPr>
            <w:tcW w:w="1843" w:type="dxa"/>
            <w:vAlign w:val="center"/>
          </w:tcPr>
          <w:p>
            <w:pPr>
              <w:pStyle w:val="10"/>
            </w:pPr>
            <w:r>
              <w:t>计划标准</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306001青岛市体育局本级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37020023P36002410004X</w:t>
            </w:r>
          </w:p>
        </w:tc>
        <w:tc>
          <w:tcPr>
            <w:tcW w:w="1587" w:type="dxa"/>
            <w:vAlign w:val="center"/>
          </w:tcPr>
          <w:p>
            <w:pPr>
              <w:pStyle w:val="9"/>
            </w:pPr>
            <w:r>
              <w:t>项目名称</w:t>
            </w:r>
          </w:p>
        </w:tc>
        <w:tc>
          <w:tcPr>
            <w:tcW w:w="4422" w:type="dxa"/>
            <w:gridSpan w:val="3"/>
            <w:vAlign w:val="center"/>
          </w:tcPr>
          <w:p>
            <w:pPr>
              <w:pStyle w:val="10"/>
            </w:pPr>
            <w:r>
              <w:t>全国足球发展重点城市项目资金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1396.00</w:t>
            </w:r>
          </w:p>
        </w:tc>
        <w:tc>
          <w:tcPr>
            <w:tcW w:w="1587" w:type="dxa"/>
            <w:vAlign w:val="center"/>
          </w:tcPr>
          <w:p>
            <w:pPr>
              <w:pStyle w:val="9"/>
            </w:pPr>
            <w:r>
              <w:t>其中：财政    资金</w:t>
            </w:r>
          </w:p>
        </w:tc>
        <w:tc>
          <w:tcPr>
            <w:tcW w:w="1304" w:type="dxa"/>
            <w:vAlign w:val="center"/>
          </w:tcPr>
          <w:p>
            <w:pPr>
              <w:pStyle w:val="10"/>
            </w:pPr>
            <w:r>
              <w:t>1396.00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通过全国足球发展重点城市建设，全面推进足球管理部门发展体系建设、竞赛体系、青少年足球、社会足球、专业人才、足球文化等方面的发展，为我市实现足球振兴、推动体育事业高质量发展、率先建成体育强市起到积极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200.00</w:t>
            </w:r>
          </w:p>
        </w:tc>
        <w:tc>
          <w:tcPr>
            <w:tcW w:w="1587" w:type="dxa"/>
            <w:vAlign w:val="center"/>
          </w:tcPr>
          <w:p>
            <w:pPr>
              <w:pStyle w:val="11"/>
            </w:pPr>
            <w:r>
              <w:t>400.00</w:t>
            </w:r>
          </w:p>
        </w:tc>
        <w:tc>
          <w:tcPr>
            <w:tcW w:w="1304" w:type="dxa"/>
            <w:vAlign w:val="center"/>
          </w:tcPr>
          <w:p>
            <w:pPr>
              <w:pStyle w:val="11"/>
            </w:pPr>
            <w:r>
              <w:t>800.00</w:t>
            </w:r>
          </w:p>
        </w:tc>
        <w:tc>
          <w:tcPr>
            <w:tcW w:w="3118" w:type="dxa"/>
            <w:gridSpan w:val="2"/>
            <w:vAlign w:val="center"/>
          </w:tcPr>
          <w:p>
            <w:pPr>
              <w:pStyle w:val="11"/>
            </w:pPr>
            <w:r>
              <w:t>1396.00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通过全国足球发展重点城市建设，全面推进足球管理部门发展体系建设、竞赛体系、青少年足球、社会足球、专业人才、足球文化等方面的发展，为我市实现足球振兴、推动体育事业高质量发展、率先建成体育强市起到积极作用</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开展足球重点城市建设预算控制数</w:t>
            </w:r>
          </w:p>
        </w:tc>
        <w:tc>
          <w:tcPr>
            <w:tcW w:w="2891" w:type="dxa"/>
            <w:vAlign w:val="center"/>
          </w:tcPr>
          <w:p>
            <w:pPr>
              <w:pStyle w:val="10"/>
            </w:pPr>
            <w:r>
              <w:t>反映该项目投入财政资金金额</w:t>
            </w:r>
          </w:p>
        </w:tc>
        <w:tc>
          <w:tcPr>
            <w:tcW w:w="1276" w:type="dxa"/>
            <w:vAlign w:val="center"/>
          </w:tcPr>
          <w:p>
            <w:pPr>
              <w:pStyle w:val="10"/>
            </w:pPr>
            <w:r>
              <w:t>≤1396万元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组建青训外聘团队人数</w:t>
            </w:r>
          </w:p>
        </w:tc>
        <w:tc>
          <w:tcPr>
            <w:tcW w:w="2891" w:type="dxa"/>
            <w:vAlign w:val="center"/>
          </w:tcPr>
          <w:p>
            <w:pPr>
              <w:pStyle w:val="10"/>
            </w:pPr>
            <w:r>
              <w:t>反映青训外聘团队人数</w:t>
            </w:r>
          </w:p>
        </w:tc>
        <w:tc>
          <w:tcPr>
            <w:tcW w:w="1276" w:type="dxa"/>
            <w:vAlign w:val="center"/>
          </w:tcPr>
          <w:p>
            <w:pPr>
              <w:pStyle w:val="10"/>
            </w:pPr>
            <w:r>
              <w:t>≥60人</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组织青少年足球赛事</w:t>
            </w:r>
          </w:p>
        </w:tc>
        <w:tc>
          <w:tcPr>
            <w:tcW w:w="2891" w:type="dxa"/>
            <w:vAlign w:val="center"/>
          </w:tcPr>
          <w:p>
            <w:pPr>
              <w:pStyle w:val="10"/>
            </w:pPr>
            <w:r>
              <w:t>反映青少年足球赛事场次</w:t>
            </w:r>
          </w:p>
        </w:tc>
        <w:tc>
          <w:tcPr>
            <w:tcW w:w="1276" w:type="dxa"/>
            <w:vAlign w:val="center"/>
          </w:tcPr>
          <w:p>
            <w:pPr>
              <w:pStyle w:val="10"/>
            </w:pPr>
            <w:r>
              <w:t>≥760场次</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青训队伍外出参赛训练队次</w:t>
            </w:r>
          </w:p>
        </w:tc>
        <w:tc>
          <w:tcPr>
            <w:tcW w:w="2891" w:type="dxa"/>
            <w:vAlign w:val="center"/>
          </w:tcPr>
          <w:p>
            <w:pPr>
              <w:pStyle w:val="10"/>
            </w:pPr>
            <w:r>
              <w:t>反映青训队伍外出参赛训练队次</w:t>
            </w:r>
          </w:p>
        </w:tc>
        <w:tc>
          <w:tcPr>
            <w:tcW w:w="1276" w:type="dxa"/>
            <w:vAlign w:val="center"/>
          </w:tcPr>
          <w:p>
            <w:pPr>
              <w:pStyle w:val="10"/>
            </w:pPr>
            <w:r>
              <w:t>≥34队次</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青训队伍外出参赛训练人次</w:t>
            </w:r>
          </w:p>
        </w:tc>
        <w:tc>
          <w:tcPr>
            <w:tcW w:w="2891" w:type="dxa"/>
            <w:vAlign w:val="center"/>
          </w:tcPr>
          <w:p>
            <w:pPr>
              <w:pStyle w:val="10"/>
            </w:pPr>
            <w:r>
              <w:t>反映青训队伍外出参赛训练人次</w:t>
            </w:r>
          </w:p>
        </w:tc>
        <w:tc>
          <w:tcPr>
            <w:tcW w:w="1276" w:type="dxa"/>
            <w:vAlign w:val="center"/>
          </w:tcPr>
          <w:p>
            <w:pPr>
              <w:pStyle w:val="10"/>
            </w:pPr>
            <w:r>
              <w:t>≥680人次</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外聘团队符合度</w:t>
            </w:r>
          </w:p>
        </w:tc>
        <w:tc>
          <w:tcPr>
            <w:tcW w:w="2891" w:type="dxa"/>
            <w:vAlign w:val="center"/>
          </w:tcPr>
          <w:p>
            <w:pPr>
              <w:pStyle w:val="10"/>
            </w:pPr>
            <w:r>
              <w:t>反映外聘团队符合聘请要求的情况</w:t>
            </w:r>
          </w:p>
        </w:tc>
        <w:tc>
          <w:tcPr>
            <w:tcW w:w="1276" w:type="dxa"/>
            <w:vAlign w:val="center"/>
          </w:tcPr>
          <w:p>
            <w:pPr>
              <w:pStyle w:val="10"/>
            </w:pPr>
            <w:r>
              <w:rPr>
                <w:rFonts w:hint="eastAsia"/>
                <w:lang w:eastAsia="zh-CN"/>
              </w:rP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组织青少年足球赛事符合度</w:t>
            </w:r>
          </w:p>
        </w:tc>
        <w:tc>
          <w:tcPr>
            <w:tcW w:w="2891" w:type="dxa"/>
            <w:vAlign w:val="center"/>
          </w:tcPr>
          <w:p>
            <w:pPr>
              <w:pStyle w:val="10"/>
            </w:pPr>
            <w:r>
              <w:t>反映青少年足球赛事组织符合情况</w:t>
            </w:r>
          </w:p>
        </w:tc>
        <w:tc>
          <w:tcPr>
            <w:tcW w:w="1276" w:type="dxa"/>
            <w:vAlign w:val="center"/>
          </w:tcPr>
          <w:p>
            <w:pPr>
              <w:pStyle w:val="10"/>
            </w:pPr>
            <w:r>
              <w:rPr>
                <w:rFonts w:hint="eastAsia"/>
                <w:lang w:eastAsia="zh-CN"/>
              </w:rP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训练参赛符合度</w:t>
            </w:r>
          </w:p>
        </w:tc>
        <w:tc>
          <w:tcPr>
            <w:tcW w:w="2891" w:type="dxa"/>
            <w:vAlign w:val="center"/>
          </w:tcPr>
          <w:p>
            <w:pPr>
              <w:pStyle w:val="10"/>
            </w:pPr>
            <w:r>
              <w:t>反映青训队参加训练参赛队伍符合情况</w:t>
            </w:r>
          </w:p>
        </w:tc>
        <w:tc>
          <w:tcPr>
            <w:tcW w:w="1276" w:type="dxa"/>
            <w:vAlign w:val="center"/>
          </w:tcPr>
          <w:p>
            <w:pPr>
              <w:pStyle w:val="10"/>
            </w:pPr>
            <w:r>
              <w:rPr>
                <w:rFonts w:hint="eastAsia"/>
                <w:lang w:eastAsia="zh-CN"/>
              </w:rP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参加训练参赛球员符合度</w:t>
            </w:r>
          </w:p>
        </w:tc>
        <w:tc>
          <w:tcPr>
            <w:tcW w:w="2891" w:type="dxa"/>
            <w:vAlign w:val="center"/>
          </w:tcPr>
          <w:p>
            <w:pPr>
              <w:pStyle w:val="10"/>
            </w:pPr>
            <w:r>
              <w:t>反映参加训练参赛的球员符合选拔要求情况</w:t>
            </w:r>
          </w:p>
        </w:tc>
        <w:tc>
          <w:tcPr>
            <w:tcW w:w="1276" w:type="dxa"/>
            <w:vAlign w:val="center"/>
          </w:tcPr>
          <w:p>
            <w:pPr>
              <w:pStyle w:val="10"/>
            </w:pPr>
            <w:r>
              <w:rPr>
                <w:rFonts w:hint="eastAsia"/>
                <w:lang w:eastAsia="zh-CN"/>
              </w:rP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训练参赛项目开展及时率</w:t>
            </w:r>
          </w:p>
        </w:tc>
        <w:tc>
          <w:tcPr>
            <w:tcW w:w="2891" w:type="dxa"/>
            <w:vAlign w:val="center"/>
          </w:tcPr>
          <w:p>
            <w:pPr>
              <w:pStyle w:val="10"/>
            </w:pPr>
            <w:r>
              <w:t>按计划开展的及时率</w:t>
            </w:r>
          </w:p>
        </w:tc>
        <w:tc>
          <w:tcPr>
            <w:tcW w:w="1276" w:type="dxa"/>
            <w:vAlign w:val="center"/>
          </w:tcPr>
          <w:p>
            <w:pPr>
              <w:pStyle w:val="10"/>
              <w:rPr>
                <w:rFonts w:asciiTheme="minorHAnsi" w:hAnsiTheme="minorHAnsi"/>
                <w:lang w:val="uk-UA"/>
              </w:rPr>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提升青少年足球发展水平</w:t>
            </w:r>
          </w:p>
        </w:tc>
        <w:tc>
          <w:tcPr>
            <w:tcW w:w="2891" w:type="dxa"/>
            <w:vAlign w:val="center"/>
          </w:tcPr>
          <w:p>
            <w:pPr>
              <w:pStyle w:val="10"/>
            </w:pPr>
            <w:r>
              <w:t>反映提升青少年足球发展水平情况</w:t>
            </w:r>
          </w:p>
        </w:tc>
        <w:tc>
          <w:tcPr>
            <w:tcW w:w="1276" w:type="dxa"/>
            <w:vAlign w:val="center"/>
          </w:tcPr>
          <w:p>
            <w:pPr>
              <w:pStyle w:val="10"/>
            </w:pPr>
            <w:r>
              <w:rPr>
                <w:rFonts w:hint="eastAsia"/>
                <w:lang w:eastAsia="zh-CN"/>
              </w:rPr>
              <w:t>同比</w:t>
            </w:r>
            <w:r>
              <w:t>提升</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持续提升全市足球氛围</w:t>
            </w:r>
          </w:p>
        </w:tc>
        <w:tc>
          <w:tcPr>
            <w:tcW w:w="2891" w:type="dxa"/>
            <w:vAlign w:val="center"/>
          </w:tcPr>
          <w:p>
            <w:pPr>
              <w:pStyle w:val="10"/>
            </w:pPr>
            <w:r>
              <w:t>反映持续提升全市足球氛围情况</w:t>
            </w:r>
          </w:p>
        </w:tc>
        <w:tc>
          <w:tcPr>
            <w:tcW w:w="1276" w:type="dxa"/>
            <w:vAlign w:val="center"/>
          </w:tcPr>
          <w:p>
            <w:pPr>
              <w:pStyle w:val="10"/>
            </w:pPr>
            <w:r>
              <w:rPr>
                <w:rFonts w:hint="eastAsia"/>
                <w:lang w:eastAsia="zh-CN"/>
              </w:rPr>
              <w:t>同比</w:t>
            </w:r>
            <w:r>
              <w:t>提升</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参训教练员队员满意度</w:t>
            </w:r>
          </w:p>
        </w:tc>
        <w:tc>
          <w:tcPr>
            <w:tcW w:w="2891" w:type="dxa"/>
            <w:vAlign w:val="center"/>
          </w:tcPr>
          <w:p>
            <w:pPr>
              <w:pStyle w:val="10"/>
            </w:pPr>
            <w:r>
              <w:t>反映参训教练员队员满意度</w:t>
            </w:r>
          </w:p>
        </w:tc>
        <w:tc>
          <w:tcPr>
            <w:tcW w:w="1276" w:type="dxa"/>
            <w:vAlign w:val="center"/>
          </w:tcPr>
          <w:p>
            <w:pPr>
              <w:pStyle w:val="10"/>
            </w:pPr>
            <w:r>
              <w:t>≥90%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服务对象满意度指标</w:t>
            </w:r>
          </w:p>
        </w:tc>
        <w:tc>
          <w:tcPr>
            <w:tcW w:w="1332" w:type="dxa"/>
            <w:vAlign w:val="center"/>
          </w:tcPr>
          <w:p>
            <w:pPr>
              <w:pStyle w:val="10"/>
            </w:pPr>
            <w:r>
              <w:t>参赛球队满意度</w:t>
            </w:r>
          </w:p>
        </w:tc>
        <w:tc>
          <w:tcPr>
            <w:tcW w:w="2891" w:type="dxa"/>
            <w:vAlign w:val="center"/>
          </w:tcPr>
          <w:p>
            <w:pPr>
              <w:pStyle w:val="10"/>
            </w:pPr>
            <w:r>
              <w:t>反映参赛球队满意度</w:t>
            </w:r>
          </w:p>
        </w:tc>
        <w:tc>
          <w:tcPr>
            <w:tcW w:w="1276" w:type="dxa"/>
            <w:vAlign w:val="center"/>
          </w:tcPr>
          <w:p>
            <w:pPr>
              <w:pStyle w:val="10"/>
            </w:pPr>
            <w:r>
              <w:t>≥90%</w:t>
            </w:r>
          </w:p>
        </w:tc>
        <w:tc>
          <w:tcPr>
            <w:tcW w:w="1843" w:type="dxa"/>
            <w:vAlign w:val="center"/>
          </w:tcPr>
          <w:p>
            <w:pPr>
              <w:pStyle w:val="10"/>
            </w:pPr>
            <w:r>
              <w:t>计划标准</w:t>
            </w:r>
          </w:p>
        </w:tc>
      </w:tr>
    </w:tbl>
    <w:p>
      <w:pPr>
        <w:numPr>
          <w:ilvl w:val="0"/>
          <w:numId w:val="0"/>
        </w:numPr>
        <w:ind w:leftChars="0"/>
        <w:rPr>
          <w:rFonts w:hint="default" w:ascii="黑体" w:hAnsi="黑体" w:eastAsia="黑体" w:cs="黑体"/>
          <w:sz w:val="32"/>
          <w:szCs w:val="32"/>
          <w:lang w:val="en-US" w:eastAsia="zh-CN"/>
        </w:rPr>
      </w:pPr>
    </w:p>
    <w:p>
      <w:pPr>
        <w:spacing w:line="2" w:lineRule="exact"/>
        <w:jc w:val="center"/>
        <w:rPr>
          <w:rFonts w:eastAsia="宋体"/>
          <w:lang w:eastAsia="zh-CN"/>
        </w:rPr>
      </w:pPr>
    </w:p>
    <w:p>
      <w:pPr>
        <w:sectPr>
          <w:pgSz w:w="11900" w:h="16840"/>
          <w:pgMar w:top="1984" w:right="1304" w:bottom="1134" w:left="1304" w:header="720" w:footer="720" w:gutter="0"/>
          <w:pgNumType w:fmt="numberInDash"/>
          <w:cols w:space="720" w:num="1"/>
        </w:sectPr>
      </w:pPr>
    </w:p>
    <w:tbl>
      <w:tblPr>
        <w:tblStyle w:val="5"/>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704"/>
        <w:gridCol w:w="1893"/>
        <w:gridCol w:w="1357"/>
        <w:gridCol w:w="768"/>
        <w:gridCol w:w="1620"/>
      </w:tblGrid>
      <w:tr>
        <w:tblPrEx>
          <w:tblCellMar>
            <w:top w:w="0" w:type="dxa"/>
            <w:left w:w="108" w:type="dxa"/>
            <w:bottom w:w="0" w:type="dxa"/>
            <w:right w:w="108" w:type="dxa"/>
          </w:tblCellMar>
        </w:tblPrEx>
        <w:trPr>
          <w:trHeight w:val="397" w:hRule="atLeast"/>
          <w:jc w:val="center"/>
        </w:trPr>
        <w:tc>
          <w:tcPr>
            <w:tcW w:w="8274" w:type="dxa"/>
            <w:gridSpan w:val="6"/>
            <w:tcBorders>
              <w:top w:val="single" w:color="FFFFFF" w:sz="6" w:space="0"/>
              <w:left w:val="single" w:color="FFFFFF" w:sz="6" w:space="0"/>
              <w:right w:val="single" w:color="FFFFFF" w:sz="6" w:space="0"/>
            </w:tcBorders>
            <w:vAlign w:val="center"/>
          </w:tcPr>
          <w:p>
            <w:pPr>
              <w:pStyle w:val="7"/>
            </w:pPr>
            <w:r>
              <w:t>306001青岛市体育局本级</w:t>
            </w:r>
          </w:p>
        </w:tc>
        <w:tc>
          <w:tcPr>
            <w:tcW w:w="1620"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980" w:type="dxa"/>
            <w:gridSpan w:val="2"/>
            <w:vAlign w:val="center"/>
          </w:tcPr>
          <w:p>
            <w:pPr>
              <w:pStyle w:val="10"/>
            </w:pPr>
            <w:r>
              <w:t>37020023P36000810002Y</w:t>
            </w:r>
          </w:p>
        </w:tc>
        <w:tc>
          <w:tcPr>
            <w:tcW w:w="1893" w:type="dxa"/>
            <w:vAlign w:val="center"/>
          </w:tcPr>
          <w:p>
            <w:pPr>
              <w:pStyle w:val="9"/>
            </w:pPr>
            <w:r>
              <w:t>项目名称</w:t>
            </w:r>
          </w:p>
        </w:tc>
        <w:tc>
          <w:tcPr>
            <w:tcW w:w="3745" w:type="dxa"/>
            <w:gridSpan w:val="3"/>
            <w:vAlign w:val="center"/>
          </w:tcPr>
          <w:p>
            <w:pPr>
              <w:pStyle w:val="10"/>
            </w:pPr>
            <w:r>
              <w:t>高水平职业体育俱乐部扶持奖励资金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704" w:type="dxa"/>
            <w:vAlign w:val="center"/>
          </w:tcPr>
          <w:p>
            <w:pPr>
              <w:pStyle w:val="10"/>
            </w:pPr>
            <w:r>
              <w:t>4500.00</w:t>
            </w:r>
          </w:p>
        </w:tc>
        <w:tc>
          <w:tcPr>
            <w:tcW w:w="1893" w:type="dxa"/>
            <w:vAlign w:val="center"/>
          </w:tcPr>
          <w:p>
            <w:pPr>
              <w:pStyle w:val="9"/>
            </w:pPr>
            <w:r>
              <w:t>其中：财政    资金</w:t>
            </w:r>
          </w:p>
        </w:tc>
        <w:tc>
          <w:tcPr>
            <w:tcW w:w="1357" w:type="dxa"/>
            <w:vAlign w:val="center"/>
          </w:tcPr>
          <w:p>
            <w:pPr>
              <w:pStyle w:val="10"/>
            </w:pPr>
            <w:r>
              <w:t>4500.00</w:t>
            </w:r>
          </w:p>
        </w:tc>
        <w:tc>
          <w:tcPr>
            <w:tcW w:w="768" w:type="dxa"/>
            <w:vAlign w:val="center"/>
          </w:tcPr>
          <w:p>
            <w:pPr>
              <w:pStyle w:val="9"/>
            </w:pPr>
            <w:r>
              <w:t>其他资金</w:t>
            </w:r>
          </w:p>
        </w:tc>
        <w:tc>
          <w:tcPr>
            <w:tcW w:w="1620"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高水平职业俱乐部扶持资金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980" w:type="dxa"/>
            <w:gridSpan w:val="2"/>
            <w:vAlign w:val="center"/>
          </w:tcPr>
          <w:p>
            <w:pPr>
              <w:pStyle w:val="9"/>
            </w:pPr>
            <w:r>
              <w:t>3月底</w:t>
            </w:r>
          </w:p>
        </w:tc>
        <w:tc>
          <w:tcPr>
            <w:tcW w:w="1893" w:type="dxa"/>
            <w:vAlign w:val="center"/>
          </w:tcPr>
          <w:p>
            <w:pPr>
              <w:pStyle w:val="9"/>
            </w:pPr>
            <w:r>
              <w:t>6月底</w:t>
            </w:r>
          </w:p>
        </w:tc>
        <w:tc>
          <w:tcPr>
            <w:tcW w:w="1357" w:type="dxa"/>
            <w:vAlign w:val="center"/>
          </w:tcPr>
          <w:p>
            <w:pPr>
              <w:pStyle w:val="9"/>
            </w:pPr>
            <w:r>
              <w:t>10月底</w:t>
            </w:r>
          </w:p>
        </w:tc>
        <w:tc>
          <w:tcPr>
            <w:tcW w:w="238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980" w:type="dxa"/>
            <w:gridSpan w:val="2"/>
            <w:vAlign w:val="center"/>
          </w:tcPr>
          <w:p>
            <w:pPr>
              <w:pStyle w:val="11"/>
            </w:pPr>
            <w:r>
              <w:t xml:space="preserve"> </w:t>
            </w:r>
          </w:p>
        </w:tc>
        <w:tc>
          <w:tcPr>
            <w:tcW w:w="1893" w:type="dxa"/>
            <w:vAlign w:val="center"/>
          </w:tcPr>
          <w:p>
            <w:pPr>
              <w:pStyle w:val="11"/>
            </w:pPr>
            <w:r>
              <w:t>4500.00</w:t>
            </w:r>
          </w:p>
        </w:tc>
        <w:tc>
          <w:tcPr>
            <w:tcW w:w="1357" w:type="dxa"/>
            <w:vAlign w:val="center"/>
          </w:tcPr>
          <w:p>
            <w:pPr>
              <w:pStyle w:val="11"/>
            </w:pPr>
            <w:r>
              <w:t xml:space="preserve"> </w:t>
            </w:r>
          </w:p>
        </w:tc>
        <w:tc>
          <w:tcPr>
            <w:tcW w:w="2388" w:type="dxa"/>
            <w:gridSpan w:val="2"/>
            <w:vAlign w:val="center"/>
          </w:tcPr>
          <w:p>
            <w:pPr>
              <w:pStyle w:val="11"/>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8" w:type="dxa"/>
            <w:gridSpan w:val="6"/>
            <w:vAlign w:val="center"/>
          </w:tcPr>
          <w:p>
            <w:pPr>
              <w:pStyle w:val="10"/>
            </w:pPr>
            <w:r>
              <w:t>推进俱乐部自身建设。通过扶持让我市的职业足球能在高水平联赛取得优异成绩；</w:t>
            </w:r>
          </w:p>
          <w:p>
            <w:pPr>
              <w:pStyle w:val="10"/>
            </w:pPr>
            <w:r>
              <w:t>鼓励和引导俱乐部面向社会、走进校园等开展大众普及活动；</w:t>
            </w:r>
          </w:p>
          <w:p>
            <w:pPr>
              <w:pStyle w:val="10"/>
            </w:pPr>
            <w:r>
              <w:t>通过高水平职业体育比赛，带动我市体育竞赛表演业发展，不断扩大城市影响力。</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704"/>
        <w:gridCol w:w="2519"/>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704" w:type="dxa"/>
            <w:vAlign w:val="center"/>
          </w:tcPr>
          <w:p>
            <w:pPr>
              <w:pStyle w:val="9"/>
            </w:pPr>
            <w:r>
              <w:t>三级指标</w:t>
            </w:r>
          </w:p>
        </w:tc>
        <w:tc>
          <w:tcPr>
            <w:tcW w:w="2519"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成本指标</w:t>
            </w:r>
          </w:p>
        </w:tc>
        <w:tc>
          <w:tcPr>
            <w:tcW w:w="1276" w:type="dxa"/>
            <w:vAlign w:val="center"/>
          </w:tcPr>
          <w:p>
            <w:pPr>
              <w:pStyle w:val="10"/>
            </w:pPr>
            <w:r>
              <w:t>经济成本指标</w:t>
            </w:r>
          </w:p>
        </w:tc>
        <w:tc>
          <w:tcPr>
            <w:tcW w:w="1704" w:type="dxa"/>
            <w:vAlign w:val="center"/>
          </w:tcPr>
          <w:p>
            <w:pPr>
              <w:pStyle w:val="10"/>
            </w:pPr>
            <w:r>
              <w:t>足球俱乐部扶持资金投入额度</w:t>
            </w:r>
          </w:p>
        </w:tc>
        <w:tc>
          <w:tcPr>
            <w:tcW w:w="2519" w:type="dxa"/>
            <w:vAlign w:val="center"/>
          </w:tcPr>
          <w:p>
            <w:pPr>
              <w:pStyle w:val="10"/>
            </w:pPr>
            <w:r>
              <w:t>足球俱乐部扶持资金投入额度</w:t>
            </w:r>
          </w:p>
        </w:tc>
        <w:tc>
          <w:tcPr>
            <w:tcW w:w="1276" w:type="dxa"/>
            <w:vAlign w:val="center"/>
          </w:tcPr>
          <w:p>
            <w:pPr>
              <w:pStyle w:val="10"/>
            </w:pPr>
            <w:r>
              <w:t>≤4000万元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经济成本指标</w:t>
            </w:r>
          </w:p>
        </w:tc>
        <w:tc>
          <w:tcPr>
            <w:tcW w:w="1704" w:type="dxa"/>
            <w:vAlign w:val="center"/>
          </w:tcPr>
          <w:p>
            <w:pPr>
              <w:pStyle w:val="10"/>
            </w:pPr>
            <w:r>
              <w:t>篮球俱乐部扶持资金投入额度</w:t>
            </w:r>
          </w:p>
        </w:tc>
        <w:tc>
          <w:tcPr>
            <w:tcW w:w="2519" w:type="dxa"/>
            <w:vAlign w:val="center"/>
          </w:tcPr>
          <w:p>
            <w:pPr>
              <w:pStyle w:val="10"/>
            </w:pPr>
            <w:r>
              <w:t>职业篮球俱乐部年度扶持资金</w:t>
            </w:r>
          </w:p>
        </w:tc>
        <w:tc>
          <w:tcPr>
            <w:tcW w:w="1276" w:type="dxa"/>
            <w:vAlign w:val="center"/>
          </w:tcPr>
          <w:p>
            <w:pPr>
              <w:pStyle w:val="10"/>
            </w:pPr>
            <w:r>
              <w:t>≤300万元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经济成本指标</w:t>
            </w:r>
          </w:p>
        </w:tc>
        <w:tc>
          <w:tcPr>
            <w:tcW w:w="1704" w:type="dxa"/>
            <w:vAlign w:val="center"/>
          </w:tcPr>
          <w:p>
            <w:pPr>
              <w:pStyle w:val="10"/>
            </w:pPr>
            <w:r>
              <w:t>羽毛球俱乐部扶持资金投入额度</w:t>
            </w:r>
          </w:p>
        </w:tc>
        <w:tc>
          <w:tcPr>
            <w:tcW w:w="2519" w:type="dxa"/>
            <w:vAlign w:val="center"/>
          </w:tcPr>
          <w:p>
            <w:pPr>
              <w:pStyle w:val="10"/>
            </w:pPr>
            <w:r>
              <w:t>职业羽毛球俱乐部年度扶持资金</w:t>
            </w:r>
          </w:p>
        </w:tc>
        <w:tc>
          <w:tcPr>
            <w:tcW w:w="1276" w:type="dxa"/>
            <w:vAlign w:val="center"/>
          </w:tcPr>
          <w:p>
            <w:pPr>
              <w:pStyle w:val="10"/>
            </w:pPr>
            <w:r>
              <w:t>≤200万元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704" w:type="dxa"/>
            <w:vAlign w:val="center"/>
          </w:tcPr>
          <w:p>
            <w:pPr>
              <w:pStyle w:val="10"/>
            </w:pPr>
            <w:r>
              <w:t>中超职业足球俱乐部数量</w:t>
            </w:r>
          </w:p>
        </w:tc>
        <w:tc>
          <w:tcPr>
            <w:tcW w:w="2519" w:type="dxa"/>
            <w:vAlign w:val="center"/>
          </w:tcPr>
          <w:p>
            <w:pPr>
              <w:pStyle w:val="10"/>
            </w:pPr>
            <w:r>
              <w:t>反映扶持中超足球队伍数量</w:t>
            </w:r>
          </w:p>
        </w:tc>
        <w:tc>
          <w:tcPr>
            <w:tcW w:w="1276" w:type="dxa"/>
            <w:vAlign w:val="center"/>
          </w:tcPr>
          <w:p>
            <w:pPr>
              <w:pStyle w:val="10"/>
            </w:pPr>
            <w:r>
              <w:t>1支</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704" w:type="dxa"/>
            <w:vAlign w:val="center"/>
          </w:tcPr>
          <w:p>
            <w:pPr>
              <w:pStyle w:val="10"/>
            </w:pPr>
            <w:r>
              <w:t>中甲职业足球俱乐部数量</w:t>
            </w:r>
          </w:p>
        </w:tc>
        <w:tc>
          <w:tcPr>
            <w:tcW w:w="2519" w:type="dxa"/>
            <w:vAlign w:val="center"/>
          </w:tcPr>
          <w:p>
            <w:pPr>
              <w:pStyle w:val="10"/>
            </w:pPr>
            <w:r>
              <w:t>反映扶持的中甲足球俱乐部数量</w:t>
            </w:r>
          </w:p>
        </w:tc>
        <w:tc>
          <w:tcPr>
            <w:tcW w:w="1276" w:type="dxa"/>
            <w:vAlign w:val="center"/>
          </w:tcPr>
          <w:p>
            <w:pPr>
              <w:pStyle w:val="10"/>
            </w:pPr>
            <w:r>
              <w:t>1支</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704" w:type="dxa"/>
            <w:vAlign w:val="center"/>
          </w:tcPr>
          <w:p>
            <w:pPr>
              <w:pStyle w:val="10"/>
            </w:pPr>
            <w:r>
              <w:t>职业篮球俱乐部数量</w:t>
            </w:r>
          </w:p>
        </w:tc>
        <w:tc>
          <w:tcPr>
            <w:tcW w:w="2519" w:type="dxa"/>
            <w:vAlign w:val="center"/>
          </w:tcPr>
          <w:p>
            <w:pPr>
              <w:pStyle w:val="10"/>
            </w:pPr>
            <w:r>
              <w:t>反映扶持职业羽毛球队伍数量</w:t>
            </w:r>
          </w:p>
        </w:tc>
        <w:tc>
          <w:tcPr>
            <w:tcW w:w="1276" w:type="dxa"/>
            <w:vAlign w:val="center"/>
          </w:tcPr>
          <w:p>
            <w:pPr>
              <w:pStyle w:val="10"/>
            </w:pPr>
            <w:r>
              <w:t>1支</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704" w:type="dxa"/>
            <w:vAlign w:val="center"/>
          </w:tcPr>
          <w:p>
            <w:pPr>
              <w:pStyle w:val="10"/>
            </w:pPr>
            <w:r>
              <w:t>职业羽毛球俱乐部数量</w:t>
            </w:r>
          </w:p>
        </w:tc>
        <w:tc>
          <w:tcPr>
            <w:tcW w:w="2519" w:type="dxa"/>
            <w:vAlign w:val="center"/>
          </w:tcPr>
          <w:p>
            <w:pPr>
              <w:pStyle w:val="10"/>
            </w:pPr>
            <w:r>
              <w:t>反映扶持职业篮球队伍数量</w:t>
            </w:r>
          </w:p>
        </w:tc>
        <w:tc>
          <w:tcPr>
            <w:tcW w:w="1276" w:type="dxa"/>
            <w:vAlign w:val="center"/>
          </w:tcPr>
          <w:p>
            <w:pPr>
              <w:pStyle w:val="10"/>
            </w:pPr>
            <w:r>
              <w:t>1支</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704" w:type="dxa"/>
            <w:vAlign w:val="center"/>
          </w:tcPr>
          <w:p>
            <w:pPr>
              <w:pStyle w:val="10"/>
            </w:pPr>
            <w:r>
              <w:t>足球俱乐部扶持资金发放符合度</w:t>
            </w:r>
          </w:p>
        </w:tc>
        <w:tc>
          <w:tcPr>
            <w:tcW w:w="2519" w:type="dxa"/>
            <w:vAlign w:val="center"/>
          </w:tcPr>
          <w:p>
            <w:pPr>
              <w:pStyle w:val="10"/>
            </w:pPr>
            <w:r>
              <w:t>反映足球俱乐部扶持资金发放符合政策要求情况</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704" w:type="dxa"/>
            <w:vAlign w:val="center"/>
          </w:tcPr>
          <w:p>
            <w:pPr>
              <w:pStyle w:val="10"/>
            </w:pPr>
            <w:r>
              <w:t>篮球俱乐部扶持资金发放符合度</w:t>
            </w:r>
          </w:p>
        </w:tc>
        <w:tc>
          <w:tcPr>
            <w:tcW w:w="2519" w:type="dxa"/>
            <w:vAlign w:val="center"/>
          </w:tcPr>
          <w:p>
            <w:pPr>
              <w:pStyle w:val="10"/>
            </w:pPr>
            <w:r>
              <w:t>反映篮球俱乐部扶持资金发放符合政策要求情况</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704" w:type="dxa"/>
            <w:vAlign w:val="center"/>
          </w:tcPr>
          <w:p>
            <w:pPr>
              <w:pStyle w:val="10"/>
            </w:pPr>
            <w:r>
              <w:t>羽毛球俱乐部扶持资金发放符合度</w:t>
            </w:r>
          </w:p>
        </w:tc>
        <w:tc>
          <w:tcPr>
            <w:tcW w:w="2519" w:type="dxa"/>
            <w:vAlign w:val="center"/>
          </w:tcPr>
          <w:p>
            <w:pPr>
              <w:pStyle w:val="10"/>
            </w:pPr>
            <w:r>
              <w:t>反映羽毛球俱乐部扶持资金发放符合政策要求情况</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704" w:type="dxa"/>
            <w:vAlign w:val="center"/>
          </w:tcPr>
          <w:p>
            <w:pPr>
              <w:pStyle w:val="10"/>
            </w:pPr>
            <w:r>
              <w:t>高水平职业体育比赛工作开展及时率</w:t>
            </w:r>
          </w:p>
        </w:tc>
        <w:tc>
          <w:tcPr>
            <w:tcW w:w="2519" w:type="dxa"/>
            <w:vAlign w:val="center"/>
          </w:tcPr>
          <w:p>
            <w:pPr>
              <w:pStyle w:val="10"/>
            </w:pPr>
            <w:r>
              <w:t>按计划开展的及时率</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t>社会效益指标</w:t>
            </w:r>
          </w:p>
        </w:tc>
        <w:tc>
          <w:tcPr>
            <w:tcW w:w="1704" w:type="dxa"/>
            <w:vAlign w:val="center"/>
          </w:tcPr>
          <w:p>
            <w:pPr>
              <w:pStyle w:val="10"/>
            </w:pPr>
            <w:r>
              <w:t>足球青训队伍设置符合中国足协准入标准</w:t>
            </w:r>
          </w:p>
        </w:tc>
        <w:tc>
          <w:tcPr>
            <w:tcW w:w="2519" w:type="dxa"/>
            <w:vAlign w:val="center"/>
          </w:tcPr>
          <w:p>
            <w:pPr>
              <w:pStyle w:val="10"/>
            </w:pPr>
            <w:r>
              <w:t>考察青训队伍设置情况</w:t>
            </w:r>
          </w:p>
        </w:tc>
        <w:tc>
          <w:tcPr>
            <w:tcW w:w="1276" w:type="dxa"/>
            <w:vAlign w:val="center"/>
          </w:tcPr>
          <w:p>
            <w:pPr>
              <w:pStyle w:val="10"/>
              <w:rPr>
                <w:rFonts w:asciiTheme="minorHAnsi" w:hAnsiTheme="minorHAnsi"/>
                <w:lang w:val="uk-UA"/>
              </w:rPr>
            </w:pPr>
            <w:r>
              <w:rPr>
                <w:rFonts w:hint="eastAsia"/>
                <w:lang w:eastAsia="zh-CN"/>
              </w:rP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704" w:type="dxa"/>
            <w:vAlign w:val="center"/>
          </w:tcPr>
          <w:p>
            <w:pPr>
              <w:pStyle w:val="10"/>
            </w:pPr>
            <w:r>
              <w:t xml:space="preserve"> 羽毛球运动员参加省级及以上比赛金牌数</w:t>
            </w:r>
          </w:p>
        </w:tc>
        <w:tc>
          <w:tcPr>
            <w:tcW w:w="2519" w:type="dxa"/>
            <w:vAlign w:val="center"/>
          </w:tcPr>
          <w:p>
            <w:pPr>
              <w:pStyle w:val="10"/>
            </w:pPr>
            <w:r>
              <w:t>反映参加省级及以上比赛金牌数</w:t>
            </w:r>
          </w:p>
        </w:tc>
        <w:tc>
          <w:tcPr>
            <w:tcW w:w="1276" w:type="dxa"/>
            <w:vAlign w:val="center"/>
          </w:tcPr>
          <w:p>
            <w:pPr>
              <w:pStyle w:val="10"/>
            </w:pPr>
            <w:r>
              <w:t>≥10枚</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704" w:type="dxa"/>
            <w:vAlign w:val="center"/>
          </w:tcPr>
          <w:p>
            <w:pPr>
              <w:pStyle w:val="10"/>
            </w:pPr>
            <w:r>
              <w:t>CBA联赛职业篮球俱乐联赛排名</w:t>
            </w:r>
          </w:p>
        </w:tc>
        <w:tc>
          <w:tcPr>
            <w:tcW w:w="2519" w:type="dxa"/>
            <w:vAlign w:val="center"/>
          </w:tcPr>
          <w:p>
            <w:pPr>
              <w:pStyle w:val="10"/>
            </w:pPr>
            <w:r>
              <w:t>反映CBA联赛职业篮球俱乐联赛排名成绩</w:t>
            </w:r>
          </w:p>
        </w:tc>
        <w:tc>
          <w:tcPr>
            <w:tcW w:w="1276" w:type="dxa"/>
            <w:vAlign w:val="center"/>
          </w:tcPr>
          <w:p>
            <w:pPr>
              <w:pStyle w:val="10"/>
            </w:pPr>
            <w:r>
              <w:t>进入季后赛</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704" w:type="dxa"/>
            <w:vAlign w:val="center"/>
          </w:tcPr>
          <w:p>
            <w:pPr>
              <w:pStyle w:val="10"/>
            </w:pPr>
            <w:r>
              <w:t>中甲冲超成功的足球俱乐部数量</w:t>
            </w:r>
          </w:p>
        </w:tc>
        <w:tc>
          <w:tcPr>
            <w:tcW w:w="2519" w:type="dxa"/>
            <w:vAlign w:val="center"/>
          </w:tcPr>
          <w:p>
            <w:pPr>
              <w:pStyle w:val="10"/>
            </w:pPr>
            <w:r>
              <w:t>中甲冲超成功的足球俱乐部</w:t>
            </w:r>
          </w:p>
        </w:tc>
        <w:tc>
          <w:tcPr>
            <w:tcW w:w="1276" w:type="dxa"/>
            <w:vAlign w:val="center"/>
          </w:tcPr>
          <w:p>
            <w:pPr>
              <w:pStyle w:val="10"/>
            </w:pPr>
            <w:r>
              <w:t>1支</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704" w:type="dxa"/>
            <w:vAlign w:val="center"/>
          </w:tcPr>
          <w:p>
            <w:pPr>
              <w:pStyle w:val="10"/>
            </w:pPr>
            <w:r>
              <w:t>被扶持俱乐部满意度</w:t>
            </w:r>
          </w:p>
        </w:tc>
        <w:tc>
          <w:tcPr>
            <w:tcW w:w="2519" w:type="dxa"/>
            <w:vAlign w:val="center"/>
          </w:tcPr>
          <w:p>
            <w:pPr>
              <w:pStyle w:val="10"/>
            </w:pPr>
            <w:r>
              <w:t>反映被扶持俱乐部满意度</w:t>
            </w:r>
          </w:p>
        </w:tc>
        <w:tc>
          <w:tcPr>
            <w:tcW w:w="1276" w:type="dxa"/>
            <w:vAlign w:val="center"/>
          </w:tcPr>
          <w:p>
            <w:pPr>
              <w:pStyle w:val="10"/>
            </w:pPr>
            <w:r>
              <w:t>≥85%</w:t>
            </w:r>
          </w:p>
        </w:tc>
        <w:tc>
          <w:tcPr>
            <w:tcW w:w="1843" w:type="dxa"/>
            <w:vAlign w:val="center"/>
          </w:tcPr>
          <w:p>
            <w:pPr>
              <w:pStyle w:val="10"/>
            </w:pPr>
            <w:r>
              <w:t>计划标准</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5.福彩资金</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410001青岛市福利彩票发行中心本级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37020022P12003510001L</w:t>
            </w:r>
          </w:p>
        </w:tc>
        <w:tc>
          <w:tcPr>
            <w:tcW w:w="1587" w:type="dxa"/>
            <w:vAlign w:val="center"/>
          </w:tcPr>
          <w:p>
            <w:pPr>
              <w:pStyle w:val="9"/>
            </w:pPr>
            <w:r>
              <w:t>项目名称</w:t>
            </w:r>
          </w:p>
        </w:tc>
        <w:tc>
          <w:tcPr>
            <w:tcW w:w="4422" w:type="dxa"/>
            <w:gridSpan w:val="3"/>
            <w:vAlign w:val="center"/>
          </w:tcPr>
          <w:p>
            <w:pPr>
              <w:pStyle w:val="10"/>
            </w:pPr>
            <w:r>
              <w:t>彩票销售机构业务费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2132.00</w:t>
            </w:r>
          </w:p>
        </w:tc>
        <w:tc>
          <w:tcPr>
            <w:tcW w:w="1587" w:type="dxa"/>
            <w:vAlign w:val="center"/>
          </w:tcPr>
          <w:p>
            <w:pPr>
              <w:pStyle w:val="9"/>
            </w:pPr>
            <w:r>
              <w:t>其中：财政    资金</w:t>
            </w:r>
          </w:p>
        </w:tc>
        <w:tc>
          <w:tcPr>
            <w:tcW w:w="1304" w:type="dxa"/>
            <w:vAlign w:val="center"/>
          </w:tcPr>
          <w:p>
            <w:pPr>
              <w:pStyle w:val="10"/>
            </w:pPr>
            <w:r>
              <w:t>1992.00</w:t>
            </w:r>
          </w:p>
        </w:tc>
        <w:tc>
          <w:tcPr>
            <w:tcW w:w="1276" w:type="dxa"/>
            <w:vAlign w:val="center"/>
          </w:tcPr>
          <w:p>
            <w:pPr>
              <w:pStyle w:val="9"/>
            </w:pPr>
            <w:r>
              <w:t>其他资金</w:t>
            </w:r>
          </w:p>
        </w:tc>
        <w:tc>
          <w:tcPr>
            <w:tcW w:w="1843" w:type="dxa"/>
            <w:vAlign w:val="center"/>
          </w:tcPr>
          <w:p>
            <w:pPr>
              <w:pStyle w:val="10"/>
            </w:pPr>
            <w:r>
              <w:t>140.00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2023年度福利彩票业务费支出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val="uk-UA"/>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400.00</w:t>
            </w:r>
          </w:p>
        </w:tc>
        <w:tc>
          <w:tcPr>
            <w:tcW w:w="1587" w:type="dxa"/>
            <w:vAlign w:val="center"/>
          </w:tcPr>
          <w:p>
            <w:pPr>
              <w:pStyle w:val="11"/>
            </w:pPr>
            <w:r>
              <w:t>900.00</w:t>
            </w:r>
          </w:p>
        </w:tc>
        <w:tc>
          <w:tcPr>
            <w:tcW w:w="1304" w:type="dxa"/>
            <w:vAlign w:val="center"/>
          </w:tcPr>
          <w:p>
            <w:pPr>
              <w:pStyle w:val="11"/>
            </w:pPr>
            <w:r>
              <w:t>1200.00</w:t>
            </w:r>
          </w:p>
        </w:tc>
        <w:tc>
          <w:tcPr>
            <w:tcW w:w="3118" w:type="dxa"/>
            <w:gridSpan w:val="2"/>
            <w:vAlign w:val="center"/>
          </w:tcPr>
          <w:p>
            <w:pPr>
              <w:pStyle w:val="11"/>
            </w:pPr>
            <w:r>
              <w:t>2132.00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通过开展福利彩票销售机构的工作计划，逐步提高我市福利彩票销售的环境及服务质量，提升福利彩票公益形象，加强基层福利彩票销售站点的基础建设，为全市彩民提供更好的购彩氛围及环境，为全市人民筹集更多的公益金，为我市社会福利公益事业的发展提供坚实的基础。</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jc w:val="center"/>
            </w:pPr>
            <w:r>
              <w:rPr>
                <w:lang w:eastAsia="zh-CN"/>
              </w:rPr>
              <w:t>成本指标</w:t>
            </w:r>
          </w:p>
        </w:tc>
        <w:tc>
          <w:tcPr>
            <w:tcW w:w="1276" w:type="dxa"/>
            <w:vAlign w:val="center"/>
          </w:tcPr>
          <w:p>
            <w:pPr>
              <w:pStyle w:val="10"/>
              <w:rPr>
                <w:lang w:val="uk-UA"/>
              </w:rPr>
            </w:pPr>
            <w:r>
              <w:rPr>
                <w:rFonts w:hint="eastAsia"/>
                <w:lang w:eastAsia="zh-CN"/>
              </w:rPr>
              <w:t>经济成本指标</w:t>
            </w:r>
          </w:p>
        </w:tc>
        <w:tc>
          <w:tcPr>
            <w:tcW w:w="1332" w:type="dxa"/>
            <w:vAlign w:val="center"/>
          </w:tcPr>
          <w:p>
            <w:pPr>
              <w:pStyle w:val="10"/>
            </w:pPr>
            <w:r>
              <w:t>彩票运行维护业务用车成本</w:t>
            </w:r>
          </w:p>
        </w:tc>
        <w:tc>
          <w:tcPr>
            <w:tcW w:w="2891" w:type="dxa"/>
            <w:vAlign w:val="center"/>
          </w:tcPr>
          <w:p>
            <w:pPr>
              <w:pStyle w:val="10"/>
            </w:pPr>
            <w:r>
              <w:t>每辆彩票运行维护业务车辆平均年运营和维护成本不超过1.4万元</w:t>
            </w:r>
          </w:p>
        </w:tc>
        <w:tc>
          <w:tcPr>
            <w:tcW w:w="1276" w:type="dxa"/>
            <w:vAlign w:val="center"/>
          </w:tcPr>
          <w:p>
            <w:pPr>
              <w:pStyle w:val="10"/>
            </w:pPr>
            <w:r>
              <w:t>≤1.4万元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福利彩票销售网点管理维护数量</w:t>
            </w:r>
          </w:p>
        </w:tc>
        <w:tc>
          <w:tcPr>
            <w:tcW w:w="2891" w:type="dxa"/>
            <w:vAlign w:val="center"/>
          </w:tcPr>
          <w:p>
            <w:pPr>
              <w:pStyle w:val="10"/>
            </w:pPr>
            <w:r>
              <w:t>考核福利彩票销售网点管理维护</w:t>
            </w:r>
          </w:p>
        </w:tc>
        <w:tc>
          <w:tcPr>
            <w:tcW w:w="1276" w:type="dxa"/>
            <w:vAlign w:val="center"/>
          </w:tcPr>
          <w:p>
            <w:pPr>
              <w:pStyle w:val="10"/>
            </w:pPr>
            <w:r>
              <w:t>≥1300个</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广告宣传活动媒体、栏目次数</w:t>
            </w:r>
          </w:p>
        </w:tc>
        <w:tc>
          <w:tcPr>
            <w:tcW w:w="2891" w:type="dxa"/>
            <w:vAlign w:val="center"/>
          </w:tcPr>
          <w:p>
            <w:pPr>
              <w:pStyle w:val="10"/>
            </w:pPr>
            <w:r>
              <w:t>通过媒体、栏目或宣传推广活动对福利彩票开奖情况、营销活动、公益性等信息进行宣传</w:t>
            </w:r>
          </w:p>
        </w:tc>
        <w:tc>
          <w:tcPr>
            <w:tcW w:w="1276" w:type="dxa"/>
            <w:vAlign w:val="center"/>
          </w:tcPr>
          <w:p>
            <w:pPr>
              <w:pStyle w:val="10"/>
            </w:pPr>
            <w:r>
              <w:t>≥13个</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营销活动次数</w:t>
            </w:r>
          </w:p>
        </w:tc>
        <w:tc>
          <w:tcPr>
            <w:tcW w:w="2891" w:type="dxa"/>
            <w:vAlign w:val="center"/>
          </w:tcPr>
          <w:p>
            <w:pPr>
              <w:pStyle w:val="10"/>
            </w:pPr>
            <w:r>
              <w:t>考核全年组织的营销活动</w:t>
            </w:r>
          </w:p>
        </w:tc>
        <w:tc>
          <w:tcPr>
            <w:tcW w:w="1276" w:type="dxa"/>
            <w:vAlign w:val="center"/>
          </w:tcPr>
          <w:p>
            <w:pPr>
              <w:pStyle w:val="10"/>
            </w:pPr>
            <w:r>
              <w:t>≥5次</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福利彩票销售站管理维护率</w:t>
            </w:r>
          </w:p>
        </w:tc>
        <w:tc>
          <w:tcPr>
            <w:tcW w:w="2891" w:type="dxa"/>
            <w:vAlign w:val="center"/>
          </w:tcPr>
          <w:p>
            <w:pPr>
              <w:pStyle w:val="10"/>
            </w:pPr>
            <w:r>
              <w:t>考察对福利彩票销售站的管理维护是否全覆盖</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系统故障排除率</w:t>
            </w:r>
          </w:p>
        </w:tc>
        <w:tc>
          <w:tcPr>
            <w:tcW w:w="2891" w:type="dxa"/>
            <w:vAlign w:val="center"/>
          </w:tcPr>
          <w:p>
            <w:pPr>
              <w:pStyle w:val="10"/>
            </w:pPr>
            <w:r>
              <w:t>考察系统故障的排除情况</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工作开展及时率</w:t>
            </w:r>
          </w:p>
        </w:tc>
        <w:tc>
          <w:tcPr>
            <w:tcW w:w="2891" w:type="dxa"/>
            <w:vAlign w:val="center"/>
          </w:tcPr>
          <w:p>
            <w:pPr>
              <w:pStyle w:val="10"/>
            </w:pPr>
            <w:r>
              <w:t>反映按计划开展的及时率</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t>经济效益指标</w:t>
            </w:r>
          </w:p>
        </w:tc>
        <w:tc>
          <w:tcPr>
            <w:tcW w:w="1332" w:type="dxa"/>
            <w:vAlign w:val="center"/>
          </w:tcPr>
          <w:p>
            <w:pPr>
              <w:pStyle w:val="10"/>
            </w:pPr>
            <w:r>
              <w:t>福利彩票年销售额</w:t>
            </w:r>
          </w:p>
        </w:tc>
        <w:tc>
          <w:tcPr>
            <w:tcW w:w="2891" w:type="dxa"/>
            <w:vAlign w:val="center"/>
          </w:tcPr>
          <w:p>
            <w:pPr>
              <w:pStyle w:val="10"/>
            </w:pPr>
            <w:r>
              <w:t>考察福利彩票销售额目标完成情况</w:t>
            </w:r>
          </w:p>
        </w:tc>
        <w:tc>
          <w:tcPr>
            <w:tcW w:w="1276" w:type="dxa"/>
            <w:vAlign w:val="center"/>
          </w:tcPr>
          <w:p>
            <w:pPr>
              <w:pStyle w:val="10"/>
            </w:pPr>
            <w:r>
              <w:t>≥16亿元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福彩公益金筹集额</w:t>
            </w:r>
          </w:p>
        </w:tc>
        <w:tc>
          <w:tcPr>
            <w:tcW w:w="2891" w:type="dxa"/>
            <w:vAlign w:val="center"/>
          </w:tcPr>
          <w:p>
            <w:pPr>
              <w:pStyle w:val="10"/>
            </w:pPr>
            <w:r>
              <w:t>考察福彩公益金筹集量目标完成情况</w:t>
            </w:r>
          </w:p>
        </w:tc>
        <w:tc>
          <w:tcPr>
            <w:tcW w:w="1276" w:type="dxa"/>
            <w:vAlign w:val="center"/>
          </w:tcPr>
          <w:p>
            <w:pPr>
              <w:pStyle w:val="10"/>
            </w:pPr>
            <w:r>
              <w:t>≥4.8亿元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经济效益指标</w:t>
            </w:r>
          </w:p>
        </w:tc>
        <w:tc>
          <w:tcPr>
            <w:tcW w:w="1332" w:type="dxa"/>
            <w:vAlign w:val="center"/>
          </w:tcPr>
          <w:p>
            <w:pPr>
              <w:pStyle w:val="10"/>
            </w:pPr>
            <w:r>
              <w:t>增加地方税收额</w:t>
            </w:r>
          </w:p>
        </w:tc>
        <w:tc>
          <w:tcPr>
            <w:tcW w:w="2891" w:type="dxa"/>
            <w:vAlign w:val="center"/>
          </w:tcPr>
          <w:p>
            <w:pPr>
              <w:pStyle w:val="10"/>
            </w:pPr>
            <w:r>
              <w:t>考察福利彩票增加地方税收目标完成情况</w:t>
            </w:r>
          </w:p>
        </w:tc>
        <w:tc>
          <w:tcPr>
            <w:tcW w:w="1276" w:type="dxa"/>
            <w:vAlign w:val="center"/>
          </w:tcPr>
          <w:p>
            <w:pPr>
              <w:pStyle w:val="10"/>
            </w:pPr>
            <w:r>
              <w:t>≥2500万元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彩票销售安全事故发生率</w:t>
            </w:r>
          </w:p>
        </w:tc>
        <w:tc>
          <w:tcPr>
            <w:tcW w:w="2891" w:type="dxa"/>
            <w:vAlign w:val="center"/>
          </w:tcPr>
          <w:p>
            <w:pPr>
              <w:pStyle w:val="10"/>
            </w:pPr>
            <w:r>
              <w:t>考察彩票销售安全事故的发生情况</w:t>
            </w:r>
          </w:p>
        </w:tc>
        <w:tc>
          <w:tcPr>
            <w:tcW w:w="1276" w:type="dxa"/>
            <w:vAlign w:val="center"/>
          </w:tcPr>
          <w:p>
            <w:pPr>
              <w:pStyle w:val="10"/>
              <w:rPr>
                <w:lang w:eastAsia="zh-CN"/>
              </w:rPr>
            </w:pPr>
            <w:r>
              <w:rPr>
                <w:rFonts w:hint="eastAsia"/>
                <w:lang w:eastAsia="zh-CN"/>
              </w:rPr>
              <w:t>0起</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推动青岛市福利彩票事业健康、持续发展</w:t>
            </w:r>
          </w:p>
        </w:tc>
        <w:tc>
          <w:tcPr>
            <w:tcW w:w="2891" w:type="dxa"/>
            <w:vAlign w:val="center"/>
          </w:tcPr>
          <w:p>
            <w:pPr>
              <w:pStyle w:val="10"/>
            </w:pPr>
            <w:r>
              <w:t>推动青岛市福利彩票事业健康、持续发展</w:t>
            </w:r>
          </w:p>
        </w:tc>
        <w:tc>
          <w:tcPr>
            <w:tcW w:w="1276" w:type="dxa"/>
            <w:vAlign w:val="center"/>
          </w:tcPr>
          <w:p>
            <w:pPr>
              <w:pStyle w:val="10"/>
              <w:rPr>
                <w:lang w:val="uk-UA"/>
              </w:rPr>
            </w:pPr>
            <w:r>
              <w:rPr>
                <w:rFonts w:hint="eastAsia"/>
                <w:lang w:eastAsia="zh-CN"/>
              </w:rPr>
              <w:t>有效推动</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彩票销售网点满意度</w:t>
            </w:r>
          </w:p>
        </w:tc>
        <w:tc>
          <w:tcPr>
            <w:tcW w:w="2891" w:type="dxa"/>
            <w:vAlign w:val="center"/>
          </w:tcPr>
          <w:p>
            <w:pPr>
              <w:pStyle w:val="10"/>
            </w:pPr>
            <w:r>
              <w:t>考察彩票销售网点对彩票销售机构的满意度</w:t>
            </w:r>
          </w:p>
        </w:tc>
        <w:tc>
          <w:tcPr>
            <w:tcW w:w="1276" w:type="dxa"/>
            <w:vAlign w:val="center"/>
          </w:tcPr>
          <w:p>
            <w:pPr>
              <w:pStyle w:val="10"/>
            </w:pPr>
            <w:r>
              <w:t>≥90%</w:t>
            </w:r>
          </w:p>
        </w:tc>
        <w:tc>
          <w:tcPr>
            <w:tcW w:w="1843" w:type="dxa"/>
            <w:vAlign w:val="center"/>
          </w:tcPr>
          <w:p>
            <w:pPr>
              <w:pStyle w:val="10"/>
            </w:pPr>
            <w:r>
              <w:t>计划标准</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6.社会福利及救助资金</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408001青岛市红十字会本级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37020022P88002811171H</w:t>
            </w:r>
          </w:p>
        </w:tc>
        <w:tc>
          <w:tcPr>
            <w:tcW w:w="1587" w:type="dxa"/>
            <w:vAlign w:val="center"/>
          </w:tcPr>
          <w:p>
            <w:pPr>
              <w:pStyle w:val="9"/>
            </w:pPr>
            <w:r>
              <w:t>项目名称</w:t>
            </w:r>
          </w:p>
        </w:tc>
        <w:tc>
          <w:tcPr>
            <w:tcW w:w="4422" w:type="dxa"/>
            <w:gridSpan w:val="3"/>
            <w:vAlign w:val="center"/>
          </w:tcPr>
          <w:p>
            <w:pPr>
              <w:pStyle w:val="10"/>
            </w:pPr>
            <w:r>
              <w:t>救助资金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1800.00</w:t>
            </w:r>
          </w:p>
        </w:tc>
        <w:tc>
          <w:tcPr>
            <w:tcW w:w="1587" w:type="dxa"/>
            <w:vAlign w:val="center"/>
          </w:tcPr>
          <w:p>
            <w:pPr>
              <w:pStyle w:val="9"/>
            </w:pPr>
            <w:r>
              <w:t>其中：财政    资金</w:t>
            </w:r>
          </w:p>
        </w:tc>
        <w:tc>
          <w:tcPr>
            <w:tcW w:w="1304" w:type="dxa"/>
            <w:vAlign w:val="center"/>
          </w:tcPr>
          <w:p>
            <w:pPr>
              <w:pStyle w:val="10"/>
            </w:pPr>
            <w:r>
              <w:t xml:space="preserve"> </w:t>
            </w:r>
          </w:p>
        </w:tc>
        <w:tc>
          <w:tcPr>
            <w:tcW w:w="1276" w:type="dxa"/>
            <w:vAlign w:val="center"/>
          </w:tcPr>
          <w:p>
            <w:pPr>
              <w:pStyle w:val="9"/>
            </w:pPr>
            <w:r>
              <w:t>其他资金</w:t>
            </w:r>
          </w:p>
        </w:tc>
        <w:tc>
          <w:tcPr>
            <w:tcW w:w="1843" w:type="dxa"/>
            <w:vAlign w:val="center"/>
          </w:tcPr>
          <w:p>
            <w:pPr>
              <w:pStyle w:val="10"/>
            </w:pPr>
            <w:r>
              <w:t>1800.00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救助社会困难人员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val="uk-UA"/>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450.00</w:t>
            </w:r>
          </w:p>
        </w:tc>
        <w:tc>
          <w:tcPr>
            <w:tcW w:w="1587" w:type="dxa"/>
            <w:vAlign w:val="center"/>
          </w:tcPr>
          <w:p>
            <w:pPr>
              <w:pStyle w:val="11"/>
            </w:pPr>
            <w:r>
              <w:t>900.00</w:t>
            </w:r>
          </w:p>
        </w:tc>
        <w:tc>
          <w:tcPr>
            <w:tcW w:w="1304" w:type="dxa"/>
            <w:vAlign w:val="center"/>
          </w:tcPr>
          <w:p>
            <w:pPr>
              <w:pStyle w:val="11"/>
            </w:pPr>
            <w:r>
              <w:t>1500.00</w:t>
            </w:r>
          </w:p>
        </w:tc>
        <w:tc>
          <w:tcPr>
            <w:tcW w:w="3118" w:type="dxa"/>
            <w:gridSpan w:val="2"/>
            <w:vAlign w:val="center"/>
          </w:tcPr>
          <w:p>
            <w:pPr>
              <w:pStyle w:val="11"/>
            </w:pPr>
            <w:r>
              <w:t>1800.00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通过开展社会困难人员救助工作，对符合救助条件的人员实施救助，减轻救助对象的经济压力，改善救助对象的生活质量，使救助对象满意度达到95%以上</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救助资金预算控制数</w:t>
            </w:r>
          </w:p>
        </w:tc>
        <w:tc>
          <w:tcPr>
            <w:tcW w:w="2891" w:type="dxa"/>
            <w:vAlign w:val="center"/>
          </w:tcPr>
          <w:p>
            <w:pPr>
              <w:pStyle w:val="10"/>
            </w:pPr>
            <w:r>
              <w:t>反映救助资金预算资金执行情况</w:t>
            </w:r>
          </w:p>
        </w:tc>
        <w:tc>
          <w:tcPr>
            <w:tcW w:w="1276" w:type="dxa"/>
            <w:vAlign w:val="center"/>
          </w:tcPr>
          <w:p>
            <w:pPr>
              <w:pStyle w:val="10"/>
            </w:pPr>
            <w:r>
              <w:t>≤1800万元</w:t>
            </w:r>
          </w:p>
        </w:tc>
        <w:tc>
          <w:tcPr>
            <w:tcW w:w="1843" w:type="dxa"/>
            <w:vAlign w:val="center"/>
          </w:tcPr>
          <w:p>
            <w:pPr>
              <w:pStyle w:val="10"/>
            </w:pPr>
            <w: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医疗救助对象</w:t>
            </w:r>
          </w:p>
        </w:tc>
        <w:tc>
          <w:tcPr>
            <w:tcW w:w="2891" w:type="dxa"/>
            <w:vAlign w:val="center"/>
          </w:tcPr>
          <w:p>
            <w:pPr>
              <w:pStyle w:val="10"/>
            </w:pPr>
            <w:r>
              <w:t xml:space="preserve"> 医疗救助对象</w:t>
            </w:r>
          </w:p>
        </w:tc>
        <w:tc>
          <w:tcPr>
            <w:tcW w:w="1276" w:type="dxa"/>
            <w:vAlign w:val="center"/>
          </w:tcPr>
          <w:p>
            <w:pPr>
              <w:pStyle w:val="10"/>
            </w:pPr>
            <w:r>
              <w:t>≥1000 人</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临时救助人数</w:t>
            </w:r>
          </w:p>
        </w:tc>
        <w:tc>
          <w:tcPr>
            <w:tcW w:w="2891" w:type="dxa"/>
            <w:vAlign w:val="center"/>
          </w:tcPr>
          <w:p>
            <w:pPr>
              <w:pStyle w:val="10"/>
            </w:pPr>
            <w:r>
              <w:t xml:space="preserve"> 临时救助人数</w:t>
            </w:r>
          </w:p>
        </w:tc>
        <w:tc>
          <w:tcPr>
            <w:tcW w:w="1276" w:type="dxa"/>
            <w:vAlign w:val="center"/>
          </w:tcPr>
          <w:p>
            <w:pPr>
              <w:pStyle w:val="10"/>
            </w:pPr>
            <w:r>
              <w:t>≥800 人</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救助资金足额发放率</w:t>
            </w:r>
          </w:p>
        </w:tc>
        <w:tc>
          <w:tcPr>
            <w:tcW w:w="2891" w:type="dxa"/>
            <w:vAlign w:val="center"/>
          </w:tcPr>
          <w:p>
            <w:pPr>
              <w:pStyle w:val="10"/>
            </w:pPr>
            <w:r>
              <w:t xml:space="preserve"> 救助资金足额发放率</w:t>
            </w:r>
          </w:p>
        </w:tc>
        <w:tc>
          <w:tcPr>
            <w:tcW w:w="1276" w:type="dxa"/>
            <w:vAlign w:val="center"/>
          </w:tcPr>
          <w:p>
            <w:pPr>
              <w:pStyle w:val="10"/>
              <w:rPr>
                <w:lang w:eastAsia="zh-CN"/>
              </w:rPr>
            </w:pPr>
            <w:r>
              <w:t xml:space="preserve">≥100 </w:t>
            </w:r>
            <w:r>
              <w:rPr>
                <w:rFonts w:hint="eastAsia"/>
                <w:lang w:eastAsia="zh-CN"/>
              </w:rPr>
              <w:t>%</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临时救助</w:t>
            </w:r>
            <w:r>
              <w:rPr>
                <w:rFonts w:hint="eastAsia"/>
                <w:lang w:eastAsia="zh-CN"/>
              </w:rPr>
              <w:t>合规率</w:t>
            </w:r>
          </w:p>
        </w:tc>
        <w:tc>
          <w:tcPr>
            <w:tcW w:w="2891" w:type="dxa"/>
            <w:vAlign w:val="center"/>
          </w:tcPr>
          <w:p>
            <w:pPr>
              <w:pStyle w:val="10"/>
              <w:rPr>
                <w:lang w:val="uk-UA"/>
              </w:rPr>
            </w:pPr>
            <w:r>
              <w:t>临时救助</w:t>
            </w:r>
            <w:r>
              <w:rPr>
                <w:rFonts w:hint="eastAsia"/>
                <w:lang w:eastAsia="zh-CN"/>
              </w:rPr>
              <w:t>合规情况</w:t>
            </w:r>
          </w:p>
        </w:tc>
        <w:tc>
          <w:tcPr>
            <w:tcW w:w="1276" w:type="dxa"/>
            <w:vAlign w:val="center"/>
          </w:tcPr>
          <w:p>
            <w:pPr>
              <w:pStyle w:val="10"/>
              <w:rPr>
                <w:lang w:eastAsia="zh-CN"/>
              </w:rPr>
            </w:pPr>
            <w:r>
              <w:t>≥100</w:t>
            </w:r>
            <w:r>
              <w:rPr>
                <w:rFonts w:hint="eastAsia"/>
                <w:lang w:eastAsia="zh-CN"/>
              </w:rPr>
              <w:t>%</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救助工作完成及时率</w:t>
            </w:r>
          </w:p>
        </w:tc>
        <w:tc>
          <w:tcPr>
            <w:tcW w:w="2891" w:type="dxa"/>
            <w:vAlign w:val="center"/>
          </w:tcPr>
          <w:p>
            <w:pPr>
              <w:pStyle w:val="10"/>
            </w:pPr>
            <w:r>
              <w:t>反映救助工作完成的及时情况</w:t>
            </w:r>
          </w:p>
        </w:tc>
        <w:tc>
          <w:tcPr>
            <w:tcW w:w="1276" w:type="dxa"/>
            <w:vAlign w:val="center"/>
          </w:tcPr>
          <w:p>
            <w:pPr>
              <w:pStyle w:val="10"/>
              <w:rPr>
                <w:lang w:eastAsia="zh-CN"/>
              </w:rPr>
            </w:pPr>
            <w:r>
              <w:t xml:space="preserve">≥100 </w:t>
            </w:r>
            <w:r>
              <w:rPr>
                <w:rFonts w:hint="eastAsia"/>
                <w:lang w:eastAsia="zh-CN"/>
              </w:rPr>
              <w:t>%</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灾害救助水平提高</w:t>
            </w:r>
          </w:p>
        </w:tc>
        <w:tc>
          <w:tcPr>
            <w:tcW w:w="2891" w:type="dxa"/>
            <w:vAlign w:val="center"/>
          </w:tcPr>
          <w:p>
            <w:pPr>
              <w:pStyle w:val="10"/>
            </w:pPr>
            <w:r>
              <w:t xml:space="preserve"> 灾害救助水平提高</w:t>
            </w:r>
          </w:p>
        </w:tc>
        <w:tc>
          <w:tcPr>
            <w:tcW w:w="1276" w:type="dxa"/>
            <w:vAlign w:val="center"/>
          </w:tcPr>
          <w:p>
            <w:pPr>
              <w:pStyle w:val="10"/>
              <w:rPr>
                <w:lang w:eastAsia="zh-CN"/>
              </w:rPr>
            </w:pPr>
            <w:r>
              <w:rPr>
                <w:rFonts w:hint="eastAsia"/>
                <w:lang w:eastAsia="zh-CN"/>
              </w:rPr>
              <w:t>有效提高</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 xml:space="preserve"> 受益群众满意度</w:t>
            </w:r>
          </w:p>
        </w:tc>
        <w:tc>
          <w:tcPr>
            <w:tcW w:w="2891" w:type="dxa"/>
            <w:vAlign w:val="center"/>
          </w:tcPr>
          <w:p>
            <w:pPr>
              <w:pStyle w:val="10"/>
            </w:pPr>
            <w:r>
              <w:t xml:space="preserve"> 受益群众满意度</w:t>
            </w:r>
          </w:p>
        </w:tc>
        <w:tc>
          <w:tcPr>
            <w:tcW w:w="1276" w:type="dxa"/>
            <w:vAlign w:val="center"/>
          </w:tcPr>
          <w:p>
            <w:pPr>
              <w:pStyle w:val="10"/>
              <w:rPr>
                <w:lang w:eastAsia="zh-CN"/>
              </w:rPr>
            </w:pPr>
            <w:r>
              <w:t xml:space="preserve">≥95 </w:t>
            </w:r>
            <w:r>
              <w:rPr>
                <w:rFonts w:hint="eastAsia"/>
                <w:lang w:eastAsia="zh-CN"/>
              </w:rPr>
              <w:t>%</w:t>
            </w:r>
          </w:p>
        </w:tc>
        <w:tc>
          <w:tcPr>
            <w:tcW w:w="1843" w:type="dxa"/>
            <w:vAlign w:val="center"/>
          </w:tcPr>
          <w:p>
            <w:pPr>
              <w:pStyle w:val="10"/>
            </w:pPr>
            <w:r>
              <w:rPr>
                <w:rFonts w:hint="eastAsia"/>
                <w:lang w:eastAsia="zh-CN"/>
              </w:rPr>
              <w:t>计划标准</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401005青岛市社会福利院（青岛市养老服务指导中心、青岛市民政老年病康复医院）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37020023P120008100022</w:t>
            </w:r>
          </w:p>
        </w:tc>
        <w:tc>
          <w:tcPr>
            <w:tcW w:w="1587" w:type="dxa"/>
            <w:vAlign w:val="center"/>
          </w:tcPr>
          <w:p>
            <w:pPr>
              <w:pStyle w:val="9"/>
            </w:pPr>
            <w:r>
              <w:t>项目名称</w:t>
            </w:r>
          </w:p>
        </w:tc>
        <w:tc>
          <w:tcPr>
            <w:tcW w:w="4422" w:type="dxa"/>
            <w:gridSpan w:val="3"/>
            <w:vAlign w:val="center"/>
          </w:tcPr>
          <w:p>
            <w:pPr>
              <w:pStyle w:val="10"/>
            </w:pPr>
            <w:r>
              <w:t>社会福利院、儿童福利院、救助服务中心供养人员补助资金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1314.00</w:t>
            </w:r>
          </w:p>
        </w:tc>
        <w:tc>
          <w:tcPr>
            <w:tcW w:w="1587" w:type="dxa"/>
            <w:vAlign w:val="center"/>
          </w:tcPr>
          <w:p>
            <w:pPr>
              <w:pStyle w:val="9"/>
            </w:pPr>
            <w:r>
              <w:t>其中：财政资金</w:t>
            </w:r>
          </w:p>
        </w:tc>
        <w:tc>
          <w:tcPr>
            <w:tcW w:w="1304" w:type="dxa"/>
            <w:vAlign w:val="center"/>
          </w:tcPr>
          <w:p>
            <w:pPr>
              <w:pStyle w:val="10"/>
            </w:pPr>
            <w:r>
              <w:t>1314.00</w:t>
            </w:r>
          </w:p>
        </w:tc>
        <w:tc>
          <w:tcPr>
            <w:tcW w:w="1276" w:type="dxa"/>
            <w:vAlign w:val="center"/>
          </w:tcPr>
          <w:p>
            <w:pPr>
              <w:pStyle w:val="9"/>
            </w:pPr>
            <w:r>
              <w:t>其他资金</w:t>
            </w:r>
          </w:p>
        </w:tc>
        <w:tc>
          <w:tcPr>
            <w:tcW w:w="1843" w:type="dxa"/>
            <w:vAlign w:val="center"/>
          </w:tcPr>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青岛市社会福利院供养人员补助费用1314万元。根据社会福利院服务对象的特点和需求，保障集中供养人员对伙食、水电、被服、零用金、医疗保险、医药费等生活及照料护理、院外医疗等方面的需求，确保服务对象的生活质量和身体健康。单项如有结余在供养人员资金中统筹使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394.20</w:t>
            </w:r>
          </w:p>
        </w:tc>
        <w:tc>
          <w:tcPr>
            <w:tcW w:w="1587" w:type="dxa"/>
            <w:vAlign w:val="center"/>
          </w:tcPr>
          <w:p>
            <w:pPr>
              <w:pStyle w:val="11"/>
            </w:pPr>
            <w:r>
              <w:t>394.20</w:t>
            </w:r>
          </w:p>
        </w:tc>
        <w:tc>
          <w:tcPr>
            <w:tcW w:w="1304" w:type="dxa"/>
            <w:vAlign w:val="center"/>
          </w:tcPr>
          <w:p>
            <w:pPr>
              <w:pStyle w:val="11"/>
            </w:pPr>
            <w:r>
              <w:t>394.20</w:t>
            </w:r>
          </w:p>
        </w:tc>
        <w:tc>
          <w:tcPr>
            <w:tcW w:w="3118" w:type="dxa"/>
            <w:gridSpan w:val="2"/>
            <w:vAlign w:val="center"/>
          </w:tcPr>
          <w:p>
            <w:pPr>
              <w:pStyle w:val="11"/>
            </w:pPr>
            <w:r>
              <w:t>131.40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通过对社会福利院、儿童福利院、救助服务中心供养人员的补助，以保障人员生活，实现社会稳定和进步。</w:t>
            </w:r>
          </w:p>
        </w:tc>
      </w:tr>
    </w:tbl>
    <w:p>
      <w:pPr>
        <w:spacing w:line="2" w:lineRule="exact"/>
        <w:jc w:val="center"/>
      </w:pP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社会福利院供养特困人员补助预算控制数</w:t>
            </w:r>
          </w:p>
        </w:tc>
        <w:tc>
          <w:tcPr>
            <w:tcW w:w="2891" w:type="dxa"/>
            <w:vAlign w:val="center"/>
          </w:tcPr>
          <w:p>
            <w:pPr>
              <w:pStyle w:val="10"/>
            </w:pPr>
            <w:r>
              <w:t>考察供养特困人员补助费用预算控制情况</w:t>
            </w:r>
          </w:p>
        </w:tc>
        <w:tc>
          <w:tcPr>
            <w:tcW w:w="1276" w:type="dxa"/>
            <w:vAlign w:val="center"/>
          </w:tcPr>
          <w:p>
            <w:pPr>
              <w:pStyle w:val="10"/>
            </w:pPr>
            <w:r>
              <w:t>≤1314万元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供养特困人员数量</w:t>
            </w:r>
          </w:p>
        </w:tc>
        <w:tc>
          <w:tcPr>
            <w:tcW w:w="2891" w:type="dxa"/>
            <w:vAlign w:val="center"/>
          </w:tcPr>
          <w:p>
            <w:pPr>
              <w:pStyle w:val="10"/>
            </w:pPr>
            <w:r>
              <w:t>考察年均供养特困人数</w:t>
            </w:r>
          </w:p>
        </w:tc>
        <w:tc>
          <w:tcPr>
            <w:tcW w:w="1276" w:type="dxa"/>
            <w:vAlign w:val="center"/>
          </w:tcPr>
          <w:p>
            <w:pPr>
              <w:pStyle w:val="10"/>
            </w:pPr>
            <w:r>
              <w:t>≥360人</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被服购买次数</w:t>
            </w:r>
          </w:p>
        </w:tc>
        <w:tc>
          <w:tcPr>
            <w:tcW w:w="2891" w:type="dxa"/>
            <w:vAlign w:val="center"/>
          </w:tcPr>
          <w:p>
            <w:pPr>
              <w:pStyle w:val="10"/>
            </w:pPr>
            <w:r>
              <w:t>考察供养特困人员购买被服情况</w:t>
            </w:r>
          </w:p>
        </w:tc>
        <w:tc>
          <w:tcPr>
            <w:tcW w:w="1276" w:type="dxa"/>
            <w:vAlign w:val="center"/>
          </w:tcPr>
          <w:p>
            <w:pPr>
              <w:pStyle w:val="10"/>
            </w:pPr>
            <w:r>
              <w:t>≥1次</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服务合格率</w:t>
            </w:r>
          </w:p>
        </w:tc>
        <w:tc>
          <w:tcPr>
            <w:tcW w:w="2891" w:type="dxa"/>
            <w:vAlign w:val="center"/>
          </w:tcPr>
          <w:p>
            <w:pPr>
              <w:pStyle w:val="10"/>
            </w:pPr>
            <w:r>
              <w:t>考察服务对象提供基本生活及照料护理服务合格情况</w:t>
            </w:r>
          </w:p>
        </w:tc>
        <w:tc>
          <w:tcPr>
            <w:tcW w:w="1276" w:type="dxa"/>
            <w:vAlign w:val="center"/>
          </w:tcPr>
          <w:p>
            <w:pPr>
              <w:pStyle w:val="10"/>
            </w:pPr>
            <w:r>
              <w:t>≥95%</w:t>
            </w:r>
          </w:p>
        </w:tc>
        <w:tc>
          <w:tcPr>
            <w:tcW w:w="1843" w:type="dxa"/>
            <w:vAlign w:val="center"/>
          </w:tcPr>
          <w:p>
            <w:pPr>
              <w:pStyle w:val="10"/>
            </w:pPr>
            <w:r>
              <w:t>巡查记录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rPr>
                <w:rFonts w:hint="eastAsia"/>
                <w:lang w:eastAsia="zh-CN"/>
              </w:rPr>
              <w:t>采购</w:t>
            </w:r>
            <w:r>
              <w:t>质量达标率</w:t>
            </w:r>
          </w:p>
        </w:tc>
        <w:tc>
          <w:tcPr>
            <w:tcW w:w="2891" w:type="dxa"/>
            <w:vAlign w:val="center"/>
          </w:tcPr>
          <w:p>
            <w:pPr>
              <w:pStyle w:val="10"/>
            </w:pPr>
            <w:r>
              <w:t>考察</w:t>
            </w:r>
            <w:r>
              <w:rPr>
                <w:rFonts w:hint="eastAsia"/>
                <w:lang w:eastAsia="zh-CN"/>
              </w:rPr>
              <w:t>采购</w:t>
            </w:r>
            <w:r>
              <w:t>质量达标率</w:t>
            </w:r>
          </w:p>
        </w:tc>
        <w:tc>
          <w:tcPr>
            <w:tcW w:w="1276" w:type="dxa"/>
            <w:vAlign w:val="center"/>
          </w:tcPr>
          <w:p>
            <w:pPr>
              <w:pStyle w:val="10"/>
            </w:pPr>
            <w:r>
              <w:t>100%</w:t>
            </w:r>
          </w:p>
        </w:tc>
        <w:tc>
          <w:tcPr>
            <w:tcW w:w="1843" w:type="dxa"/>
            <w:vAlign w:val="center"/>
          </w:tcPr>
          <w:p>
            <w:pPr>
              <w:pStyle w:val="10"/>
            </w:pPr>
            <w:r>
              <w:t>抽检报告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供养特困人员提供服务及时率</w:t>
            </w:r>
          </w:p>
        </w:tc>
        <w:tc>
          <w:tcPr>
            <w:tcW w:w="2891" w:type="dxa"/>
            <w:vAlign w:val="center"/>
          </w:tcPr>
          <w:p>
            <w:pPr>
              <w:pStyle w:val="10"/>
            </w:pPr>
            <w:r>
              <w:t>考察2023年完成为供养特困人员提供基本生活及照料护理服务时间及时性</w:t>
            </w:r>
          </w:p>
        </w:tc>
        <w:tc>
          <w:tcPr>
            <w:tcW w:w="1276" w:type="dxa"/>
            <w:vAlign w:val="center"/>
          </w:tcPr>
          <w:p>
            <w:pPr>
              <w:pStyle w:val="10"/>
            </w:pPr>
            <w:r>
              <w:t>100%</w:t>
            </w:r>
          </w:p>
        </w:tc>
        <w:tc>
          <w:tcPr>
            <w:tcW w:w="1843" w:type="dxa"/>
            <w:vAlign w:val="center"/>
          </w:tcPr>
          <w:p>
            <w:pPr>
              <w:pStyle w:val="10"/>
            </w:pPr>
            <w:r>
              <w:t>青民【2021】28号文件、《青岛市人民政府令281号》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照料护理服务质量提升情况</w:t>
            </w:r>
          </w:p>
        </w:tc>
        <w:tc>
          <w:tcPr>
            <w:tcW w:w="2891" w:type="dxa"/>
            <w:vAlign w:val="center"/>
          </w:tcPr>
          <w:p>
            <w:pPr>
              <w:pStyle w:val="10"/>
            </w:pPr>
            <w:r>
              <w:t>考察照料护理服务质量提升情况</w:t>
            </w:r>
          </w:p>
        </w:tc>
        <w:tc>
          <w:tcPr>
            <w:tcW w:w="1276" w:type="dxa"/>
            <w:vAlign w:val="center"/>
          </w:tcPr>
          <w:p>
            <w:pPr>
              <w:pStyle w:val="10"/>
            </w:pPr>
            <w:r>
              <w:rPr>
                <w:rFonts w:hint="eastAsia"/>
                <w:lang w:eastAsia="zh-CN"/>
              </w:rPr>
              <w:t>有效</w:t>
            </w:r>
            <w:r>
              <w:t>提升</w:t>
            </w:r>
          </w:p>
        </w:tc>
        <w:tc>
          <w:tcPr>
            <w:tcW w:w="1843" w:type="dxa"/>
            <w:vAlign w:val="center"/>
          </w:tcPr>
          <w:p>
            <w:pPr>
              <w:pStyle w:val="10"/>
            </w:pPr>
            <w:r>
              <w:t>社工活动记录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生活幸福指数提升</w:t>
            </w:r>
          </w:p>
        </w:tc>
        <w:tc>
          <w:tcPr>
            <w:tcW w:w="2891" w:type="dxa"/>
            <w:vAlign w:val="center"/>
          </w:tcPr>
          <w:p>
            <w:pPr>
              <w:pStyle w:val="10"/>
            </w:pPr>
            <w:r>
              <w:t>考察生活幸福指数提升情况</w:t>
            </w:r>
          </w:p>
        </w:tc>
        <w:tc>
          <w:tcPr>
            <w:tcW w:w="1276" w:type="dxa"/>
            <w:vAlign w:val="center"/>
          </w:tcPr>
          <w:p>
            <w:pPr>
              <w:pStyle w:val="10"/>
            </w:pPr>
            <w:r>
              <w:t>提升</w:t>
            </w:r>
          </w:p>
        </w:tc>
        <w:tc>
          <w:tcPr>
            <w:tcW w:w="1843" w:type="dxa"/>
            <w:vAlign w:val="center"/>
          </w:tcPr>
          <w:p>
            <w:pPr>
              <w:pStyle w:val="10"/>
            </w:pPr>
            <w:r>
              <w:t>社工活动记录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rPr>
                <w:rFonts w:hint="eastAsia"/>
                <w:lang w:eastAsia="zh-CN"/>
              </w:rPr>
              <w:t>受益对象</w:t>
            </w:r>
            <w:r>
              <w:t>满意度</w:t>
            </w:r>
          </w:p>
        </w:tc>
        <w:tc>
          <w:tcPr>
            <w:tcW w:w="2891" w:type="dxa"/>
            <w:vAlign w:val="center"/>
          </w:tcPr>
          <w:p>
            <w:pPr>
              <w:pStyle w:val="10"/>
            </w:pPr>
            <w:r>
              <w:t>考察社会福利院供养特困人员对</w:t>
            </w:r>
            <w:r>
              <w:rPr>
                <w:rFonts w:hint="eastAsia"/>
                <w:lang w:eastAsia="zh-CN"/>
              </w:rPr>
              <w:t>项目实施的</w:t>
            </w:r>
            <w:r>
              <w:t>满意度</w:t>
            </w:r>
          </w:p>
        </w:tc>
        <w:tc>
          <w:tcPr>
            <w:tcW w:w="1276" w:type="dxa"/>
            <w:vAlign w:val="center"/>
          </w:tcPr>
          <w:p>
            <w:pPr>
              <w:pStyle w:val="10"/>
            </w:pPr>
            <w:r>
              <w:t>≥85%</w:t>
            </w:r>
          </w:p>
        </w:tc>
        <w:tc>
          <w:tcPr>
            <w:tcW w:w="1843" w:type="dxa"/>
            <w:vAlign w:val="center"/>
          </w:tcPr>
          <w:p>
            <w:pPr>
              <w:pStyle w:val="10"/>
            </w:pPr>
            <w:r>
              <w:rPr>
                <w:rFonts w:hint="eastAsia"/>
                <w:lang w:eastAsia="zh-CN"/>
              </w:rPr>
              <w:t>计划标准</w:t>
            </w:r>
          </w:p>
        </w:tc>
      </w:tr>
    </w:tbl>
    <w:p>
      <w:pPr>
        <w:sectPr>
          <w:footerReference r:id="rId13" w:type="default"/>
          <w:footerReference r:id="rId14" w:type="even"/>
          <w:pgSz w:w="11900" w:h="16840"/>
          <w:pgMar w:top="1984" w:right="1304" w:bottom="1134" w:left="1304" w:header="720" w:footer="720" w:gutter="0"/>
          <w:pgNumType w:fmt="numberInDash"/>
          <w:cols w:space="720" w:num="1"/>
        </w:sect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405002青岛市医疗保险事业中心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37020023P120015100028</w:t>
            </w:r>
          </w:p>
        </w:tc>
        <w:tc>
          <w:tcPr>
            <w:tcW w:w="1587" w:type="dxa"/>
            <w:vAlign w:val="center"/>
          </w:tcPr>
          <w:p>
            <w:pPr>
              <w:pStyle w:val="9"/>
            </w:pPr>
            <w:r>
              <w:t>项目名称</w:t>
            </w:r>
          </w:p>
        </w:tc>
        <w:tc>
          <w:tcPr>
            <w:tcW w:w="4422" w:type="dxa"/>
            <w:gridSpan w:val="3"/>
            <w:vAlign w:val="center"/>
          </w:tcPr>
          <w:p>
            <w:pPr>
              <w:pStyle w:val="10"/>
            </w:pPr>
            <w:r>
              <w:t>困难居民医疗救助资金（福彩公益金）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3000.00</w:t>
            </w:r>
          </w:p>
        </w:tc>
        <w:tc>
          <w:tcPr>
            <w:tcW w:w="1587" w:type="dxa"/>
            <w:vAlign w:val="center"/>
          </w:tcPr>
          <w:p>
            <w:pPr>
              <w:pStyle w:val="9"/>
            </w:pPr>
            <w:r>
              <w:t>其中：财政    资金</w:t>
            </w:r>
          </w:p>
        </w:tc>
        <w:tc>
          <w:tcPr>
            <w:tcW w:w="1304" w:type="dxa"/>
            <w:vAlign w:val="center"/>
          </w:tcPr>
          <w:p>
            <w:pPr>
              <w:pStyle w:val="10"/>
            </w:pPr>
            <w:r>
              <w:t>3000.00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青岛市困难居民医疗救助专项资金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750.00</w:t>
            </w:r>
          </w:p>
        </w:tc>
        <w:tc>
          <w:tcPr>
            <w:tcW w:w="1587" w:type="dxa"/>
            <w:vAlign w:val="center"/>
          </w:tcPr>
          <w:p>
            <w:pPr>
              <w:pStyle w:val="11"/>
            </w:pPr>
            <w:r>
              <w:t>1500.00</w:t>
            </w:r>
          </w:p>
        </w:tc>
        <w:tc>
          <w:tcPr>
            <w:tcW w:w="1304" w:type="dxa"/>
            <w:vAlign w:val="center"/>
          </w:tcPr>
          <w:p>
            <w:pPr>
              <w:pStyle w:val="11"/>
            </w:pPr>
            <w:r>
              <w:t>2250.00</w:t>
            </w:r>
          </w:p>
        </w:tc>
        <w:tc>
          <w:tcPr>
            <w:tcW w:w="3118" w:type="dxa"/>
            <w:gridSpan w:val="2"/>
            <w:vAlign w:val="center"/>
          </w:tcPr>
          <w:p>
            <w:pPr>
              <w:pStyle w:val="11"/>
            </w:pPr>
            <w:r>
              <w:t>3000.00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通过青岛市困难居民医疗救助，有效保障困难群众的基本生活，减轻困难群众的就医负担，提升困难群众的获得感。</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困难居民医疗救助资金成本控制数</w:t>
            </w:r>
          </w:p>
        </w:tc>
        <w:tc>
          <w:tcPr>
            <w:tcW w:w="2891" w:type="dxa"/>
            <w:vAlign w:val="center"/>
          </w:tcPr>
          <w:p>
            <w:pPr>
              <w:pStyle w:val="10"/>
            </w:pPr>
            <w:r>
              <w:t>反映困难居民医疗救助资金（福彩公益金）项目成本控制情况</w:t>
            </w:r>
          </w:p>
        </w:tc>
        <w:tc>
          <w:tcPr>
            <w:tcW w:w="1276" w:type="dxa"/>
            <w:vAlign w:val="center"/>
          </w:tcPr>
          <w:p>
            <w:pPr>
              <w:pStyle w:val="10"/>
            </w:pPr>
            <w:r>
              <w:t>≤3000万元</w:t>
            </w:r>
          </w:p>
        </w:tc>
        <w:tc>
          <w:tcPr>
            <w:tcW w:w="1843" w:type="dxa"/>
            <w:vAlign w:val="center"/>
          </w:tcPr>
          <w:p>
            <w:pPr>
              <w:pStyle w:val="10"/>
            </w:pPr>
            <w:r>
              <w:t>关于批复2023年市级部门预算的通知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享受医疗救助待遇的困难居民人数</w:t>
            </w:r>
          </w:p>
        </w:tc>
        <w:tc>
          <w:tcPr>
            <w:tcW w:w="2891" w:type="dxa"/>
            <w:vAlign w:val="center"/>
          </w:tcPr>
          <w:p>
            <w:pPr>
              <w:pStyle w:val="10"/>
            </w:pPr>
            <w:r>
              <w:t>反映享受医疗救助待遇的人数情况</w:t>
            </w:r>
          </w:p>
        </w:tc>
        <w:tc>
          <w:tcPr>
            <w:tcW w:w="1276" w:type="dxa"/>
            <w:vAlign w:val="center"/>
          </w:tcPr>
          <w:p>
            <w:pPr>
              <w:pStyle w:val="10"/>
            </w:pPr>
            <w:r>
              <w:t>≥7万人</w:t>
            </w:r>
          </w:p>
        </w:tc>
        <w:tc>
          <w:tcPr>
            <w:tcW w:w="1843" w:type="dxa"/>
            <w:vAlign w:val="center"/>
          </w:tcPr>
          <w:p>
            <w:pPr>
              <w:pStyle w:val="10"/>
            </w:pPr>
            <w:r>
              <w:t>历史标准：上一年度医疗救助重点困难群体人数。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享受医疗救助待遇的重点困难群体人数</w:t>
            </w:r>
          </w:p>
        </w:tc>
        <w:tc>
          <w:tcPr>
            <w:tcW w:w="2891" w:type="dxa"/>
            <w:vAlign w:val="center"/>
          </w:tcPr>
          <w:p>
            <w:pPr>
              <w:pStyle w:val="10"/>
            </w:pPr>
            <w:r>
              <w:t>反映享受医疗救助待遇的重点困难群体人数情况</w:t>
            </w:r>
          </w:p>
        </w:tc>
        <w:tc>
          <w:tcPr>
            <w:tcW w:w="1276" w:type="dxa"/>
            <w:vAlign w:val="center"/>
          </w:tcPr>
          <w:p>
            <w:pPr>
              <w:pStyle w:val="10"/>
            </w:pPr>
            <w:r>
              <w:t>≥7万人</w:t>
            </w:r>
          </w:p>
        </w:tc>
        <w:tc>
          <w:tcPr>
            <w:tcW w:w="1843" w:type="dxa"/>
            <w:vAlign w:val="center"/>
          </w:tcPr>
          <w:p>
            <w:pPr>
              <w:pStyle w:val="10"/>
            </w:pPr>
            <w:r>
              <w:t>历史标准：上一年度医疗救助重点困难群体人数。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重点困难群体住院及门诊慢特病个人自负医疗费用占总费用比例</w:t>
            </w:r>
          </w:p>
        </w:tc>
        <w:tc>
          <w:tcPr>
            <w:tcW w:w="2891" w:type="dxa"/>
            <w:vAlign w:val="center"/>
          </w:tcPr>
          <w:p>
            <w:pPr>
              <w:pStyle w:val="10"/>
            </w:pPr>
            <w:r>
              <w:t>反映重点困难群体住院及门诊慢特病费用给予救助情况</w:t>
            </w:r>
          </w:p>
        </w:tc>
        <w:tc>
          <w:tcPr>
            <w:tcW w:w="1276" w:type="dxa"/>
            <w:vAlign w:val="center"/>
          </w:tcPr>
          <w:p>
            <w:pPr>
              <w:pStyle w:val="10"/>
            </w:pPr>
            <w:r>
              <w:t>≤10%</w:t>
            </w:r>
          </w:p>
        </w:tc>
        <w:tc>
          <w:tcPr>
            <w:tcW w:w="1843" w:type="dxa"/>
            <w:vAlign w:val="center"/>
          </w:tcPr>
          <w:p>
            <w:pPr>
              <w:pStyle w:val="10"/>
            </w:pPr>
            <w:r>
              <w:t>《青岛市人民政府办公厅关于进一步完善困难居民医疗救助制度有关事宜的通知》（青政办发〔2020〕24号）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重点困难群体门诊统筹医疗费个人自负部分占总费用比例</w:t>
            </w:r>
          </w:p>
        </w:tc>
        <w:tc>
          <w:tcPr>
            <w:tcW w:w="2891" w:type="dxa"/>
            <w:vAlign w:val="center"/>
          </w:tcPr>
          <w:p>
            <w:pPr>
              <w:pStyle w:val="10"/>
            </w:pPr>
            <w:r>
              <w:t>反映重点困难群体普通门诊费用给予救助情况</w:t>
            </w:r>
          </w:p>
        </w:tc>
        <w:tc>
          <w:tcPr>
            <w:tcW w:w="1276" w:type="dxa"/>
            <w:vAlign w:val="center"/>
          </w:tcPr>
          <w:p>
            <w:pPr>
              <w:pStyle w:val="10"/>
            </w:pPr>
            <w:r>
              <w:t>≤10%</w:t>
            </w:r>
          </w:p>
        </w:tc>
        <w:tc>
          <w:tcPr>
            <w:tcW w:w="1843" w:type="dxa"/>
            <w:vAlign w:val="center"/>
          </w:tcPr>
          <w:p>
            <w:pPr>
              <w:pStyle w:val="10"/>
            </w:pPr>
            <w:r>
              <w:t>《青岛市人民政府办公厅关于进一步完善困难居民医疗救助制度有关事宜的通知》（青政办发〔2020〕24号）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困难居民医疗救助救助工作完成时间</w:t>
            </w:r>
          </w:p>
        </w:tc>
        <w:tc>
          <w:tcPr>
            <w:tcW w:w="2891" w:type="dxa"/>
            <w:vAlign w:val="center"/>
          </w:tcPr>
          <w:p>
            <w:pPr>
              <w:pStyle w:val="10"/>
            </w:pPr>
            <w:r>
              <w:t>反映本年度困难居民医疗救助救助工作按计划完成时间情况</w:t>
            </w:r>
          </w:p>
        </w:tc>
        <w:tc>
          <w:tcPr>
            <w:tcW w:w="1276" w:type="dxa"/>
            <w:vAlign w:val="center"/>
          </w:tcPr>
          <w:p>
            <w:pPr>
              <w:pStyle w:val="10"/>
            </w:pPr>
            <w:r>
              <w:t>12月内</w:t>
            </w:r>
          </w:p>
        </w:tc>
        <w:tc>
          <w:tcPr>
            <w:tcW w:w="1843" w:type="dxa"/>
            <w:vAlign w:val="center"/>
          </w:tcPr>
          <w:p>
            <w:pPr>
              <w:pStyle w:val="10"/>
            </w:pPr>
            <w:r>
              <w:t>《关于进一步完善困难居民医疗救助制度有关事宜的通知》（青政办发〔2020〕24号）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困难群众看病就医报销方便程度</w:t>
            </w:r>
          </w:p>
        </w:tc>
        <w:tc>
          <w:tcPr>
            <w:tcW w:w="2891" w:type="dxa"/>
            <w:vAlign w:val="center"/>
          </w:tcPr>
          <w:p>
            <w:pPr>
              <w:pStyle w:val="10"/>
            </w:pPr>
            <w:r>
              <w:t>反映群众就医报销便捷度提升情况</w:t>
            </w:r>
          </w:p>
        </w:tc>
        <w:tc>
          <w:tcPr>
            <w:tcW w:w="1276" w:type="dxa"/>
            <w:vAlign w:val="center"/>
          </w:tcPr>
          <w:p>
            <w:pPr>
              <w:pStyle w:val="10"/>
            </w:pPr>
            <w:r>
              <w:t>明显提高</w:t>
            </w:r>
          </w:p>
        </w:tc>
        <w:tc>
          <w:tcPr>
            <w:tcW w:w="1843" w:type="dxa"/>
            <w:vAlign w:val="center"/>
          </w:tcPr>
          <w:p>
            <w:pPr>
              <w:pStyle w:val="10"/>
            </w:pPr>
            <w:r>
              <w:t>《中共山东省委、山东省人民政府贯彻落实〈中共中央、国务院关于深化医疗保障制度改革的意见〉的实施意见》（鲁发〔2020〕18号）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多层次医疗保障体系健全性</w:t>
            </w:r>
          </w:p>
        </w:tc>
        <w:tc>
          <w:tcPr>
            <w:tcW w:w="2891" w:type="dxa"/>
            <w:vAlign w:val="center"/>
          </w:tcPr>
          <w:p>
            <w:pPr>
              <w:pStyle w:val="10"/>
            </w:pPr>
            <w:r>
              <w:t>反映进一步完善我市多层次医疗保障体系健全情况</w:t>
            </w:r>
          </w:p>
        </w:tc>
        <w:tc>
          <w:tcPr>
            <w:tcW w:w="1276" w:type="dxa"/>
            <w:vAlign w:val="center"/>
          </w:tcPr>
          <w:p>
            <w:pPr>
              <w:pStyle w:val="10"/>
            </w:pPr>
            <w:r>
              <w:t>健全</w:t>
            </w:r>
          </w:p>
        </w:tc>
        <w:tc>
          <w:tcPr>
            <w:tcW w:w="1843" w:type="dxa"/>
            <w:vAlign w:val="center"/>
          </w:tcPr>
          <w:p>
            <w:pPr>
              <w:pStyle w:val="10"/>
            </w:pPr>
            <w:r>
              <w:t>《中共山东省委、山东省人民政府贯彻落实〈中共中央、国务院关于深化医疗保障制度改革的意见〉的实施意见》（鲁发〔2020〕18号）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困难群众就医负担减轻程度</w:t>
            </w:r>
          </w:p>
        </w:tc>
        <w:tc>
          <w:tcPr>
            <w:tcW w:w="2891" w:type="dxa"/>
            <w:vAlign w:val="center"/>
          </w:tcPr>
          <w:p>
            <w:pPr>
              <w:pStyle w:val="10"/>
            </w:pPr>
            <w:r>
              <w:t>反映有效缓解困难群众就医负担情况</w:t>
            </w:r>
          </w:p>
        </w:tc>
        <w:tc>
          <w:tcPr>
            <w:tcW w:w="1276" w:type="dxa"/>
            <w:vAlign w:val="center"/>
          </w:tcPr>
          <w:p>
            <w:pPr>
              <w:pStyle w:val="10"/>
            </w:pPr>
            <w:r>
              <w:t>有效缓解</w:t>
            </w:r>
          </w:p>
        </w:tc>
        <w:tc>
          <w:tcPr>
            <w:tcW w:w="1843" w:type="dxa"/>
            <w:vAlign w:val="center"/>
          </w:tcPr>
          <w:p>
            <w:pPr>
              <w:pStyle w:val="10"/>
            </w:pPr>
            <w:r>
              <w:t>《中共山东省委、山东省人民政府贯彻落实〈中共中央、国务院关于深化医疗保障制度改革的意见〉的实施意见》（鲁发〔2020〕18号）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参保人员对医保服务满意度</w:t>
            </w:r>
          </w:p>
        </w:tc>
        <w:tc>
          <w:tcPr>
            <w:tcW w:w="2891" w:type="dxa"/>
            <w:vAlign w:val="center"/>
          </w:tcPr>
          <w:p>
            <w:pPr>
              <w:pStyle w:val="10"/>
            </w:pPr>
            <w:r>
              <w:t>反映参保人员对医保服务满意度情况</w:t>
            </w:r>
          </w:p>
        </w:tc>
        <w:tc>
          <w:tcPr>
            <w:tcW w:w="1276" w:type="dxa"/>
            <w:vAlign w:val="center"/>
          </w:tcPr>
          <w:p>
            <w:pPr>
              <w:pStyle w:val="10"/>
            </w:pPr>
            <w:r>
              <w:t>≥90%</w:t>
            </w:r>
          </w:p>
        </w:tc>
        <w:tc>
          <w:tcPr>
            <w:tcW w:w="1843" w:type="dxa"/>
            <w:vAlign w:val="center"/>
          </w:tcPr>
          <w:p>
            <w:pPr>
              <w:pStyle w:val="10"/>
            </w:pPr>
            <w:r>
              <w:t>按文件规定</w:t>
            </w:r>
          </w:p>
        </w:tc>
      </w:tr>
    </w:tbl>
    <w:p>
      <w:pPr>
        <w:sectPr>
          <w:pgSz w:w="11900" w:h="16840"/>
          <w:pgMar w:top="1984" w:right="1304" w:bottom="1134" w:left="1304" w:header="720" w:footer="720" w:gutter="0"/>
          <w:pgNumType w:fmt="numberInDash"/>
          <w:cols w:space="720" w:num="1"/>
        </w:sect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405002青岛市医疗保险事业中心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37020023P21000310004Q</w:t>
            </w:r>
          </w:p>
        </w:tc>
        <w:tc>
          <w:tcPr>
            <w:tcW w:w="1587" w:type="dxa"/>
            <w:vAlign w:val="center"/>
          </w:tcPr>
          <w:p>
            <w:pPr>
              <w:pStyle w:val="9"/>
            </w:pPr>
            <w:r>
              <w:t>项目名称</w:t>
            </w:r>
          </w:p>
        </w:tc>
        <w:tc>
          <w:tcPr>
            <w:tcW w:w="4422" w:type="dxa"/>
            <w:gridSpan w:val="3"/>
            <w:vAlign w:val="center"/>
          </w:tcPr>
          <w:p>
            <w:pPr>
              <w:pStyle w:val="10"/>
            </w:pPr>
            <w:r>
              <w:t>城乡困难居民医疗救助补助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4000.00</w:t>
            </w:r>
          </w:p>
        </w:tc>
        <w:tc>
          <w:tcPr>
            <w:tcW w:w="1587" w:type="dxa"/>
            <w:vAlign w:val="center"/>
          </w:tcPr>
          <w:p>
            <w:pPr>
              <w:pStyle w:val="9"/>
            </w:pPr>
            <w:r>
              <w:t>其中：财政    资金</w:t>
            </w:r>
          </w:p>
        </w:tc>
        <w:tc>
          <w:tcPr>
            <w:tcW w:w="1304" w:type="dxa"/>
            <w:vAlign w:val="center"/>
          </w:tcPr>
          <w:p>
            <w:pPr>
              <w:pStyle w:val="10"/>
            </w:pPr>
            <w:r>
              <w:t>4000.00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城乡困难居民医疗救助资金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1000.00</w:t>
            </w:r>
          </w:p>
        </w:tc>
        <w:tc>
          <w:tcPr>
            <w:tcW w:w="1587" w:type="dxa"/>
            <w:vAlign w:val="center"/>
          </w:tcPr>
          <w:p>
            <w:pPr>
              <w:pStyle w:val="11"/>
            </w:pPr>
            <w:r>
              <w:t>2000.00</w:t>
            </w:r>
          </w:p>
        </w:tc>
        <w:tc>
          <w:tcPr>
            <w:tcW w:w="1304" w:type="dxa"/>
            <w:vAlign w:val="center"/>
          </w:tcPr>
          <w:p>
            <w:pPr>
              <w:pStyle w:val="11"/>
            </w:pPr>
            <w:r>
              <w:t>3000.00</w:t>
            </w:r>
          </w:p>
        </w:tc>
        <w:tc>
          <w:tcPr>
            <w:tcW w:w="3118" w:type="dxa"/>
            <w:gridSpan w:val="2"/>
            <w:vAlign w:val="center"/>
          </w:tcPr>
          <w:p>
            <w:pPr>
              <w:pStyle w:val="11"/>
            </w:pPr>
            <w:r>
              <w:t>4000.00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通过城乡困难居民医疗救助，有效保障困难群众的基本生活，减轻困难群众的就医负担，提升困难群众的获得感。</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城乡困难居民医疗救助补助预算控制数</w:t>
            </w:r>
          </w:p>
        </w:tc>
        <w:tc>
          <w:tcPr>
            <w:tcW w:w="2891" w:type="dxa"/>
            <w:vAlign w:val="center"/>
          </w:tcPr>
          <w:p>
            <w:pPr>
              <w:pStyle w:val="10"/>
            </w:pPr>
            <w:r>
              <w:t>反映城乡困难居民医疗救助补助预算控制数情况</w:t>
            </w:r>
          </w:p>
        </w:tc>
        <w:tc>
          <w:tcPr>
            <w:tcW w:w="1276" w:type="dxa"/>
            <w:vAlign w:val="center"/>
          </w:tcPr>
          <w:p>
            <w:pPr>
              <w:pStyle w:val="10"/>
            </w:pPr>
            <w:r>
              <w:t>≤4000万元</w:t>
            </w:r>
          </w:p>
        </w:tc>
        <w:tc>
          <w:tcPr>
            <w:tcW w:w="1843" w:type="dxa"/>
            <w:vAlign w:val="center"/>
          </w:tcPr>
          <w:p>
            <w:pPr>
              <w:pStyle w:val="10"/>
            </w:pPr>
            <w:r>
              <w:t>关于批复2023年市级部门预算的通知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享受医疗救助待遇的困难居民人数</w:t>
            </w:r>
          </w:p>
        </w:tc>
        <w:tc>
          <w:tcPr>
            <w:tcW w:w="2891" w:type="dxa"/>
            <w:vAlign w:val="center"/>
          </w:tcPr>
          <w:p>
            <w:pPr>
              <w:pStyle w:val="10"/>
            </w:pPr>
            <w:r>
              <w:t>反映享受医疗救助待遇的人数情况</w:t>
            </w:r>
          </w:p>
        </w:tc>
        <w:tc>
          <w:tcPr>
            <w:tcW w:w="1276" w:type="dxa"/>
            <w:vAlign w:val="center"/>
          </w:tcPr>
          <w:p>
            <w:pPr>
              <w:pStyle w:val="10"/>
            </w:pPr>
            <w:r>
              <w:t>≥7万人</w:t>
            </w:r>
          </w:p>
        </w:tc>
        <w:tc>
          <w:tcPr>
            <w:tcW w:w="1843" w:type="dxa"/>
            <w:vAlign w:val="center"/>
          </w:tcPr>
          <w:p>
            <w:pPr>
              <w:pStyle w:val="10"/>
            </w:pPr>
            <w:r>
              <w:t>历史标准：上一年度医疗救助重点困难群体人数。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享受医疗救助待遇的重点困难群体人数</w:t>
            </w:r>
          </w:p>
        </w:tc>
        <w:tc>
          <w:tcPr>
            <w:tcW w:w="2891" w:type="dxa"/>
            <w:vAlign w:val="center"/>
          </w:tcPr>
          <w:p>
            <w:pPr>
              <w:pStyle w:val="10"/>
            </w:pPr>
            <w:r>
              <w:t>反映享受医疗救助待遇的重点困难群体人数情况</w:t>
            </w:r>
          </w:p>
        </w:tc>
        <w:tc>
          <w:tcPr>
            <w:tcW w:w="1276" w:type="dxa"/>
            <w:vAlign w:val="center"/>
          </w:tcPr>
          <w:p>
            <w:pPr>
              <w:pStyle w:val="10"/>
            </w:pPr>
            <w:r>
              <w:t>≥7万人</w:t>
            </w:r>
          </w:p>
        </w:tc>
        <w:tc>
          <w:tcPr>
            <w:tcW w:w="1843" w:type="dxa"/>
            <w:vAlign w:val="center"/>
          </w:tcPr>
          <w:p>
            <w:pPr>
              <w:pStyle w:val="10"/>
            </w:pPr>
            <w:r>
              <w:t>历史标准：上一年度医疗救助重点困难群体人数。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重点困难群体住院及门诊慢特病年度个人自负医疗费用占总费用比例</w:t>
            </w:r>
          </w:p>
        </w:tc>
        <w:tc>
          <w:tcPr>
            <w:tcW w:w="2891" w:type="dxa"/>
            <w:vAlign w:val="center"/>
          </w:tcPr>
          <w:p>
            <w:pPr>
              <w:pStyle w:val="10"/>
            </w:pPr>
            <w:r>
              <w:t>反映按照规定对重点困难群体住院及门诊慢特病费用给予救助情况</w:t>
            </w:r>
          </w:p>
        </w:tc>
        <w:tc>
          <w:tcPr>
            <w:tcW w:w="1276" w:type="dxa"/>
            <w:vAlign w:val="center"/>
          </w:tcPr>
          <w:p>
            <w:pPr>
              <w:pStyle w:val="10"/>
            </w:pPr>
            <w:r>
              <w:t>≤10%</w:t>
            </w:r>
          </w:p>
        </w:tc>
        <w:tc>
          <w:tcPr>
            <w:tcW w:w="1843" w:type="dxa"/>
            <w:vAlign w:val="center"/>
          </w:tcPr>
          <w:p>
            <w:pPr>
              <w:pStyle w:val="10"/>
            </w:pPr>
            <w:r>
              <w:t>《青岛市人民政府办公厅关于进一步完善困难居民医疗救助制度有关事宜的通知》（青政办发〔2020〕24号）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重点困难群体门诊统筹医疗费个人自负部分占总费用比例</w:t>
            </w:r>
          </w:p>
        </w:tc>
        <w:tc>
          <w:tcPr>
            <w:tcW w:w="2891" w:type="dxa"/>
            <w:vAlign w:val="center"/>
          </w:tcPr>
          <w:p>
            <w:pPr>
              <w:pStyle w:val="10"/>
            </w:pPr>
            <w:r>
              <w:t>反映按照规定对重点困难群体普通门诊费用给予救助情况</w:t>
            </w:r>
          </w:p>
        </w:tc>
        <w:tc>
          <w:tcPr>
            <w:tcW w:w="1276" w:type="dxa"/>
            <w:vAlign w:val="center"/>
          </w:tcPr>
          <w:p>
            <w:pPr>
              <w:pStyle w:val="10"/>
            </w:pPr>
            <w:r>
              <w:t>≤10%</w:t>
            </w:r>
          </w:p>
        </w:tc>
        <w:tc>
          <w:tcPr>
            <w:tcW w:w="1843" w:type="dxa"/>
            <w:vAlign w:val="center"/>
          </w:tcPr>
          <w:p>
            <w:pPr>
              <w:pStyle w:val="10"/>
            </w:pPr>
            <w:r>
              <w:t>《青岛市人民政府办公厅关于进一步完善困难居民医疗救助制度有关事宜的通知》（青政办发〔2020〕24号）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城乡困难居民医疗救助补助工作完成时间</w:t>
            </w:r>
          </w:p>
        </w:tc>
        <w:tc>
          <w:tcPr>
            <w:tcW w:w="2891" w:type="dxa"/>
            <w:vAlign w:val="center"/>
          </w:tcPr>
          <w:p>
            <w:pPr>
              <w:pStyle w:val="10"/>
            </w:pPr>
            <w:r>
              <w:t>反映城乡困难居民医疗救助补助工作完成时间情况</w:t>
            </w:r>
          </w:p>
        </w:tc>
        <w:tc>
          <w:tcPr>
            <w:tcW w:w="1276" w:type="dxa"/>
            <w:vAlign w:val="center"/>
          </w:tcPr>
          <w:p>
            <w:pPr>
              <w:pStyle w:val="10"/>
            </w:pPr>
            <w:r>
              <w:t>12月内</w:t>
            </w:r>
          </w:p>
        </w:tc>
        <w:tc>
          <w:tcPr>
            <w:tcW w:w="1843" w:type="dxa"/>
            <w:vAlign w:val="center"/>
          </w:tcPr>
          <w:p>
            <w:pPr>
              <w:pStyle w:val="10"/>
            </w:pPr>
            <w:r>
              <w:t>《关于进一步完善困难居民医疗救助制度有关事宜的通知》（青政办发〔2020〕24号）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困难群众看病就医报销方便程度</w:t>
            </w:r>
          </w:p>
        </w:tc>
        <w:tc>
          <w:tcPr>
            <w:tcW w:w="2891" w:type="dxa"/>
            <w:vAlign w:val="center"/>
          </w:tcPr>
          <w:p>
            <w:pPr>
              <w:pStyle w:val="10"/>
            </w:pPr>
            <w:r>
              <w:t>反映群众就医报销便捷度提升情况</w:t>
            </w:r>
          </w:p>
        </w:tc>
        <w:tc>
          <w:tcPr>
            <w:tcW w:w="1276" w:type="dxa"/>
            <w:vAlign w:val="center"/>
          </w:tcPr>
          <w:p>
            <w:pPr>
              <w:pStyle w:val="10"/>
            </w:pPr>
            <w:r>
              <w:t>明显提高</w:t>
            </w:r>
          </w:p>
        </w:tc>
        <w:tc>
          <w:tcPr>
            <w:tcW w:w="1843" w:type="dxa"/>
            <w:vAlign w:val="center"/>
          </w:tcPr>
          <w:p>
            <w:pPr>
              <w:pStyle w:val="10"/>
            </w:pPr>
            <w:r>
              <w:t>《中共山东省委、山东省人民政府贯彻落实〈中共中央、国务院关于深化医疗保障制度改革的意见〉的实施意见》（鲁发〔2020〕18号）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多层次医疗保障体系健全性</w:t>
            </w:r>
          </w:p>
        </w:tc>
        <w:tc>
          <w:tcPr>
            <w:tcW w:w="2891" w:type="dxa"/>
            <w:vAlign w:val="center"/>
          </w:tcPr>
          <w:p>
            <w:pPr>
              <w:pStyle w:val="10"/>
            </w:pPr>
            <w:r>
              <w:t>反映进一步完善我市多层次医疗保障体系健全情况</w:t>
            </w:r>
          </w:p>
        </w:tc>
        <w:tc>
          <w:tcPr>
            <w:tcW w:w="1276" w:type="dxa"/>
            <w:vAlign w:val="center"/>
          </w:tcPr>
          <w:p>
            <w:pPr>
              <w:pStyle w:val="10"/>
            </w:pPr>
            <w:r>
              <w:t>健全</w:t>
            </w:r>
          </w:p>
        </w:tc>
        <w:tc>
          <w:tcPr>
            <w:tcW w:w="1843" w:type="dxa"/>
            <w:vAlign w:val="center"/>
          </w:tcPr>
          <w:p>
            <w:pPr>
              <w:pStyle w:val="10"/>
            </w:pPr>
            <w:r>
              <w:t>《中共山东省委、山东省人民政府贯彻落实〈中共中央、国务院关于深化医疗保障制度改革的意见〉的实施意见》（鲁发〔2020〕18号）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困难群众就医负担减轻程度</w:t>
            </w:r>
          </w:p>
        </w:tc>
        <w:tc>
          <w:tcPr>
            <w:tcW w:w="2891" w:type="dxa"/>
            <w:vAlign w:val="center"/>
          </w:tcPr>
          <w:p>
            <w:pPr>
              <w:pStyle w:val="10"/>
            </w:pPr>
            <w:r>
              <w:t>反映有效缓解困难群众就医负担情况</w:t>
            </w:r>
          </w:p>
        </w:tc>
        <w:tc>
          <w:tcPr>
            <w:tcW w:w="1276" w:type="dxa"/>
            <w:vAlign w:val="center"/>
          </w:tcPr>
          <w:p>
            <w:pPr>
              <w:pStyle w:val="10"/>
            </w:pPr>
            <w:r>
              <w:t>有效缓解</w:t>
            </w:r>
          </w:p>
        </w:tc>
        <w:tc>
          <w:tcPr>
            <w:tcW w:w="1843" w:type="dxa"/>
            <w:vAlign w:val="center"/>
          </w:tcPr>
          <w:p>
            <w:pPr>
              <w:pStyle w:val="10"/>
            </w:pPr>
            <w:r>
              <w:t>《中共山东省委、山东省人民政府贯彻落实〈中共中央、国务院关于深化医疗保障制度改革的意见〉的实施意见》（鲁发〔2020〕18号）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参保人员对医保服务满意度</w:t>
            </w:r>
          </w:p>
        </w:tc>
        <w:tc>
          <w:tcPr>
            <w:tcW w:w="2891" w:type="dxa"/>
            <w:vAlign w:val="center"/>
          </w:tcPr>
          <w:p>
            <w:pPr>
              <w:pStyle w:val="10"/>
            </w:pPr>
            <w:r>
              <w:t>反映参保人员对医保服务满意度情况</w:t>
            </w:r>
          </w:p>
        </w:tc>
        <w:tc>
          <w:tcPr>
            <w:tcW w:w="1276" w:type="dxa"/>
            <w:vAlign w:val="center"/>
          </w:tcPr>
          <w:p>
            <w:pPr>
              <w:pStyle w:val="10"/>
            </w:pPr>
            <w:r>
              <w:t>≥90%</w:t>
            </w:r>
          </w:p>
        </w:tc>
        <w:tc>
          <w:tcPr>
            <w:tcW w:w="1843" w:type="dxa"/>
            <w:vAlign w:val="center"/>
          </w:tcPr>
          <w:p>
            <w:pPr>
              <w:pStyle w:val="10"/>
            </w:pPr>
            <w:r>
              <w:t>按文件规定</w:t>
            </w:r>
          </w:p>
        </w:tc>
      </w:tr>
    </w:tbl>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7.就业创业资金</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402004青岛市公共就业和人才服务中心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37020023P44000410008K</w:t>
            </w:r>
          </w:p>
        </w:tc>
        <w:tc>
          <w:tcPr>
            <w:tcW w:w="1587" w:type="dxa"/>
            <w:vAlign w:val="center"/>
          </w:tcPr>
          <w:p>
            <w:pPr>
              <w:pStyle w:val="9"/>
            </w:pPr>
            <w:r>
              <w:t>项目名称</w:t>
            </w:r>
          </w:p>
        </w:tc>
        <w:tc>
          <w:tcPr>
            <w:tcW w:w="4422" w:type="dxa"/>
            <w:gridSpan w:val="3"/>
            <w:vAlign w:val="center"/>
          </w:tcPr>
          <w:p>
            <w:pPr>
              <w:pStyle w:val="10"/>
            </w:pPr>
            <w:r>
              <w:t>创业补贴及创业服务补贴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3997.00</w:t>
            </w:r>
          </w:p>
        </w:tc>
        <w:tc>
          <w:tcPr>
            <w:tcW w:w="1587" w:type="dxa"/>
            <w:vAlign w:val="center"/>
          </w:tcPr>
          <w:p>
            <w:pPr>
              <w:pStyle w:val="9"/>
            </w:pPr>
            <w:r>
              <w:t>其中：财政    资金</w:t>
            </w:r>
          </w:p>
        </w:tc>
        <w:tc>
          <w:tcPr>
            <w:tcW w:w="1304" w:type="dxa"/>
            <w:vAlign w:val="center"/>
          </w:tcPr>
          <w:p>
            <w:pPr>
              <w:pStyle w:val="10"/>
            </w:pPr>
            <w:r>
              <w:t>3997.00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创业补贴及创业服务补贴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3517.30</w:t>
            </w:r>
          </w:p>
        </w:tc>
        <w:tc>
          <w:tcPr>
            <w:tcW w:w="1304" w:type="dxa"/>
            <w:vAlign w:val="center"/>
          </w:tcPr>
          <w:p>
            <w:pPr>
              <w:pStyle w:val="11"/>
            </w:pPr>
            <w:r>
              <w:t>3629.80</w:t>
            </w:r>
          </w:p>
        </w:tc>
        <w:tc>
          <w:tcPr>
            <w:tcW w:w="3118" w:type="dxa"/>
            <w:gridSpan w:val="2"/>
            <w:vAlign w:val="center"/>
          </w:tcPr>
          <w:p>
            <w:pPr>
              <w:pStyle w:val="11"/>
            </w:pPr>
            <w:r>
              <w:t>3997.00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通过实施创业补贴及创业服务补贴，进一步提升全市创业创新活力，带动就业人数增加。</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成本指标</w:t>
            </w:r>
          </w:p>
        </w:tc>
        <w:tc>
          <w:tcPr>
            <w:tcW w:w="1276" w:type="dxa"/>
            <w:vAlign w:val="center"/>
          </w:tcPr>
          <w:p>
            <w:pPr>
              <w:pStyle w:val="10"/>
            </w:pPr>
            <w:r>
              <w:t>社会成本指标</w:t>
            </w:r>
          </w:p>
        </w:tc>
        <w:tc>
          <w:tcPr>
            <w:tcW w:w="1332" w:type="dxa"/>
            <w:vAlign w:val="center"/>
          </w:tcPr>
          <w:p>
            <w:pPr>
              <w:pStyle w:val="10"/>
            </w:pPr>
            <w:r>
              <w:t>组织赢在中国、创在青岛创业大赛运营（含宣传）</w:t>
            </w:r>
          </w:p>
        </w:tc>
        <w:tc>
          <w:tcPr>
            <w:tcW w:w="2891" w:type="dxa"/>
            <w:vAlign w:val="center"/>
          </w:tcPr>
          <w:p>
            <w:pPr>
              <w:pStyle w:val="10"/>
            </w:pPr>
            <w:r>
              <w:t>反映组织赢在中国、创在青岛创业大赛运营（含宣传）</w:t>
            </w:r>
          </w:p>
        </w:tc>
        <w:tc>
          <w:tcPr>
            <w:tcW w:w="1276" w:type="dxa"/>
            <w:vAlign w:val="center"/>
          </w:tcPr>
          <w:p>
            <w:pPr>
              <w:pStyle w:val="10"/>
            </w:pPr>
            <w:r>
              <w:t>≤200万元</w:t>
            </w:r>
          </w:p>
        </w:tc>
        <w:tc>
          <w:tcPr>
            <w:tcW w:w="1843" w:type="dxa"/>
            <w:vAlign w:val="center"/>
          </w:tcPr>
          <w:p>
            <w:pPr>
              <w:pStyle w:val="10"/>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社会成本指标</w:t>
            </w:r>
          </w:p>
        </w:tc>
        <w:tc>
          <w:tcPr>
            <w:tcW w:w="1332" w:type="dxa"/>
            <w:vAlign w:val="center"/>
          </w:tcPr>
          <w:p>
            <w:pPr>
              <w:pStyle w:val="10"/>
            </w:pPr>
            <w:r>
              <w:t>获得创业明星、返乡创业带头人称号的奖励</w:t>
            </w:r>
          </w:p>
        </w:tc>
        <w:tc>
          <w:tcPr>
            <w:tcW w:w="2891" w:type="dxa"/>
            <w:vAlign w:val="center"/>
          </w:tcPr>
          <w:p>
            <w:pPr>
              <w:pStyle w:val="10"/>
            </w:pPr>
            <w:r>
              <w:t>反映获得创业明星、返乡创业带头人称号的奖励</w:t>
            </w:r>
          </w:p>
        </w:tc>
        <w:tc>
          <w:tcPr>
            <w:tcW w:w="1276" w:type="dxa"/>
            <w:vAlign w:val="center"/>
          </w:tcPr>
          <w:p>
            <w:pPr>
              <w:pStyle w:val="10"/>
            </w:pPr>
            <w:r>
              <w:t>≤5万元</w:t>
            </w:r>
          </w:p>
        </w:tc>
        <w:tc>
          <w:tcPr>
            <w:tcW w:w="1843" w:type="dxa"/>
            <w:vAlign w:val="center"/>
          </w:tcPr>
          <w:p>
            <w:pPr>
              <w:pStyle w:val="10"/>
            </w:pPr>
            <w:r>
              <w:t>中共青岛市委关于加快建设创业城市的十条意见(青发【2020】16号)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扶持平台数量</w:t>
            </w:r>
          </w:p>
        </w:tc>
        <w:tc>
          <w:tcPr>
            <w:tcW w:w="2891" w:type="dxa"/>
            <w:vAlign w:val="center"/>
          </w:tcPr>
          <w:p>
            <w:pPr>
              <w:pStyle w:val="10"/>
            </w:pPr>
            <w:r>
              <w:t>反映扶持创业服务平台和孵化平台数量</w:t>
            </w:r>
          </w:p>
        </w:tc>
        <w:tc>
          <w:tcPr>
            <w:tcW w:w="1276" w:type="dxa"/>
            <w:vAlign w:val="center"/>
          </w:tcPr>
          <w:p>
            <w:pPr>
              <w:pStyle w:val="10"/>
            </w:pPr>
            <w:r>
              <w:t>≥7家</w:t>
            </w:r>
          </w:p>
        </w:tc>
        <w:tc>
          <w:tcPr>
            <w:tcW w:w="1843" w:type="dxa"/>
            <w:vAlign w:val="center"/>
          </w:tcPr>
          <w:p>
            <w:pPr>
              <w:pStyle w:val="10"/>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创业活动数量</w:t>
            </w:r>
          </w:p>
        </w:tc>
        <w:tc>
          <w:tcPr>
            <w:tcW w:w="2891" w:type="dxa"/>
            <w:vAlign w:val="center"/>
          </w:tcPr>
          <w:p>
            <w:pPr>
              <w:pStyle w:val="10"/>
            </w:pPr>
            <w:r>
              <w:t>反映创业大赛、创业培训、路演、论坛等创业活动数量</w:t>
            </w:r>
          </w:p>
        </w:tc>
        <w:tc>
          <w:tcPr>
            <w:tcW w:w="1276" w:type="dxa"/>
            <w:vAlign w:val="center"/>
          </w:tcPr>
          <w:p>
            <w:pPr>
              <w:pStyle w:val="10"/>
            </w:pPr>
            <w:r>
              <w:t>≥100场次</w:t>
            </w:r>
          </w:p>
        </w:tc>
        <w:tc>
          <w:tcPr>
            <w:tcW w:w="1843" w:type="dxa"/>
            <w:vAlign w:val="center"/>
          </w:tcPr>
          <w:p>
            <w:pPr>
              <w:pStyle w:val="10"/>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吸引参赛项目</w:t>
            </w:r>
          </w:p>
        </w:tc>
        <w:tc>
          <w:tcPr>
            <w:tcW w:w="2891" w:type="dxa"/>
            <w:vAlign w:val="center"/>
          </w:tcPr>
          <w:p>
            <w:pPr>
              <w:pStyle w:val="10"/>
            </w:pPr>
            <w:r>
              <w:t>反映吸引参赛项目</w:t>
            </w:r>
          </w:p>
        </w:tc>
        <w:tc>
          <w:tcPr>
            <w:tcW w:w="1276" w:type="dxa"/>
            <w:vAlign w:val="center"/>
          </w:tcPr>
          <w:p>
            <w:pPr>
              <w:pStyle w:val="10"/>
            </w:pPr>
            <w:r>
              <w:t>≥100个</w:t>
            </w:r>
          </w:p>
        </w:tc>
        <w:tc>
          <w:tcPr>
            <w:tcW w:w="1843" w:type="dxa"/>
            <w:vAlign w:val="center"/>
          </w:tcPr>
          <w:p>
            <w:pPr>
              <w:pStyle w:val="10"/>
            </w:pPr>
            <w:r>
              <w:t>中共青岛市委关于加快建设创业城市的十条意见(青发【2020】16号)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创业加速营遴选人数</w:t>
            </w:r>
          </w:p>
        </w:tc>
        <w:tc>
          <w:tcPr>
            <w:tcW w:w="2891" w:type="dxa"/>
            <w:vAlign w:val="center"/>
          </w:tcPr>
          <w:p>
            <w:pPr>
              <w:pStyle w:val="10"/>
            </w:pPr>
            <w:r>
              <w:t>反映创业加速营遴选人数</w:t>
            </w:r>
          </w:p>
        </w:tc>
        <w:tc>
          <w:tcPr>
            <w:tcW w:w="1276" w:type="dxa"/>
            <w:vAlign w:val="center"/>
          </w:tcPr>
          <w:p>
            <w:pPr>
              <w:pStyle w:val="10"/>
            </w:pPr>
            <w:r>
              <w:t>≥100人</w:t>
            </w:r>
          </w:p>
        </w:tc>
        <w:tc>
          <w:tcPr>
            <w:tcW w:w="1843" w:type="dxa"/>
            <w:vAlign w:val="center"/>
          </w:tcPr>
          <w:p>
            <w:pPr>
              <w:pStyle w:val="10"/>
            </w:pPr>
            <w:r>
              <w:t>关于强化就业优先政策促进更加充分更高质量就业的通知（青政字[2022]4号）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补助发放准确率</w:t>
            </w:r>
          </w:p>
        </w:tc>
        <w:tc>
          <w:tcPr>
            <w:tcW w:w="2891" w:type="dxa"/>
            <w:vAlign w:val="center"/>
          </w:tcPr>
          <w:p>
            <w:pPr>
              <w:pStyle w:val="10"/>
            </w:pPr>
            <w:r>
              <w:t>反映补助发放准确率</w:t>
            </w:r>
          </w:p>
        </w:tc>
        <w:tc>
          <w:tcPr>
            <w:tcW w:w="1276" w:type="dxa"/>
            <w:vAlign w:val="center"/>
          </w:tcPr>
          <w:p>
            <w:pPr>
              <w:pStyle w:val="10"/>
            </w:pPr>
            <w:r>
              <w:t>100%</w:t>
            </w:r>
          </w:p>
        </w:tc>
        <w:tc>
          <w:tcPr>
            <w:tcW w:w="1843" w:type="dxa"/>
            <w:vAlign w:val="center"/>
          </w:tcPr>
          <w:p>
            <w:pPr>
              <w:pStyle w:val="10"/>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资金拨付准确率</w:t>
            </w:r>
          </w:p>
        </w:tc>
        <w:tc>
          <w:tcPr>
            <w:tcW w:w="2891" w:type="dxa"/>
            <w:vAlign w:val="center"/>
          </w:tcPr>
          <w:p>
            <w:pPr>
              <w:pStyle w:val="10"/>
            </w:pPr>
            <w:r>
              <w:t>反映资金拨付准确率</w:t>
            </w:r>
          </w:p>
        </w:tc>
        <w:tc>
          <w:tcPr>
            <w:tcW w:w="1276" w:type="dxa"/>
            <w:vAlign w:val="center"/>
          </w:tcPr>
          <w:p>
            <w:pPr>
              <w:pStyle w:val="10"/>
            </w:pPr>
            <w:r>
              <w:t>100%</w:t>
            </w:r>
          </w:p>
        </w:tc>
        <w:tc>
          <w:tcPr>
            <w:tcW w:w="1843" w:type="dxa"/>
            <w:vAlign w:val="center"/>
          </w:tcPr>
          <w:p>
            <w:pPr>
              <w:pStyle w:val="10"/>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获得称号数量</w:t>
            </w:r>
          </w:p>
        </w:tc>
        <w:tc>
          <w:tcPr>
            <w:tcW w:w="2891" w:type="dxa"/>
            <w:vAlign w:val="center"/>
          </w:tcPr>
          <w:p>
            <w:pPr>
              <w:pStyle w:val="10"/>
            </w:pPr>
            <w:r>
              <w:t>反映获得创业明星、返乡创业带头人称号</w:t>
            </w:r>
          </w:p>
        </w:tc>
        <w:tc>
          <w:tcPr>
            <w:tcW w:w="1276" w:type="dxa"/>
            <w:vAlign w:val="center"/>
          </w:tcPr>
          <w:p>
            <w:pPr>
              <w:pStyle w:val="10"/>
            </w:pPr>
            <w:r>
              <w:t>≥20个</w:t>
            </w:r>
          </w:p>
        </w:tc>
        <w:tc>
          <w:tcPr>
            <w:tcW w:w="1843" w:type="dxa"/>
            <w:vAlign w:val="center"/>
          </w:tcPr>
          <w:p>
            <w:pPr>
              <w:pStyle w:val="10"/>
            </w:pPr>
            <w:r>
              <w:t>关于印发青岛市“十四五”促进就业规划的通知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资金拨付及时率</w:t>
            </w:r>
          </w:p>
        </w:tc>
        <w:tc>
          <w:tcPr>
            <w:tcW w:w="2891" w:type="dxa"/>
            <w:vAlign w:val="center"/>
          </w:tcPr>
          <w:p>
            <w:pPr>
              <w:pStyle w:val="10"/>
            </w:pPr>
            <w:r>
              <w:t>反映资金拨付及时率</w:t>
            </w:r>
          </w:p>
        </w:tc>
        <w:tc>
          <w:tcPr>
            <w:tcW w:w="1276" w:type="dxa"/>
            <w:vAlign w:val="center"/>
          </w:tcPr>
          <w:p>
            <w:pPr>
              <w:pStyle w:val="10"/>
            </w:pPr>
            <w:r>
              <w:t>100%</w:t>
            </w:r>
          </w:p>
        </w:tc>
        <w:tc>
          <w:tcPr>
            <w:tcW w:w="1843" w:type="dxa"/>
            <w:vAlign w:val="center"/>
          </w:tcPr>
          <w:p>
            <w:pPr>
              <w:pStyle w:val="10"/>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全市创业创新活力</w:t>
            </w:r>
          </w:p>
        </w:tc>
        <w:tc>
          <w:tcPr>
            <w:tcW w:w="2891" w:type="dxa"/>
            <w:vAlign w:val="center"/>
          </w:tcPr>
          <w:p>
            <w:pPr>
              <w:pStyle w:val="10"/>
            </w:pPr>
            <w:r>
              <w:t>反映全市创业创新活力</w:t>
            </w:r>
          </w:p>
        </w:tc>
        <w:tc>
          <w:tcPr>
            <w:tcW w:w="1276" w:type="dxa"/>
            <w:vAlign w:val="center"/>
          </w:tcPr>
          <w:p>
            <w:pPr>
              <w:pStyle w:val="10"/>
            </w:pPr>
            <w:r>
              <w:t>增强</w:t>
            </w:r>
          </w:p>
        </w:tc>
        <w:tc>
          <w:tcPr>
            <w:tcW w:w="1843" w:type="dxa"/>
            <w:vAlign w:val="center"/>
          </w:tcPr>
          <w:p>
            <w:pPr>
              <w:pStyle w:val="10"/>
            </w:pPr>
            <w:r>
              <w:t>关于强化就业优先政策促进更加充分更高质量就业的通知（青政字[2022]4号）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入驻平台满意度</w:t>
            </w:r>
          </w:p>
        </w:tc>
        <w:tc>
          <w:tcPr>
            <w:tcW w:w="2891" w:type="dxa"/>
            <w:vAlign w:val="center"/>
          </w:tcPr>
          <w:p>
            <w:pPr>
              <w:pStyle w:val="10"/>
            </w:pPr>
            <w:r>
              <w:t>反映入驻平台满意度</w:t>
            </w:r>
          </w:p>
        </w:tc>
        <w:tc>
          <w:tcPr>
            <w:tcW w:w="1276" w:type="dxa"/>
            <w:vAlign w:val="center"/>
          </w:tcPr>
          <w:p>
            <w:pPr>
              <w:pStyle w:val="10"/>
            </w:pPr>
            <w:r>
              <w:t>≥85%</w:t>
            </w:r>
          </w:p>
        </w:tc>
        <w:tc>
          <w:tcPr>
            <w:tcW w:w="1843" w:type="dxa"/>
            <w:vAlign w:val="center"/>
          </w:tcPr>
          <w:p>
            <w:pPr>
              <w:pStyle w:val="10"/>
            </w:pPr>
            <w:r>
              <w:t>合同</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402004青岛市公共就业和人才服务中心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37020023P440004100070</w:t>
            </w:r>
          </w:p>
        </w:tc>
        <w:tc>
          <w:tcPr>
            <w:tcW w:w="1587" w:type="dxa"/>
            <w:vAlign w:val="center"/>
          </w:tcPr>
          <w:p>
            <w:pPr>
              <w:pStyle w:val="9"/>
            </w:pPr>
            <w:r>
              <w:t>项目名称</w:t>
            </w:r>
          </w:p>
        </w:tc>
        <w:tc>
          <w:tcPr>
            <w:tcW w:w="4422" w:type="dxa"/>
            <w:gridSpan w:val="3"/>
            <w:vAlign w:val="center"/>
          </w:tcPr>
          <w:p>
            <w:pPr>
              <w:pStyle w:val="10"/>
            </w:pPr>
            <w:r>
              <w:t>创业孵化载体奖补及补助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2913.00</w:t>
            </w:r>
          </w:p>
        </w:tc>
        <w:tc>
          <w:tcPr>
            <w:tcW w:w="1587" w:type="dxa"/>
            <w:vAlign w:val="center"/>
          </w:tcPr>
          <w:p>
            <w:pPr>
              <w:pStyle w:val="9"/>
            </w:pPr>
            <w:r>
              <w:t>其中：财政    资金</w:t>
            </w:r>
          </w:p>
        </w:tc>
        <w:tc>
          <w:tcPr>
            <w:tcW w:w="1304" w:type="dxa"/>
            <w:vAlign w:val="center"/>
          </w:tcPr>
          <w:p>
            <w:pPr>
              <w:pStyle w:val="10"/>
            </w:pPr>
            <w:r>
              <w:t>2913.00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用于创业孵化载体补助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4.50</w:t>
            </w:r>
          </w:p>
        </w:tc>
        <w:tc>
          <w:tcPr>
            <w:tcW w:w="1587" w:type="dxa"/>
            <w:vAlign w:val="center"/>
          </w:tcPr>
          <w:p>
            <w:pPr>
              <w:pStyle w:val="11"/>
            </w:pPr>
            <w:r>
              <w:t>1444.26</w:t>
            </w:r>
          </w:p>
        </w:tc>
        <w:tc>
          <w:tcPr>
            <w:tcW w:w="1304" w:type="dxa"/>
            <w:vAlign w:val="center"/>
          </w:tcPr>
          <w:p>
            <w:pPr>
              <w:pStyle w:val="11"/>
            </w:pPr>
            <w:r>
              <w:t>1744.26</w:t>
            </w:r>
          </w:p>
        </w:tc>
        <w:tc>
          <w:tcPr>
            <w:tcW w:w="3118" w:type="dxa"/>
            <w:gridSpan w:val="2"/>
            <w:vAlign w:val="center"/>
          </w:tcPr>
          <w:p>
            <w:pPr>
              <w:pStyle w:val="11"/>
            </w:pPr>
            <w:r>
              <w:t>2913.00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通过创业福户籍地（园区）扶持孵化创业实体480户以上；带动就业2100人以上，进一步推动园区高质量发展，为园区创业企业和人才提供全方位创业服务。</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rPr>
                <w:rFonts w:hint="eastAsia"/>
                <w:lang w:eastAsia="zh-CN"/>
              </w:rPr>
              <w:t>创业孵化载体奖补</w:t>
            </w:r>
            <w:r>
              <w:t>项目预算控制数</w:t>
            </w:r>
          </w:p>
        </w:tc>
        <w:tc>
          <w:tcPr>
            <w:tcW w:w="2891" w:type="dxa"/>
            <w:vAlign w:val="center"/>
          </w:tcPr>
          <w:p>
            <w:pPr>
              <w:pStyle w:val="10"/>
            </w:pPr>
            <w:r>
              <w:t>反映项目资金投入成本</w:t>
            </w:r>
          </w:p>
        </w:tc>
        <w:tc>
          <w:tcPr>
            <w:tcW w:w="1276" w:type="dxa"/>
            <w:vAlign w:val="center"/>
          </w:tcPr>
          <w:p>
            <w:pPr>
              <w:pStyle w:val="10"/>
            </w:pPr>
            <w:r>
              <w:t>≤2913万元</w:t>
            </w:r>
          </w:p>
        </w:tc>
        <w:tc>
          <w:tcPr>
            <w:tcW w:w="1843" w:type="dxa"/>
            <w:vAlign w:val="center"/>
          </w:tcPr>
          <w:p>
            <w:pPr>
              <w:pStyle w:val="10"/>
            </w:pPr>
            <w:r>
              <w:t>《关于进一步简化流程优化服务加快落实就业创业政策有关问题的通知》（青人社规〔2019〕11号）；《青岛市高校毕业生孵化基地管理办法》（青人社规〔2020〕1号）</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时效指标</w:t>
            </w:r>
          </w:p>
        </w:tc>
        <w:tc>
          <w:tcPr>
            <w:tcW w:w="1332" w:type="dxa"/>
            <w:vAlign w:val="center"/>
          </w:tcPr>
          <w:p>
            <w:pPr>
              <w:pStyle w:val="10"/>
              <w:rPr>
                <w:lang w:eastAsia="zh-CN"/>
              </w:rPr>
            </w:pPr>
            <w:r>
              <w:t>项目完成</w:t>
            </w:r>
            <w:r>
              <w:rPr>
                <w:rFonts w:hint="eastAsia"/>
                <w:lang w:eastAsia="zh-CN"/>
              </w:rPr>
              <w:t>及时率</w:t>
            </w:r>
          </w:p>
        </w:tc>
        <w:tc>
          <w:tcPr>
            <w:tcW w:w="2891" w:type="dxa"/>
            <w:vAlign w:val="center"/>
          </w:tcPr>
          <w:p>
            <w:pPr>
              <w:pStyle w:val="10"/>
            </w:pPr>
            <w:r>
              <w:t>反映项目实施周期</w:t>
            </w:r>
          </w:p>
        </w:tc>
        <w:tc>
          <w:tcPr>
            <w:tcW w:w="1276" w:type="dxa"/>
            <w:vAlign w:val="center"/>
          </w:tcPr>
          <w:p>
            <w:pPr>
              <w:pStyle w:val="10"/>
              <w:rPr>
                <w:lang w:eastAsia="zh-CN"/>
              </w:rPr>
            </w:pPr>
            <w:r>
              <w:t>1</w:t>
            </w:r>
            <w:r>
              <w:rPr>
                <w:rFonts w:hint="eastAsia"/>
                <w:lang w:eastAsia="zh-CN"/>
              </w:rPr>
              <w:t>00%</w:t>
            </w:r>
          </w:p>
        </w:tc>
        <w:tc>
          <w:tcPr>
            <w:tcW w:w="1843" w:type="dxa"/>
            <w:vAlign w:val="center"/>
          </w:tcPr>
          <w:p>
            <w:pPr>
              <w:pStyle w:val="10"/>
            </w:pPr>
            <w:r>
              <w:t>《关于进一步简化流程优化服务加快落实就业创业政策有关问题的通知》（青人社规〔2019〕11号）；《关于落实保居民就业工作方案有关就业创业政策的通知》（青人社发〔2020〕15号）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发放创业孵化补贴的创业孵化基地园区数量</w:t>
            </w:r>
          </w:p>
        </w:tc>
        <w:tc>
          <w:tcPr>
            <w:tcW w:w="2891" w:type="dxa"/>
            <w:vAlign w:val="center"/>
          </w:tcPr>
          <w:p>
            <w:pPr>
              <w:pStyle w:val="10"/>
            </w:pPr>
            <w:r>
              <w:t>反映发放创业孵化补贴资金的创业孵化基地园区数量</w:t>
            </w:r>
          </w:p>
        </w:tc>
        <w:tc>
          <w:tcPr>
            <w:tcW w:w="1276" w:type="dxa"/>
            <w:vAlign w:val="center"/>
          </w:tcPr>
          <w:p>
            <w:pPr>
              <w:pStyle w:val="10"/>
            </w:pPr>
            <w:r>
              <w:t>≤15家次</w:t>
            </w:r>
          </w:p>
        </w:tc>
        <w:tc>
          <w:tcPr>
            <w:tcW w:w="1843" w:type="dxa"/>
            <w:vAlign w:val="center"/>
          </w:tcPr>
          <w:p>
            <w:pPr>
              <w:pStyle w:val="10"/>
            </w:pPr>
            <w:r>
              <w:t>《关于进一步简化流程优化服务加快落实就业创业政策有关问题的通知》（青人社规〔2019〕11号）；《关于落实保居民就业工作方案有关就业创业政策的通知》（青人社发〔2020〕15号）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创业孵化补贴资金的发放准确率</w:t>
            </w:r>
          </w:p>
        </w:tc>
        <w:tc>
          <w:tcPr>
            <w:tcW w:w="2891" w:type="dxa"/>
            <w:vAlign w:val="center"/>
          </w:tcPr>
          <w:p>
            <w:pPr>
              <w:pStyle w:val="10"/>
            </w:pPr>
            <w:r>
              <w:t>反映补贴资金发放的准确率</w:t>
            </w:r>
          </w:p>
        </w:tc>
        <w:tc>
          <w:tcPr>
            <w:tcW w:w="1276" w:type="dxa"/>
            <w:vAlign w:val="center"/>
          </w:tcPr>
          <w:p>
            <w:pPr>
              <w:pStyle w:val="10"/>
            </w:pPr>
            <w:r>
              <w:t>100%</w:t>
            </w:r>
          </w:p>
        </w:tc>
        <w:tc>
          <w:tcPr>
            <w:tcW w:w="1843" w:type="dxa"/>
            <w:vAlign w:val="center"/>
          </w:tcPr>
          <w:p>
            <w:pPr>
              <w:pStyle w:val="10"/>
            </w:pPr>
            <w:r>
              <w:t>《关于进一步简化流程优化服务加快落实就业创业政策有关问题的通知》（青人社规〔2019〕11号）；《关于落实保居民就业工作方案有关就业创业政策的通知》（青人社发〔2020〕15号）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rPr>
                <w:lang w:eastAsia="zh-CN"/>
              </w:rPr>
            </w:pPr>
            <w:r>
              <w:rPr>
                <w:rFonts w:hint="eastAsia"/>
                <w:lang w:eastAsia="zh-CN"/>
              </w:rPr>
              <w:t>质量指标</w:t>
            </w:r>
          </w:p>
        </w:tc>
        <w:tc>
          <w:tcPr>
            <w:tcW w:w="1332" w:type="dxa"/>
            <w:vAlign w:val="center"/>
          </w:tcPr>
          <w:p>
            <w:pPr>
              <w:pStyle w:val="10"/>
              <w:rPr>
                <w:lang w:eastAsia="zh-CN"/>
              </w:rPr>
            </w:pPr>
            <w:r>
              <w:t>创业孵化补贴资金的发放</w:t>
            </w:r>
            <w:r>
              <w:rPr>
                <w:rFonts w:hint="eastAsia"/>
                <w:lang w:eastAsia="zh-CN"/>
              </w:rPr>
              <w:t>覆盖率</w:t>
            </w:r>
          </w:p>
        </w:tc>
        <w:tc>
          <w:tcPr>
            <w:tcW w:w="2891" w:type="dxa"/>
            <w:vAlign w:val="center"/>
          </w:tcPr>
          <w:p>
            <w:pPr>
              <w:pStyle w:val="10"/>
            </w:pPr>
            <w:r>
              <w:rPr>
                <w:rFonts w:hint="eastAsia"/>
                <w:lang w:eastAsia="zh-CN"/>
              </w:rPr>
              <w:t>反映</w:t>
            </w:r>
            <w:r>
              <w:t>创业孵化补贴资金的发放</w:t>
            </w:r>
            <w:r>
              <w:rPr>
                <w:rFonts w:hint="eastAsia"/>
                <w:lang w:eastAsia="zh-CN"/>
              </w:rPr>
              <w:t>覆盖率</w:t>
            </w:r>
          </w:p>
        </w:tc>
        <w:tc>
          <w:tcPr>
            <w:tcW w:w="1276" w:type="dxa"/>
            <w:vAlign w:val="center"/>
          </w:tcPr>
          <w:p>
            <w:pPr>
              <w:pStyle w:val="10"/>
              <w:rPr>
                <w:lang w:eastAsia="zh-CN"/>
              </w:rPr>
            </w:pPr>
            <w:r>
              <w:rPr>
                <w:rFonts w:hint="eastAsia"/>
                <w:lang w:eastAsia="zh-CN"/>
              </w:rPr>
              <w:t>100%</w:t>
            </w:r>
          </w:p>
        </w:tc>
        <w:tc>
          <w:tcPr>
            <w:tcW w:w="1843" w:type="dxa"/>
            <w:vAlign w:val="center"/>
          </w:tcPr>
          <w:p>
            <w:pPr>
              <w:pStyle w:val="10"/>
            </w:pPr>
            <w:r>
              <w:t>《关于进一步简化流程优化服务加快落实就业创业政策有关问题的通知》（青人社规〔2019〕11号）；《关于落实保居民就业工作方案有关就业创业政策的通知》（青人社发〔2020〕15号）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扶持孵化创业实体</w:t>
            </w:r>
          </w:p>
        </w:tc>
        <w:tc>
          <w:tcPr>
            <w:tcW w:w="2891" w:type="dxa"/>
            <w:vAlign w:val="center"/>
          </w:tcPr>
          <w:p>
            <w:pPr>
              <w:pStyle w:val="10"/>
            </w:pPr>
            <w:r>
              <w:t>反映扶持孵化创业实体</w:t>
            </w:r>
          </w:p>
        </w:tc>
        <w:tc>
          <w:tcPr>
            <w:tcW w:w="1276" w:type="dxa"/>
            <w:vAlign w:val="center"/>
          </w:tcPr>
          <w:p>
            <w:pPr>
              <w:pStyle w:val="10"/>
            </w:pPr>
            <w:r>
              <w:t>≥480户</w:t>
            </w:r>
          </w:p>
        </w:tc>
        <w:tc>
          <w:tcPr>
            <w:tcW w:w="1843" w:type="dxa"/>
            <w:vAlign w:val="center"/>
          </w:tcPr>
          <w:p>
            <w:pPr>
              <w:pStyle w:val="10"/>
            </w:pPr>
            <w:r>
              <w:t>《青岛高层次人才创业中心管理办法》（青人社规〔2020〕1号）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带动就业人数</w:t>
            </w:r>
          </w:p>
        </w:tc>
        <w:tc>
          <w:tcPr>
            <w:tcW w:w="2891" w:type="dxa"/>
            <w:vAlign w:val="center"/>
          </w:tcPr>
          <w:p>
            <w:pPr>
              <w:pStyle w:val="10"/>
            </w:pPr>
            <w:r>
              <w:t>反映带动就业人数</w:t>
            </w:r>
          </w:p>
        </w:tc>
        <w:tc>
          <w:tcPr>
            <w:tcW w:w="1276" w:type="dxa"/>
            <w:vAlign w:val="center"/>
          </w:tcPr>
          <w:p>
            <w:pPr>
              <w:pStyle w:val="10"/>
            </w:pPr>
            <w:r>
              <w:t>≥2100人</w:t>
            </w:r>
          </w:p>
        </w:tc>
        <w:tc>
          <w:tcPr>
            <w:tcW w:w="1843" w:type="dxa"/>
            <w:vAlign w:val="center"/>
          </w:tcPr>
          <w:p>
            <w:pPr>
              <w:pStyle w:val="10"/>
            </w:pPr>
            <w:r>
              <w:t>《关于进一步简化流程优化服务加快落实就业创业政策有关问题的通知》（青人社规〔2019〕11号）；《关于落实保居民就业工作方案有关就业创业政策的通知》（青人社发〔2020〕15号）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创业孵化基地（园区）满意度</w:t>
            </w:r>
          </w:p>
        </w:tc>
        <w:tc>
          <w:tcPr>
            <w:tcW w:w="2891" w:type="dxa"/>
            <w:vAlign w:val="center"/>
          </w:tcPr>
          <w:p>
            <w:pPr>
              <w:pStyle w:val="10"/>
            </w:pPr>
            <w:r>
              <w:t>反映创业孵化基地（园区）满意度</w:t>
            </w:r>
          </w:p>
        </w:tc>
        <w:tc>
          <w:tcPr>
            <w:tcW w:w="1276" w:type="dxa"/>
            <w:vAlign w:val="center"/>
          </w:tcPr>
          <w:p>
            <w:pPr>
              <w:pStyle w:val="10"/>
            </w:pPr>
            <w:r>
              <w:t>≥90%</w:t>
            </w:r>
          </w:p>
        </w:tc>
        <w:tc>
          <w:tcPr>
            <w:tcW w:w="1843" w:type="dxa"/>
            <w:vAlign w:val="center"/>
          </w:tcPr>
          <w:p>
            <w:pPr>
              <w:pStyle w:val="10"/>
            </w:pPr>
            <w:r>
              <w:t>《关于进一步简化流程优化服务加快落实就业创业政策有关问题的通知》（青人社规〔2019〕11号）；《关于落实保居民就业工作方案有关就业创业政策的通知》（青人社发〔2020〕15号）</w:t>
            </w:r>
          </w:p>
        </w:tc>
      </w:tr>
    </w:tbl>
    <w:p>
      <w:pPr>
        <w:sectPr>
          <w:pgSz w:w="11900" w:h="16840"/>
          <w:pgMar w:top="1984" w:right="1304" w:bottom="1134" w:left="1304" w:header="720" w:footer="720" w:gutter="0"/>
          <w:pgNumType w:fmt="numberInDash"/>
          <w:cols w:space="720" w:num="1"/>
        </w:sectPr>
      </w:pPr>
    </w:p>
    <w:p>
      <w:pPr>
        <w:jc w:val="center"/>
      </w:pPr>
      <w:r>
        <w:rPr>
          <w:rFonts w:ascii="方正仿宋_GBK" w:hAnsi="方正仿宋_GBK" w:eastAsia="方正仿宋_GBK" w:cs="方正仿宋_GBK"/>
          <w:color w:val="000000"/>
          <w:sz w:val="2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tc>
        <w:tc>
          <w:tcPr>
            <w:tcW w:w="1276" w:type="dxa"/>
            <w:vAlign w:val="center"/>
          </w:tcPr>
          <w:p>
            <w:pPr>
              <w:pStyle w:val="10"/>
            </w:pPr>
            <w:r>
              <w:t>时效指标</w:t>
            </w:r>
          </w:p>
        </w:tc>
        <w:tc>
          <w:tcPr>
            <w:tcW w:w="1332" w:type="dxa"/>
            <w:vAlign w:val="center"/>
          </w:tcPr>
          <w:p>
            <w:pPr>
              <w:pStyle w:val="10"/>
              <w:rPr>
                <w:lang w:eastAsia="zh-CN"/>
              </w:rPr>
            </w:pPr>
            <w:r>
              <w:t>经费审核发放</w:t>
            </w:r>
            <w:r>
              <w:rPr>
                <w:rFonts w:hint="eastAsia"/>
                <w:lang w:eastAsia="zh-CN"/>
              </w:rPr>
              <w:t>及时率</w:t>
            </w:r>
          </w:p>
        </w:tc>
        <w:tc>
          <w:tcPr>
            <w:tcW w:w="2891" w:type="dxa"/>
            <w:vAlign w:val="center"/>
          </w:tcPr>
          <w:p>
            <w:pPr>
              <w:pStyle w:val="10"/>
            </w:pPr>
            <w:r>
              <w:t>反映经费审核发放时间</w:t>
            </w:r>
          </w:p>
        </w:tc>
        <w:tc>
          <w:tcPr>
            <w:tcW w:w="1276" w:type="dxa"/>
            <w:vAlign w:val="center"/>
          </w:tcPr>
          <w:p>
            <w:pPr>
              <w:pStyle w:val="10"/>
              <w:rPr>
                <w:lang w:eastAsia="zh-CN"/>
              </w:rPr>
            </w:pPr>
            <w:r>
              <w:t>1</w:t>
            </w:r>
            <w:r>
              <w:rPr>
                <w:rFonts w:hint="eastAsia"/>
                <w:lang w:eastAsia="zh-CN"/>
              </w:rPr>
              <w:t>00%</w:t>
            </w:r>
          </w:p>
        </w:tc>
        <w:tc>
          <w:tcPr>
            <w:tcW w:w="1843" w:type="dxa"/>
            <w:vAlign w:val="center"/>
          </w:tcPr>
          <w:p>
            <w:pPr>
              <w:pStyle w:val="10"/>
            </w:pPr>
            <w:r>
              <w:t>（青人社函〔2021〕47号、青人社发〔2022〕13号）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强化引进培养顶尖人才</w:t>
            </w:r>
          </w:p>
          <w:p>
            <w:pPr>
              <w:pStyle w:val="10"/>
            </w:pPr>
            <w:r>
              <w:t>创新创业聚集效应</w:t>
            </w:r>
          </w:p>
        </w:tc>
        <w:tc>
          <w:tcPr>
            <w:tcW w:w="2891" w:type="dxa"/>
            <w:vAlign w:val="center"/>
          </w:tcPr>
          <w:p>
            <w:pPr>
              <w:pStyle w:val="10"/>
            </w:pPr>
            <w:r>
              <w:t>反映强化引进培养顶尖人才创新创业聚集效应情况</w:t>
            </w:r>
          </w:p>
        </w:tc>
        <w:tc>
          <w:tcPr>
            <w:tcW w:w="1276" w:type="dxa"/>
            <w:vAlign w:val="center"/>
          </w:tcPr>
          <w:p>
            <w:pPr>
              <w:pStyle w:val="10"/>
            </w:pPr>
            <w:r>
              <w:t>100%</w:t>
            </w:r>
          </w:p>
        </w:tc>
        <w:tc>
          <w:tcPr>
            <w:tcW w:w="1843" w:type="dxa"/>
            <w:vAlign w:val="center"/>
          </w:tcPr>
          <w:p>
            <w:pPr>
              <w:pStyle w:val="10"/>
            </w:pPr>
            <w:r>
              <w:t>（青人社函〔2021〕47号、青人社发〔2022〕13号）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创办企业项目成果转化效益</w:t>
            </w:r>
          </w:p>
        </w:tc>
        <w:tc>
          <w:tcPr>
            <w:tcW w:w="2891" w:type="dxa"/>
            <w:vAlign w:val="center"/>
          </w:tcPr>
          <w:p>
            <w:pPr>
              <w:pStyle w:val="10"/>
            </w:pPr>
            <w:r>
              <w:t>反映创办企业项目成果转化效益情况</w:t>
            </w:r>
          </w:p>
        </w:tc>
        <w:tc>
          <w:tcPr>
            <w:tcW w:w="1276" w:type="dxa"/>
            <w:vAlign w:val="center"/>
          </w:tcPr>
          <w:p>
            <w:pPr>
              <w:pStyle w:val="10"/>
            </w:pPr>
            <w:r>
              <w:t>100%</w:t>
            </w:r>
          </w:p>
        </w:tc>
        <w:tc>
          <w:tcPr>
            <w:tcW w:w="1843" w:type="dxa"/>
            <w:vAlign w:val="center"/>
          </w:tcPr>
          <w:p>
            <w:pPr>
              <w:pStyle w:val="10"/>
            </w:pPr>
            <w:r>
              <w:t>（青人社函〔2021〕47号、青人社发〔2022〕13号）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发挥顶尖人才引领创新创业作用</w:t>
            </w:r>
          </w:p>
        </w:tc>
        <w:tc>
          <w:tcPr>
            <w:tcW w:w="2891" w:type="dxa"/>
            <w:vAlign w:val="center"/>
          </w:tcPr>
          <w:p>
            <w:pPr>
              <w:pStyle w:val="10"/>
            </w:pPr>
            <w:r>
              <w:t>反映发挥顶尖人才引领创新创业作用情况</w:t>
            </w:r>
          </w:p>
        </w:tc>
        <w:tc>
          <w:tcPr>
            <w:tcW w:w="1276" w:type="dxa"/>
            <w:vAlign w:val="center"/>
          </w:tcPr>
          <w:p>
            <w:pPr>
              <w:pStyle w:val="10"/>
              <w:rPr>
                <w:lang w:eastAsia="zh-CN"/>
              </w:rPr>
            </w:pPr>
            <w:r>
              <w:rPr>
                <w:rFonts w:hint="eastAsia"/>
                <w:lang w:eastAsia="zh-CN"/>
              </w:rPr>
              <w:t>效果明显</w:t>
            </w:r>
          </w:p>
        </w:tc>
        <w:tc>
          <w:tcPr>
            <w:tcW w:w="1843" w:type="dxa"/>
            <w:vAlign w:val="center"/>
          </w:tcPr>
          <w:p>
            <w:pPr>
              <w:pStyle w:val="10"/>
            </w:pPr>
            <w:r>
              <w:t>（青人社函〔2021〕47号、青人社发〔2022〕13号）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用人单位和人才对资助满意</w:t>
            </w:r>
          </w:p>
        </w:tc>
        <w:tc>
          <w:tcPr>
            <w:tcW w:w="2891" w:type="dxa"/>
            <w:vAlign w:val="center"/>
          </w:tcPr>
          <w:p>
            <w:pPr>
              <w:pStyle w:val="10"/>
            </w:pPr>
            <w:r>
              <w:t>反映用人单位和人才对资助满意情况</w:t>
            </w:r>
          </w:p>
        </w:tc>
        <w:tc>
          <w:tcPr>
            <w:tcW w:w="1276" w:type="dxa"/>
            <w:vAlign w:val="center"/>
          </w:tcPr>
          <w:p>
            <w:pPr>
              <w:pStyle w:val="10"/>
            </w:pPr>
            <w:r>
              <w:t>≥95%</w:t>
            </w:r>
          </w:p>
        </w:tc>
        <w:tc>
          <w:tcPr>
            <w:tcW w:w="1843" w:type="dxa"/>
            <w:vAlign w:val="center"/>
          </w:tcPr>
          <w:p>
            <w:pPr>
              <w:pStyle w:val="10"/>
            </w:pPr>
            <w:r>
              <w:t>（青人社函〔2021〕47号、青人社发〔2022〕13号）</w:t>
            </w:r>
          </w:p>
        </w:tc>
      </w:tr>
    </w:tbl>
    <w:p>
      <w:pPr>
        <w:numPr>
          <w:ilvl w:val="0"/>
          <w:numId w:val="0"/>
        </w:numPr>
        <w:ind w:leftChars="0"/>
        <w:rPr>
          <w:rFonts w:hint="default" w:ascii="黑体" w:hAnsi="黑体" w:eastAsia="黑体" w:cs="黑体"/>
          <w:sz w:val="32"/>
          <w:szCs w:val="32"/>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8.保障性安居工程</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602001青岛市住房和城乡建设局本级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37020023P460010100069</w:t>
            </w:r>
          </w:p>
        </w:tc>
        <w:tc>
          <w:tcPr>
            <w:tcW w:w="1587" w:type="dxa"/>
            <w:vAlign w:val="center"/>
          </w:tcPr>
          <w:p>
            <w:pPr>
              <w:pStyle w:val="9"/>
            </w:pPr>
            <w:r>
              <w:t>项目名称</w:t>
            </w:r>
          </w:p>
        </w:tc>
        <w:tc>
          <w:tcPr>
            <w:tcW w:w="4422" w:type="dxa"/>
            <w:gridSpan w:val="3"/>
            <w:vAlign w:val="center"/>
          </w:tcPr>
          <w:p>
            <w:pPr>
              <w:pStyle w:val="10"/>
            </w:pPr>
            <w:r>
              <w:t>公租房后期运营管理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3955.00</w:t>
            </w:r>
          </w:p>
        </w:tc>
        <w:tc>
          <w:tcPr>
            <w:tcW w:w="1587" w:type="dxa"/>
            <w:vAlign w:val="center"/>
          </w:tcPr>
          <w:p>
            <w:pPr>
              <w:pStyle w:val="9"/>
            </w:pPr>
            <w:r>
              <w:t>其中：财政    资金</w:t>
            </w:r>
          </w:p>
        </w:tc>
        <w:tc>
          <w:tcPr>
            <w:tcW w:w="1304" w:type="dxa"/>
            <w:vAlign w:val="center"/>
          </w:tcPr>
          <w:p>
            <w:pPr>
              <w:pStyle w:val="10"/>
            </w:pPr>
            <w:r>
              <w:t>3955.00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2023年公租房后期运营服务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1977.50</w:t>
            </w:r>
          </w:p>
        </w:tc>
        <w:tc>
          <w:tcPr>
            <w:tcW w:w="1304" w:type="dxa"/>
            <w:vAlign w:val="center"/>
          </w:tcPr>
          <w:p>
            <w:pPr>
              <w:pStyle w:val="11"/>
            </w:pPr>
            <w:r>
              <w:t xml:space="preserve"> </w:t>
            </w:r>
          </w:p>
        </w:tc>
        <w:tc>
          <w:tcPr>
            <w:tcW w:w="3118" w:type="dxa"/>
            <w:gridSpan w:val="2"/>
            <w:vAlign w:val="center"/>
          </w:tcPr>
          <w:p>
            <w:pPr>
              <w:pStyle w:val="11"/>
            </w:pPr>
            <w:r>
              <w:t>3955.00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通过对公租房的物业管理、零小修维护、发放物业补贴等使低收入人群提升幸福度。</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公租房后期运营管理项目成本控制数</w:t>
            </w:r>
          </w:p>
        </w:tc>
        <w:tc>
          <w:tcPr>
            <w:tcW w:w="2891" w:type="dxa"/>
            <w:vAlign w:val="center"/>
          </w:tcPr>
          <w:p>
            <w:pPr>
              <w:pStyle w:val="10"/>
            </w:pPr>
            <w:r>
              <w:t>公租房后期运营管理项目成本控制数</w:t>
            </w:r>
          </w:p>
        </w:tc>
        <w:tc>
          <w:tcPr>
            <w:tcW w:w="1276" w:type="dxa"/>
            <w:vAlign w:val="center"/>
          </w:tcPr>
          <w:p>
            <w:pPr>
              <w:pStyle w:val="10"/>
            </w:pPr>
            <w:r>
              <w:t>≤3955万元</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物业费补贴发放户数</w:t>
            </w:r>
          </w:p>
        </w:tc>
        <w:tc>
          <w:tcPr>
            <w:tcW w:w="2891" w:type="dxa"/>
            <w:vAlign w:val="center"/>
          </w:tcPr>
          <w:p>
            <w:pPr>
              <w:pStyle w:val="10"/>
            </w:pPr>
            <w:r>
              <w:t>物业费补贴发放户数</w:t>
            </w:r>
          </w:p>
        </w:tc>
        <w:tc>
          <w:tcPr>
            <w:tcW w:w="1276" w:type="dxa"/>
            <w:vAlign w:val="center"/>
          </w:tcPr>
          <w:p>
            <w:pPr>
              <w:pStyle w:val="10"/>
            </w:pPr>
            <w:r>
              <w:t>≥23000户</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后期管理经费涉及公租房面积</w:t>
            </w:r>
          </w:p>
        </w:tc>
        <w:tc>
          <w:tcPr>
            <w:tcW w:w="2891" w:type="dxa"/>
            <w:vAlign w:val="center"/>
          </w:tcPr>
          <w:p>
            <w:pPr>
              <w:pStyle w:val="10"/>
            </w:pPr>
            <w:r>
              <w:t>后期管理经费涉及公租房面积</w:t>
            </w:r>
          </w:p>
        </w:tc>
        <w:tc>
          <w:tcPr>
            <w:tcW w:w="1276" w:type="dxa"/>
            <w:vAlign w:val="center"/>
          </w:tcPr>
          <w:p>
            <w:pPr>
              <w:pStyle w:val="10"/>
            </w:pPr>
            <w:r>
              <w:t>≥140万平方米</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后期管理经费发放政策合格率</w:t>
            </w:r>
          </w:p>
        </w:tc>
        <w:tc>
          <w:tcPr>
            <w:tcW w:w="2891" w:type="dxa"/>
            <w:vAlign w:val="center"/>
          </w:tcPr>
          <w:p>
            <w:pPr>
              <w:pStyle w:val="10"/>
            </w:pPr>
            <w:r>
              <w:t>后期管理经费发放政策合格率</w:t>
            </w:r>
          </w:p>
        </w:tc>
        <w:tc>
          <w:tcPr>
            <w:tcW w:w="1276" w:type="dxa"/>
            <w:vAlign w:val="center"/>
          </w:tcPr>
          <w:p>
            <w:pPr>
              <w:pStyle w:val="10"/>
            </w:pPr>
            <w:r>
              <w:t>100</w:t>
            </w:r>
            <w:r>
              <w:rPr>
                <w:rFonts w:hint="eastAsia"/>
                <w:lang w:eastAsia="zh-CN"/>
              </w:rPr>
              <w:t>%</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物业费补贴发放政策合格率</w:t>
            </w:r>
          </w:p>
        </w:tc>
        <w:tc>
          <w:tcPr>
            <w:tcW w:w="2891" w:type="dxa"/>
            <w:vAlign w:val="center"/>
          </w:tcPr>
          <w:p>
            <w:pPr>
              <w:pStyle w:val="10"/>
            </w:pPr>
            <w:r>
              <w:t>物业费补贴发放政策合格率</w:t>
            </w:r>
          </w:p>
        </w:tc>
        <w:tc>
          <w:tcPr>
            <w:tcW w:w="1276" w:type="dxa"/>
            <w:vAlign w:val="center"/>
          </w:tcPr>
          <w:p>
            <w:pPr>
              <w:pStyle w:val="10"/>
            </w:pPr>
            <w:r>
              <w:t>100</w:t>
            </w:r>
            <w:r>
              <w:rPr>
                <w:rFonts w:hint="eastAsia"/>
                <w:lang w:eastAsia="zh-CN"/>
              </w:rPr>
              <w:t>%</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后期管理经费发放时间</w:t>
            </w:r>
          </w:p>
        </w:tc>
        <w:tc>
          <w:tcPr>
            <w:tcW w:w="2891" w:type="dxa"/>
            <w:vAlign w:val="center"/>
          </w:tcPr>
          <w:p>
            <w:pPr>
              <w:pStyle w:val="10"/>
            </w:pPr>
            <w:r>
              <w:t>后期管理经费发放时间</w:t>
            </w:r>
          </w:p>
        </w:tc>
        <w:tc>
          <w:tcPr>
            <w:tcW w:w="1276" w:type="dxa"/>
            <w:vAlign w:val="center"/>
          </w:tcPr>
          <w:p>
            <w:pPr>
              <w:pStyle w:val="10"/>
            </w:pPr>
            <w:r>
              <w:t>11月底前</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解决低收入家庭住房困难问题</w:t>
            </w:r>
          </w:p>
        </w:tc>
        <w:tc>
          <w:tcPr>
            <w:tcW w:w="2891" w:type="dxa"/>
            <w:vAlign w:val="center"/>
          </w:tcPr>
          <w:p>
            <w:pPr>
              <w:pStyle w:val="10"/>
            </w:pPr>
            <w:r>
              <w:t>解决低收入家庭住房困难问题</w:t>
            </w:r>
          </w:p>
        </w:tc>
        <w:tc>
          <w:tcPr>
            <w:tcW w:w="1276" w:type="dxa"/>
            <w:vAlign w:val="center"/>
          </w:tcPr>
          <w:p>
            <w:pPr>
              <w:pStyle w:val="10"/>
            </w:pPr>
            <w:r>
              <w:t>≥23000户</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受益群众满意度</w:t>
            </w:r>
          </w:p>
        </w:tc>
        <w:tc>
          <w:tcPr>
            <w:tcW w:w="2891" w:type="dxa"/>
            <w:vAlign w:val="center"/>
          </w:tcPr>
          <w:p>
            <w:pPr>
              <w:pStyle w:val="10"/>
            </w:pPr>
            <w:r>
              <w:t>受益群众满意度</w:t>
            </w:r>
          </w:p>
        </w:tc>
        <w:tc>
          <w:tcPr>
            <w:tcW w:w="1276" w:type="dxa"/>
            <w:vAlign w:val="center"/>
          </w:tcPr>
          <w:p>
            <w:pPr>
              <w:pStyle w:val="10"/>
            </w:pPr>
            <w:r>
              <w:t>≥80</w:t>
            </w:r>
            <w:r>
              <w:rPr>
                <w:rFonts w:hint="eastAsia"/>
                <w:lang w:eastAsia="zh-CN"/>
              </w:rPr>
              <w:t>%</w:t>
            </w:r>
          </w:p>
        </w:tc>
        <w:tc>
          <w:tcPr>
            <w:tcW w:w="1843" w:type="dxa"/>
            <w:vAlign w:val="center"/>
          </w:tcPr>
          <w:p>
            <w:pPr>
              <w:pStyle w:val="10"/>
            </w:pPr>
            <w:r>
              <w:t>历史标准</w:t>
            </w:r>
          </w:p>
        </w:tc>
      </w:tr>
    </w:tbl>
    <w:p>
      <w:pPr>
        <w:jc w:val="center"/>
        <w:sectPr>
          <w:pgSz w:w="11900" w:h="16840"/>
          <w:pgMar w:top="1984" w:right="1304" w:bottom="1134" w:left="1304" w:header="720" w:footer="720" w:gutter="0"/>
          <w:pgNumType w:fmt="numberInDash"/>
          <w:cols w:space="720" w:num="1"/>
        </w:sect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602003青岛市住房保障中心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37020023P460002100046</w:t>
            </w:r>
          </w:p>
        </w:tc>
        <w:tc>
          <w:tcPr>
            <w:tcW w:w="1587" w:type="dxa"/>
            <w:vAlign w:val="center"/>
          </w:tcPr>
          <w:p>
            <w:pPr>
              <w:pStyle w:val="9"/>
            </w:pPr>
            <w:r>
              <w:t>项目名称</w:t>
            </w:r>
          </w:p>
        </w:tc>
        <w:tc>
          <w:tcPr>
            <w:tcW w:w="4422" w:type="dxa"/>
            <w:gridSpan w:val="3"/>
            <w:vAlign w:val="center"/>
          </w:tcPr>
          <w:p>
            <w:pPr>
              <w:pStyle w:val="10"/>
            </w:pPr>
            <w:r>
              <w:t>人才住房建设资金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12100.00</w:t>
            </w:r>
          </w:p>
        </w:tc>
        <w:tc>
          <w:tcPr>
            <w:tcW w:w="1587" w:type="dxa"/>
            <w:vAlign w:val="center"/>
          </w:tcPr>
          <w:p>
            <w:pPr>
              <w:pStyle w:val="9"/>
            </w:pPr>
            <w:r>
              <w:t>其中：财政    资金</w:t>
            </w:r>
          </w:p>
        </w:tc>
        <w:tc>
          <w:tcPr>
            <w:tcW w:w="1304" w:type="dxa"/>
            <w:vAlign w:val="center"/>
          </w:tcPr>
          <w:p>
            <w:pPr>
              <w:pStyle w:val="10"/>
            </w:pPr>
            <w:r>
              <w:t>12100.00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2023年人才住房建设资金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2000.00</w:t>
            </w:r>
          </w:p>
        </w:tc>
        <w:tc>
          <w:tcPr>
            <w:tcW w:w="1304" w:type="dxa"/>
            <w:vAlign w:val="center"/>
          </w:tcPr>
          <w:p>
            <w:pPr>
              <w:pStyle w:val="11"/>
            </w:pPr>
            <w:r>
              <w:t>6000.00</w:t>
            </w:r>
          </w:p>
        </w:tc>
        <w:tc>
          <w:tcPr>
            <w:tcW w:w="3118" w:type="dxa"/>
            <w:gridSpan w:val="2"/>
            <w:vAlign w:val="center"/>
          </w:tcPr>
          <w:p>
            <w:pPr>
              <w:pStyle w:val="11"/>
            </w:pPr>
            <w:r>
              <w:t>12100.00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通过有效房源供应，切实改善人才居住条件。</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项目成本超预算比例</w:t>
            </w:r>
          </w:p>
        </w:tc>
        <w:tc>
          <w:tcPr>
            <w:tcW w:w="2891" w:type="dxa"/>
            <w:vAlign w:val="center"/>
          </w:tcPr>
          <w:p>
            <w:pPr>
              <w:pStyle w:val="10"/>
            </w:pPr>
            <w:r>
              <w:t>项目成本超预算比例</w:t>
            </w:r>
          </w:p>
        </w:tc>
        <w:tc>
          <w:tcPr>
            <w:tcW w:w="1276" w:type="dxa"/>
            <w:vAlign w:val="center"/>
          </w:tcPr>
          <w:p>
            <w:pPr>
              <w:pStyle w:val="10"/>
            </w:pPr>
            <w:r>
              <w:t>≤2</w:t>
            </w:r>
            <w:r>
              <w:rPr>
                <w:b/>
              </w:rPr>
              <w:t>%</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续建人才住房数量</w:t>
            </w:r>
          </w:p>
        </w:tc>
        <w:tc>
          <w:tcPr>
            <w:tcW w:w="2891" w:type="dxa"/>
            <w:vAlign w:val="center"/>
          </w:tcPr>
          <w:p>
            <w:pPr>
              <w:pStyle w:val="10"/>
            </w:pPr>
            <w:r>
              <w:t>续建人才住房数量</w:t>
            </w:r>
          </w:p>
        </w:tc>
        <w:tc>
          <w:tcPr>
            <w:tcW w:w="1276" w:type="dxa"/>
            <w:vAlign w:val="center"/>
          </w:tcPr>
          <w:p>
            <w:pPr>
              <w:pStyle w:val="10"/>
            </w:pPr>
            <w:r>
              <w:t>3010套（间）</w:t>
            </w:r>
          </w:p>
        </w:tc>
        <w:tc>
          <w:tcPr>
            <w:tcW w:w="1843"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续建人才住房楼座数</w:t>
            </w:r>
          </w:p>
        </w:tc>
        <w:tc>
          <w:tcPr>
            <w:tcW w:w="2891" w:type="dxa"/>
            <w:vAlign w:val="center"/>
          </w:tcPr>
          <w:p>
            <w:pPr>
              <w:pStyle w:val="10"/>
            </w:pPr>
            <w:r>
              <w:t>续建人才住房楼座数</w:t>
            </w:r>
          </w:p>
        </w:tc>
        <w:tc>
          <w:tcPr>
            <w:tcW w:w="1276" w:type="dxa"/>
            <w:vAlign w:val="center"/>
          </w:tcPr>
          <w:p>
            <w:pPr>
              <w:pStyle w:val="10"/>
            </w:pPr>
            <w:r>
              <w:t>31栋</w:t>
            </w:r>
          </w:p>
        </w:tc>
        <w:tc>
          <w:tcPr>
            <w:tcW w:w="1843"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受益对象符合政策率</w:t>
            </w:r>
          </w:p>
        </w:tc>
        <w:tc>
          <w:tcPr>
            <w:tcW w:w="2891" w:type="dxa"/>
            <w:vAlign w:val="center"/>
          </w:tcPr>
          <w:p>
            <w:pPr>
              <w:pStyle w:val="10"/>
            </w:pPr>
            <w:r>
              <w:t>受益对象符合政策率</w:t>
            </w:r>
          </w:p>
        </w:tc>
        <w:tc>
          <w:tcPr>
            <w:tcW w:w="1276" w:type="dxa"/>
            <w:vAlign w:val="center"/>
          </w:tcPr>
          <w:p>
            <w:pPr>
              <w:pStyle w:val="10"/>
            </w:pPr>
            <w:r>
              <w:t>100</w:t>
            </w:r>
            <w:r>
              <w:rPr>
                <w:b/>
              </w:rPr>
              <w:t>%</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支付工作符合政策率</w:t>
            </w:r>
          </w:p>
        </w:tc>
        <w:tc>
          <w:tcPr>
            <w:tcW w:w="2891" w:type="dxa"/>
            <w:vAlign w:val="center"/>
          </w:tcPr>
          <w:p>
            <w:pPr>
              <w:pStyle w:val="10"/>
            </w:pPr>
            <w:r>
              <w:t>支付工作符合政策率</w:t>
            </w:r>
          </w:p>
        </w:tc>
        <w:tc>
          <w:tcPr>
            <w:tcW w:w="1276" w:type="dxa"/>
            <w:vAlign w:val="center"/>
          </w:tcPr>
          <w:p>
            <w:pPr>
              <w:pStyle w:val="10"/>
            </w:pPr>
            <w:r>
              <w:t>100</w:t>
            </w:r>
            <w:r>
              <w:rPr>
                <w:b/>
              </w:rPr>
              <w:t>%</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续建人才住房</w:t>
            </w:r>
            <w:r>
              <w:rPr>
                <w:rFonts w:hint="eastAsia"/>
                <w:lang w:eastAsia="zh-CN"/>
              </w:rPr>
              <w:t>封顶时效</w:t>
            </w:r>
          </w:p>
        </w:tc>
        <w:tc>
          <w:tcPr>
            <w:tcW w:w="2891" w:type="dxa"/>
            <w:vAlign w:val="center"/>
          </w:tcPr>
          <w:p>
            <w:pPr>
              <w:pStyle w:val="10"/>
            </w:pPr>
            <w:r>
              <w:t>续建人才住房</w:t>
            </w:r>
            <w:r>
              <w:rPr>
                <w:rFonts w:hint="eastAsia"/>
                <w:lang w:eastAsia="zh-CN"/>
              </w:rPr>
              <w:t>封顶时效</w:t>
            </w:r>
          </w:p>
        </w:tc>
        <w:tc>
          <w:tcPr>
            <w:tcW w:w="1276" w:type="dxa"/>
            <w:vAlign w:val="center"/>
          </w:tcPr>
          <w:p>
            <w:pPr>
              <w:pStyle w:val="10"/>
            </w:pPr>
            <w:r>
              <w:t>2023年11月30日</w:t>
            </w:r>
          </w:p>
        </w:tc>
        <w:tc>
          <w:tcPr>
            <w:tcW w:w="1843"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rPr>
                <w:lang w:val="uk-UA"/>
              </w:rPr>
            </w:pPr>
            <w:r>
              <w:t>有效增强青岛对各类人才的吸引力</w:t>
            </w:r>
          </w:p>
        </w:tc>
        <w:tc>
          <w:tcPr>
            <w:tcW w:w="2891" w:type="dxa"/>
            <w:vAlign w:val="center"/>
          </w:tcPr>
          <w:p>
            <w:pPr>
              <w:pStyle w:val="10"/>
            </w:pPr>
            <w:r>
              <w:t>有效增强青岛对各类人才的吸引力</w:t>
            </w:r>
          </w:p>
        </w:tc>
        <w:tc>
          <w:tcPr>
            <w:tcW w:w="1276" w:type="dxa"/>
            <w:vAlign w:val="center"/>
          </w:tcPr>
          <w:p>
            <w:pPr>
              <w:pStyle w:val="10"/>
            </w:pPr>
            <w:r>
              <w:t>有效增强</w:t>
            </w:r>
          </w:p>
        </w:tc>
        <w:tc>
          <w:tcPr>
            <w:tcW w:w="1843"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受益群众满意度</w:t>
            </w:r>
          </w:p>
        </w:tc>
        <w:tc>
          <w:tcPr>
            <w:tcW w:w="2891" w:type="dxa"/>
            <w:vAlign w:val="center"/>
          </w:tcPr>
          <w:p>
            <w:pPr>
              <w:pStyle w:val="10"/>
            </w:pPr>
            <w:r>
              <w:t>受益群众满意度</w:t>
            </w:r>
          </w:p>
        </w:tc>
        <w:tc>
          <w:tcPr>
            <w:tcW w:w="1276" w:type="dxa"/>
            <w:vAlign w:val="center"/>
          </w:tcPr>
          <w:p>
            <w:pPr>
              <w:pStyle w:val="10"/>
            </w:pPr>
            <w:r>
              <w:t>≥80</w:t>
            </w:r>
            <w:r>
              <w:rPr>
                <w:b/>
              </w:rPr>
              <w:t>%</w:t>
            </w:r>
          </w:p>
        </w:tc>
        <w:tc>
          <w:tcPr>
            <w:tcW w:w="1843" w:type="dxa"/>
            <w:vAlign w:val="center"/>
          </w:tcPr>
          <w:p>
            <w:pPr>
              <w:pStyle w:val="10"/>
            </w:pPr>
            <w:r>
              <w:t>行业标准</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eastAsia" w:ascii="黑体" w:hAnsi="黑体" w:eastAsia="黑体" w:cs="黑体"/>
          <w:sz w:val="32"/>
          <w:szCs w:val="32"/>
          <w:highlight w:val="none"/>
          <w:lang w:val="en-US" w:eastAsia="zh-CN"/>
        </w:rPr>
      </w:pPr>
    </w:p>
    <w:p>
      <w:pPr>
        <w:numPr>
          <w:ilvl w:val="0"/>
          <w:numId w:val="0"/>
        </w:numPr>
        <w:ind w:leftChars="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四、支持城乡建设运行、环境提升</w:t>
      </w:r>
    </w:p>
    <w:p>
      <w:pPr>
        <w:numPr>
          <w:ilvl w:val="0"/>
          <w:numId w:val="0"/>
        </w:numPr>
        <w:rPr>
          <w:sz w:val="32"/>
          <w:szCs w:val="32"/>
        </w:rPr>
      </w:pPr>
      <w:r>
        <w:rPr>
          <w:rFonts w:hint="eastAsia" w:ascii="黑体" w:hAnsi="黑体" w:eastAsia="黑体" w:cs="黑体"/>
          <w:sz w:val="32"/>
          <w:szCs w:val="32"/>
          <w:highlight w:val="none"/>
          <w:lang w:val="en-US" w:eastAsia="zh-CN"/>
        </w:rPr>
        <w:t>1.环保资金</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702001青岛市生态环境局本级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37020023P57000710005E</w:t>
            </w:r>
          </w:p>
        </w:tc>
        <w:tc>
          <w:tcPr>
            <w:tcW w:w="1587" w:type="dxa"/>
            <w:vAlign w:val="center"/>
          </w:tcPr>
          <w:p>
            <w:pPr>
              <w:pStyle w:val="9"/>
            </w:pPr>
            <w:r>
              <w:t>项目名称</w:t>
            </w:r>
          </w:p>
        </w:tc>
        <w:tc>
          <w:tcPr>
            <w:tcW w:w="4422" w:type="dxa"/>
            <w:gridSpan w:val="3"/>
            <w:vAlign w:val="center"/>
          </w:tcPr>
          <w:p>
            <w:pPr>
              <w:pStyle w:val="10"/>
            </w:pPr>
            <w:r>
              <w:t>大气环境监测保障项目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5438.00</w:t>
            </w:r>
          </w:p>
        </w:tc>
        <w:tc>
          <w:tcPr>
            <w:tcW w:w="1587" w:type="dxa"/>
            <w:vAlign w:val="center"/>
          </w:tcPr>
          <w:p>
            <w:pPr>
              <w:pStyle w:val="9"/>
            </w:pPr>
            <w:r>
              <w:t>其中：财政    资金</w:t>
            </w:r>
          </w:p>
        </w:tc>
        <w:tc>
          <w:tcPr>
            <w:tcW w:w="1304" w:type="dxa"/>
            <w:vAlign w:val="center"/>
          </w:tcPr>
          <w:p>
            <w:pPr>
              <w:pStyle w:val="10"/>
            </w:pPr>
            <w:r>
              <w:t>5438.00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大气环境监测、设备购置等相关项目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1360.00</w:t>
            </w:r>
          </w:p>
        </w:tc>
        <w:tc>
          <w:tcPr>
            <w:tcW w:w="1587" w:type="dxa"/>
            <w:vAlign w:val="center"/>
          </w:tcPr>
          <w:p>
            <w:pPr>
              <w:pStyle w:val="11"/>
            </w:pPr>
            <w:r>
              <w:t>2700.00</w:t>
            </w:r>
          </w:p>
        </w:tc>
        <w:tc>
          <w:tcPr>
            <w:tcW w:w="1304" w:type="dxa"/>
            <w:vAlign w:val="center"/>
          </w:tcPr>
          <w:p>
            <w:pPr>
              <w:pStyle w:val="11"/>
            </w:pPr>
            <w:r>
              <w:t>5000.00</w:t>
            </w:r>
          </w:p>
        </w:tc>
        <w:tc>
          <w:tcPr>
            <w:tcW w:w="3118" w:type="dxa"/>
            <w:gridSpan w:val="2"/>
            <w:vAlign w:val="center"/>
          </w:tcPr>
          <w:p>
            <w:pPr>
              <w:pStyle w:val="11"/>
            </w:pPr>
            <w:r>
              <w:t>5438.00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一、通过说清区域环境空气质量变化趋势和变化规律，分析潜在的环境风险，加强区域环境管理，为区域经济建设和发展提供支持和服务。    二、通过加强颗粒物和臭氧协同监测能力建设，摸清污染状况及变化规律，为研究臭氧、细颗粒物、挥发性有机化合物来源、成因与转化机理提供技术支持。    三、通过保障我市各环境空气自动监测站点正常运转，客观、真实、准确反映各区域空气质量状况。    四、通过保障空气质量预报业务正常运行，做好空气质量预报预警工作，为环境管理决策提供参考。  五、通过扬尘综合整治项目，通过开展出租车走航监测、卫星遥感监测、无人机溯源巡飞、工地微站监控等手段，全面加强对市内道路、裸土、工地等各扬尘污染源的监督和管控，有效减少我市扬尘污染；    六、通过大气污染网格化精细管控帮扶技术服务项目，利用大数据分析平台、大气环境立体走航车、气溶胶激光雷达、无人机、VOCs红外成像仪等技术手段,对镇街、重点企业进行综合分析和现场核查。通过深入排查影响空气质量的关键污染因子和污染来源，有效实现网格排查、快速落实、精准削减、精细管控,为各区市、重点镇街、企业大气污染防治提供科学的诊断和措施建议报告，实现促进辖区大气环境质量改善的目的 ；   七、通过青岛市大气源、重污染和组分清单更新项目，通过开展更新2022年工业企业源清单、建立重点行业VOCs指纹库、对2023年重污染天气应急减排清单更新和绩效分级核查、进行减排项目污染物削减量核算和减排效果评估等工作，有效摸清我市大气排放源最新情况，了解重点企业VOCs排放“指纹”信息，建立2023年大气污染物减排项目清单库，有效评估空气质量减排效果，为空气质量的进一步改善提供数据基础；    八、通过青岛市声环境功能区自动监测服务项目，以现有声环境功能区监测点位为基础，委托第三方提供自动监测服务、建设数据平台接入生态环境监测系统，自动监测设备满足《环境噪声自动监测系统技术要求》（HJ907-2017），平台数据支持数据处理和自定义导出，支持在地图上以图表形式显示监测数据，以实现市区声环境功能区自动监测。九、通过对已完成农村生活污水治理的行政村和农村黑臭水体进行现场核查，及时发现问题并提出合理化整改建议，开展农村生活污水、农村黑臭水体治理成效评估，进一步提升治理实效，确保高质量完成省下达的任务目标。</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rPr>
                <w:rFonts w:hint="eastAsia"/>
                <w:lang w:eastAsia="zh-CN"/>
              </w:rPr>
              <w:t>经济</w:t>
            </w:r>
            <w:r>
              <w:t>成本指标</w:t>
            </w:r>
          </w:p>
        </w:tc>
        <w:tc>
          <w:tcPr>
            <w:tcW w:w="1332" w:type="dxa"/>
            <w:vAlign w:val="center"/>
          </w:tcPr>
          <w:p>
            <w:pPr>
              <w:pStyle w:val="10"/>
              <w:rPr>
                <w:lang w:eastAsia="zh-CN"/>
              </w:rPr>
            </w:pPr>
            <w:r>
              <w:t>大气环境监测保障项目</w:t>
            </w:r>
            <w:r>
              <w:rPr>
                <w:rFonts w:hint="eastAsia"/>
                <w:lang w:eastAsia="zh-CN"/>
              </w:rPr>
              <w:t>预算控制数</w:t>
            </w:r>
          </w:p>
        </w:tc>
        <w:tc>
          <w:tcPr>
            <w:tcW w:w="2891" w:type="dxa"/>
            <w:vAlign w:val="center"/>
          </w:tcPr>
          <w:p>
            <w:pPr>
              <w:pStyle w:val="10"/>
            </w:pPr>
            <w:r>
              <w:t>大气环境监测保障项目</w:t>
            </w:r>
            <w:r>
              <w:rPr>
                <w:rFonts w:hint="eastAsia"/>
                <w:lang w:eastAsia="zh-CN"/>
              </w:rPr>
              <w:t>预算控制数</w:t>
            </w:r>
          </w:p>
        </w:tc>
        <w:tc>
          <w:tcPr>
            <w:tcW w:w="1276" w:type="dxa"/>
            <w:vAlign w:val="center"/>
          </w:tcPr>
          <w:p>
            <w:pPr>
              <w:pStyle w:val="10"/>
            </w:pPr>
            <w:r>
              <w:t>≤5438万元</w:t>
            </w:r>
          </w:p>
        </w:tc>
        <w:tc>
          <w:tcPr>
            <w:tcW w:w="1843" w:type="dxa"/>
            <w:vAlign w:val="center"/>
          </w:tcPr>
          <w:p>
            <w:pPr>
              <w:pStyle w:val="10"/>
            </w:pPr>
            <w:r>
              <w:t>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购置监测设备数量</w:t>
            </w:r>
          </w:p>
        </w:tc>
        <w:tc>
          <w:tcPr>
            <w:tcW w:w="2891" w:type="dxa"/>
            <w:vAlign w:val="center"/>
          </w:tcPr>
          <w:p>
            <w:pPr>
              <w:pStyle w:val="10"/>
            </w:pPr>
            <w:r>
              <w:t>购置监测设备数量</w:t>
            </w:r>
          </w:p>
        </w:tc>
        <w:tc>
          <w:tcPr>
            <w:tcW w:w="1276" w:type="dxa"/>
            <w:vAlign w:val="center"/>
          </w:tcPr>
          <w:p>
            <w:pPr>
              <w:pStyle w:val="10"/>
            </w:pPr>
            <w:r>
              <w:t>16台</w:t>
            </w:r>
          </w:p>
        </w:tc>
        <w:tc>
          <w:tcPr>
            <w:tcW w:w="1843" w:type="dxa"/>
            <w:vAlign w:val="center"/>
          </w:tcPr>
          <w:p>
            <w:pPr>
              <w:pStyle w:val="10"/>
            </w:pPr>
            <w:r>
              <w:t>年度工作任务要求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保障运维平台系统数量</w:t>
            </w:r>
          </w:p>
        </w:tc>
        <w:tc>
          <w:tcPr>
            <w:tcW w:w="2891" w:type="dxa"/>
            <w:vAlign w:val="center"/>
          </w:tcPr>
          <w:p>
            <w:pPr>
              <w:pStyle w:val="10"/>
            </w:pPr>
            <w:r>
              <w:t>保障运维平台系统数量</w:t>
            </w:r>
          </w:p>
        </w:tc>
        <w:tc>
          <w:tcPr>
            <w:tcW w:w="1276" w:type="dxa"/>
            <w:vAlign w:val="center"/>
          </w:tcPr>
          <w:p>
            <w:pPr>
              <w:pStyle w:val="10"/>
            </w:pPr>
            <w:r>
              <w:t>2个</w:t>
            </w:r>
          </w:p>
        </w:tc>
        <w:tc>
          <w:tcPr>
            <w:tcW w:w="1843" w:type="dxa"/>
            <w:vAlign w:val="center"/>
          </w:tcPr>
          <w:p>
            <w:pPr>
              <w:pStyle w:val="10"/>
            </w:pPr>
            <w:r>
              <w:t>年度工作任务要求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分析颗粒物组分样品数量</w:t>
            </w:r>
          </w:p>
        </w:tc>
        <w:tc>
          <w:tcPr>
            <w:tcW w:w="2891" w:type="dxa"/>
            <w:vAlign w:val="center"/>
          </w:tcPr>
          <w:p>
            <w:pPr>
              <w:pStyle w:val="10"/>
            </w:pPr>
            <w:r>
              <w:t>分析颗粒物组分样品数量</w:t>
            </w:r>
          </w:p>
        </w:tc>
        <w:tc>
          <w:tcPr>
            <w:tcW w:w="1276" w:type="dxa"/>
            <w:vAlign w:val="center"/>
          </w:tcPr>
          <w:p>
            <w:pPr>
              <w:pStyle w:val="10"/>
            </w:pPr>
            <w:r>
              <w:t>266个</w:t>
            </w:r>
          </w:p>
        </w:tc>
        <w:tc>
          <w:tcPr>
            <w:tcW w:w="1843" w:type="dxa"/>
            <w:vAlign w:val="center"/>
          </w:tcPr>
          <w:p>
            <w:pPr>
              <w:pStyle w:val="10"/>
            </w:pPr>
            <w:r>
              <w:t>年度工作任务要求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分析挥发性有机物样品数量</w:t>
            </w:r>
          </w:p>
        </w:tc>
        <w:tc>
          <w:tcPr>
            <w:tcW w:w="2891" w:type="dxa"/>
            <w:vAlign w:val="center"/>
          </w:tcPr>
          <w:p>
            <w:pPr>
              <w:pStyle w:val="10"/>
            </w:pPr>
            <w:r>
              <w:t>分析挥发性有机物样品数量</w:t>
            </w:r>
          </w:p>
        </w:tc>
        <w:tc>
          <w:tcPr>
            <w:tcW w:w="1276" w:type="dxa"/>
            <w:vAlign w:val="center"/>
          </w:tcPr>
          <w:p>
            <w:pPr>
              <w:pStyle w:val="10"/>
            </w:pPr>
            <w:r>
              <w:t>391个</w:t>
            </w:r>
          </w:p>
        </w:tc>
        <w:tc>
          <w:tcPr>
            <w:tcW w:w="1843" w:type="dxa"/>
            <w:vAlign w:val="center"/>
          </w:tcPr>
          <w:p>
            <w:pPr>
              <w:pStyle w:val="10"/>
            </w:pPr>
            <w:r>
              <w:t>年度工作任务要求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保障运维站点数量</w:t>
            </w:r>
          </w:p>
        </w:tc>
        <w:tc>
          <w:tcPr>
            <w:tcW w:w="2891" w:type="dxa"/>
            <w:vAlign w:val="center"/>
          </w:tcPr>
          <w:p>
            <w:pPr>
              <w:pStyle w:val="10"/>
            </w:pPr>
            <w:r>
              <w:t>保障运维站点数量</w:t>
            </w:r>
          </w:p>
        </w:tc>
        <w:tc>
          <w:tcPr>
            <w:tcW w:w="1276" w:type="dxa"/>
            <w:vAlign w:val="center"/>
          </w:tcPr>
          <w:p>
            <w:pPr>
              <w:pStyle w:val="10"/>
            </w:pPr>
            <w:r>
              <w:t>131个</w:t>
            </w:r>
          </w:p>
        </w:tc>
        <w:tc>
          <w:tcPr>
            <w:tcW w:w="1843" w:type="dxa"/>
            <w:vAlign w:val="center"/>
          </w:tcPr>
          <w:p>
            <w:pPr>
              <w:pStyle w:val="10"/>
            </w:pPr>
            <w:r>
              <w:t>年度工作任务要求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保障运维监测设备数量</w:t>
            </w:r>
          </w:p>
        </w:tc>
        <w:tc>
          <w:tcPr>
            <w:tcW w:w="2891" w:type="dxa"/>
            <w:vAlign w:val="center"/>
          </w:tcPr>
          <w:p>
            <w:pPr>
              <w:pStyle w:val="10"/>
            </w:pPr>
            <w:r>
              <w:t>保障运维监测设备数量</w:t>
            </w:r>
          </w:p>
        </w:tc>
        <w:tc>
          <w:tcPr>
            <w:tcW w:w="1276" w:type="dxa"/>
            <w:vAlign w:val="center"/>
          </w:tcPr>
          <w:p>
            <w:pPr>
              <w:pStyle w:val="10"/>
            </w:pPr>
            <w:r>
              <w:t>3台</w:t>
            </w:r>
          </w:p>
        </w:tc>
        <w:tc>
          <w:tcPr>
            <w:tcW w:w="1843" w:type="dxa"/>
            <w:vAlign w:val="center"/>
          </w:tcPr>
          <w:p>
            <w:pPr>
              <w:pStyle w:val="10"/>
            </w:pPr>
            <w:r>
              <w:t>年度工作任务要求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新建站点数量</w:t>
            </w:r>
          </w:p>
        </w:tc>
        <w:tc>
          <w:tcPr>
            <w:tcW w:w="2891" w:type="dxa"/>
            <w:vAlign w:val="center"/>
          </w:tcPr>
          <w:p>
            <w:pPr>
              <w:pStyle w:val="10"/>
            </w:pPr>
            <w:r>
              <w:t>新建站点数量</w:t>
            </w:r>
          </w:p>
        </w:tc>
        <w:tc>
          <w:tcPr>
            <w:tcW w:w="1276" w:type="dxa"/>
            <w:vAlign w:val="center"/>
          </w:tcPr>
          <w:p>
            <w:pPr>
              <w:pStyle w:val="10"/>
            </w:pPr>
            <w:r>
              <w:t>3个</w:t>
            </w:r>
          </w:p>
        </w:tc>
        <w:tc>
          <w:tcPr>
            <w:tcW w:w="1843" w:type="dxa"/>
            <w:vAlign w:val="center"/>
          </w:tcPr>
          <w:p>
            <w:pPr>
              <w:pStyle w:val="10"/>
            </w:pPr>
            <w:r>
              <w:t>年度工作任务要求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改造（扩建）站点数量</w:t>
            </w:r>
          </w:p>
        </w:tc>
        <w:tc>
          <w:tcPr>
            <w:tcW w:w="2891" w:type="dxa"/>
            <w:vAlign w:val="center"/>
          </w:tcPr>
          <w:p>
            <w:pPr>
              <w:pStyle w:val="10"/>
            </w:pPr>
            <w:r>
              <w:t>改造（扩建）站点数量</w:t>
            </w:r>
          </w:p>
        </w:tc>
        <w:tc>
          <w:tcPr>
            <w:tcW w:w="1276" w:type="dxa"/>
            <w:vAlign w:val="center"/>
          </w:tcPr>
          <w:p>
            <w:pPr>
              <w:pStyle w:val="10"/>
            </w:pPr>
            <w:r>
              <w:t>2个</w:t>
            </w:r>
          </w:p>
        </w:tc>
        <w:tc>
          <w:tcPr>
            <w:tcW w:w="1843" w:type="dxa"/>
            <w:vAlign w:val="center"/>
          </w:tcPr>
          <w:p>
            <w:pPr>
              <w:pStyle w:val="10"/>
            </w:pPr>
            <w:r>
              <w:t>年度工作任务要求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出租车走航大气颗粒物移动监测设备台数</w:t>
            </w:r>
          </w:p>
        </w:tc>
        <w:tc>
          <w:tcPr>
            <w:tcW w:w="2891" w:type="dxa"/>
            <w:vAlign w:val="center"/>
          </w:tcPr>
          <w:p>
            <w:pPr>
              <w:pStyle w:val="10"/>
            </w:pPr>
            <w:r>
              <w:t>出租车走航大气颗粒物移动监测设备台数</w:t>
            </w:r>
          </w:p>
        </w:tc>
        <w:tc>
          <w:tcPr>
            <w:tcW w:w="1276" w:type="dxa"/>
            <w:vAlign w:val="center"/>
          </w:tcPr>
          <w:p>
            <w:pPr>
              <w:pStyle w:val="10"/>
            </w:pPr>
            <w:r>
              <w:t>220台</w:t>
            </w:r>
          </w:p>
        </w:tc>
        <w:tc>
          <w:tcPr>
            <w:tcW w:w="1843" w:type="dxa"/>
            <w:vAlign w:val="center"/>
          </w:tcPr>
          <w:p>
            <w:pPr>
              <w:pStyle w:val="10"/>
            </w:pPr>
            <w:r>
              <w:t>年度工作任务要求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卫星遥感监测数量</w:t>
            </w:r>
          </w:p>
        </w:tc>
        <w:tc>
          <w:tcPr>
            <w:tcW w:w="2891" w:type="dxa"/>
            <w:vAlign w:val="center"/>
          </w:tcPr>
          <w:p>
            <w:pPr>
              <w:pStyle w:val="10"/>
            </w:pPr>
            <w:r>
              <w:t>卫星遥感监测</w:t>
            </w:r>
          </w:p>
        </w:tc>
        <w:tc>
          <w:tcPr>
            <w:tcW w:w="1276" w:type="dxa"/>
            <w:vAlign w:val="center"/>
          </w:tcPr>
          <w:p>
            <w:pPr>
              <w:pStyle w:val="10"/>
            </w:pPr>
            <w:r>
              <w:t>4次</w:t>
            </w:r>
          </w:p>
        </w:tc>
        <w:tc>
          <w:tcPr>
            <w:tcW w:w="1843" w:type="dxa"/>
            <w:vAlign w:val="center"/>
          </w:tcPr>
          <w:p>
            <w:pPr>
              <w:pStyle w:val="10"/>
            </w:pPr>
            <w:r>
              <w:t>年度工作任务要求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服务重点镇街或功能区</w:t>
            </w:r>
          </w:p>
        </w:tc>
        <w:tc>
          <w:tcPr>
            <w:tcW w:w="2891" w:type="dxa"/>
            <w:vAlign w:val="center"/>
          </w:tcPr>
          <w:p>
            <w:pPr>
              <w:pStyle w:val="10"/>
            </w:pPr>
            <w:r>
              <w:t>服务重点镇街或功能区</w:t>
            </w:r>
          </w:p>
        </w:tc>
        <w:tc>
          <w:tcPr>
            <w:tcW w:w="1276" w:type="dxa"/>
            <w:vAlign w:val="center"/>
          </w:tcPr>
          <w:p>
            <w:pPr>
              <w:pStyle w:val="10"/>
            </w:pPr>
            <w:r>
              <w:t>≥30个</w:t>
            </w:r>
          </w:p>
        </w:tc>
        <w:tc>
          <w:tcPr>
            <w:tcW w:w="1843" w:type="dxa"/>
            <w:vAlign w:val="center"/>
          </w:tcPr>
          <w:p>
            <w:pPr>
              <w:pStyle w:val="10"/>
            </w:pPr>
            <w:r>
              <w:t>年度工作任务要求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建设声环境功能区自动监测站数量</w:t>
            </w:r>
          </w:p>
        </w:tc>
        <w:tc>
          <w:tcPr>
            <w:tcW w:w="2891" w:type="dxa"/>
            <w:vAlign w:val="center"/>
          </w:tcPr>
          <w:p>
            <w:pPr>
              <w:pStyle w:val="10"/>
            </w:pPr>
            <w:r>
              <w:t>建设声环境功能区自动监测站数量25个</w:t>
            </w:r>
          </w:p>
        </w:tc>
        <w:tc>
          <w:tcPr>
            <w:tcW w:w="1276" w:type="dxa"/>
            <w:vAlign w:val="center"/>
          </w:tcPr>
          <w:p>
            <w:pPr>
              <w:pStyle w:val="10"/>
            </w:pPr>
            <w:r>
              <w:t>25个</w:t>
            </w:r>
          </w:p>
        </w:tc>
        <w:tc>
          <w:tcPr>
            <w:tcW w:w="1843" w:type="dxa"/>
            <w:vAlign w:val="center"/>
          </w:tcPr>
          <w:p>
            <w:pPr>
              <w:pStyle w:val="10"/>
            </w:pPr>
            <w:r>
              <w:t>按照省厅下达的工作任务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核查行政村数量</w:t>
            </w:r>
          </w:p>
        </w:tc>
        <w:tc>
          <w:tcPr>
            <w:tcW w:w="2891" w:type="dxa"/>
            <w:vAlign w:val="center"/>
          </w:tcPr>
          <w:p>
            <w:pPr>
              <w:pStyle w:val="10"/>
            </w:pPr>
            <w:r>
              <w:t>核查行政村数量</w:t>
            </w:r>
          </w:p>
        </w:tc>
        <w:tc>
          <w:tcPr>
            <w:tcW w:w="1276" w:type="dxa"/>
            <w:vAlign w:val="center"/>
          </w:tcPr>
          <w:p>
            <w:pPr>
              <w:pStyle w:val="10"/>
            </w:pPr>
            <w:r>
              <w:t>≥5500村（次）</w:t>
            </w:r>
          </w:p>
        </w:tc>
        <w:tc>
          <w:tcPr>
            <w:tcW w:w="1843" w:type="dxa"/>
            <w:vAlign w:val="center"/>
          </w:tcPr>
          <w:p>
            <w:pPr>
              <w:pStyle w:val="10"/>
            </w:pPr>
            <w:r>
              <w:t>年度工作任务要求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核查农村黑臭水体数量</w:t>
            </w:r>
          </w:p>
        </w:tc>
        <w:tc>
          <w:tcPr>
            <w:tcW w:w="2891" w:type="dxa"/>
            <w:vAlign w:val="center"/>
          </w:tcPr>
          <w:p>
            <w:pPr>
              <w:pStyle w:val="10"/>
            </w:pPr>
            <w:r>
              <w:t>核查农村黑臭水体数量</w:t>
            </w:r>
          </w:p>
        </w:tc>
        <w:tc>
          <w:tcPr>
            <w:tcW w:w="1276" w:type="dxa"/>
            <w:vAlign w:val="center"/>
          </w:tcPr>
          <w:p>
            <w:pPr>
              <w:pStyle w:val="10"/>
            </w:pPr>
            <w:r>
              <w:t>≥100次</w:t>
            </w:r>
          </w:p>
        </w:tc>
        <w:tc>
          <w:tcPr>
            <w:tcW w:w="1843" w:type="dxa"/>
            <w:vAlign w:val="center"/>
          </w:tcPr>
          <w:p>
            <w:pPr>
              <w:pStyle w:val="10"/>
            </w:pPr>
            <w:r>
              <w:t>年度工作任务要求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编制生物多样性调查评估成果数量</w:t>
            </w:r>
          </w:p>
        </w:tc>
        <w:tc>
          <w:tcPr>
            <w:tcW w:w="2891" w:type="dxa"/>
            <w:vAlign w:val="center"/>
          </w:tcPr>
          <w:p>
            <w:pPr>
              <w:pStyle w:val="10"/>
            </w:pPr>
            <w:r>
              <w:t>编制生物多样性调查评估成果数量</w:t>
            </w:r>
          </w:p>
        </w:tc>
        <w:tc>
          <w:tcPr>
            <w:tcW w:w="1276" w:type="dxa"/>
            <w:vAlign w:val="center"/>
          </w:tcPr>
          <w:p>
            <w:pPr>
              <w:pStyle w:val="10"/>
            </w:pPr>
            <w:r>
              <w:t>1套</w:t>
            </w:r>
          </w:p>
        </w:tc>
        <w:tc>
          <w:tcPr>
            <w:tcW w:w="1843" w:type="dxa"/>
            <w:vAlign w:val="center"/>
          </w:tcPr>
          <w:p>
            <w:pPr>
              <w:pStyle w:val="10"/>
            </w:pPr>
            <w:r>
              <w:t>年度工作任务要求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生态监测站点</w:t>
            </w:r>
          </w:p>
        </w:tc>
        <w:tc>
          <w:tcPr>
            <w:tcW w:w="2891" w:type="dxa"/>
            <w:vAlign w:val="center"/>
          </w:tcPr>
          <w:p>
            <w:pPr>
              <w:pStyle w:val="10"/>
            </w:pPr>
            <w:r>
              <w:t>青岛百合生态监测点</w:t>
            </w:r>
          </w:p>
        </w:tc>
        <w:tc>
          <w:tcPr>
            <w:tcW w:w="1276" w:type="dxa"/>
            <w:vAlign w:val="center"/>
          </w:tcPr>
          <w:p>
            <w:pPr>
              <w:pStyle w:val="10"/>
            </w:pPr>
            <w:r>
              <w:t>≥1个</w:t>
            </w:r>
          </w:p>
        </w:tc>
        <w:tc>
          <w:tcPr>
            <w:tcW w:w="1843" w:type="dxa"/>
            <w:vAlign w:val="center"/>
          </w:tcPr>
          <w:p>
            <w:pPr>
              <w:pStyle w:val="10"/>
            </w:pPr>
            <w:r>
              <w:t>年度工作任务要求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修订青岛市生物多样性保护战略与行动计划（2023-2030年）</w:t>
            </w:r>
          </w:p>
        </w:tc>
        <w:tc>
          <w:tcPr>
            <w:tcW w:w="2891" w:type="dxa"/>
            <w:vAlign w:val="center"/>
          </w:tcPr>
          <w:p>
            <w:pPr>
              <w:pStyle w:val="10"/>
            </w:pPr>
            <w:r>
              <w:t>修订青岛市生物多样性保护战略与行动计划（2023-2030年）</w:t>
            </w:r>
          </w:p>
        </w:tc>
        <w:tc>
          <w:tcPr>
            <w:tcW w:w="1276" w:type="dxa"/>
            <w:vAlign w:val="center"/>
          </w:tcPr>
          <w:p>
            <w:pPr>
              <w:pStyle w:val="10"/>
            </w:pPr>
            <w:r>
              <w:t>1份</w:t>
            </w:r>
          </w:p>
        </w:tc>
        <w:tc>
          <w:tcPr>
            <w:tcW w:w="1843" w:type="dxa"/>
            <w:vAlign w:val="center"/>
          </w:tcPr>
          <w:p>
            <w:pPr>
              <w:pStyle w:val="10"/>
            </w:pPr>
            <w:r>
              <w:t>年度工作任务要求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编制《青岛市国家生态文明建设示范区建设规划纲要实施方案》</w:t>
            </w:r>
          </w:p>
        </w:tc>
        <w:tc>
          <w:tcPr>
            <w:tcW w:w="2891" w:type="dxa"/>
            <w:vAlign w:val="center"/>
          </w:tcPr>
          <w:p>
            <w:pPr>
              <w:pStyle w:val="10"/>
            </w:pPr>
            <w:r>
              <w:t>编制《青岛市国家生态文明建设示范区建设规划纲要实施方案》</w:t>
            </w:r>
          </w:p>
        </w:tc>
        <w:tc>
          <w:tcPr>
            <w:tcW w:w="1276" w:type="dxa"/>
            <w:vAlign w:val="center"/>
          </w:tcPr>
          <w:p>
            <w:pPr>
              <w:pStyle w:val="10"/>
            </w:pPr>
            <w:r>
              <w:t>1份</w:t>
            </w:r>
          </w:p>
        </w:tc>
        <w:tc>
          <w:tcPr>
            <w:tcW w:w="1843" w:type="dxa"/>
            <w:vAlign w:val="center"/>
          </w:tcPr>
          <w:p>
            <w:pPr>
              <w:pStyle w:val="10"/>
            </w:pPr>
            <w:r>
              <w:t>年度工作任务要求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编制《青岛市国家生态文明建设示范区建设规划目标指标评估研究报告》</w:t>
            </w:r>
          </w:p>
        </w:tc>
        <w:tc>
          <w:tcPr>
            <w:tcW w:w="2891" w:type="dxa"/>
            <w:vAlign w:val="center"/>
          </w:tcPr>
          <w:p>
            <w:pPr>
              <w:pStyle w:val="10"/>
            </w:pPr>
            <w:r>
              <w:t>编制《青岛市国家生态文明建设示范区建设规划目标指标评估研究报告》</w:t>
            </w:r>
          </w:p>
        </w:tc>
        <w:tc>
          <w:tcPr>
            <w:tcW w:w="1276" w:type="dxa"/>
            <w:vAlign w:val="center"/>
          </w:tcPr>
          <w:p>
            <w:pPr>
              <w:pStyle w:val="10"/>
            </w:pPr>
            <w:r>
              <w:t>1份</w:t>
            </w:r>
          </w:p>
        </w:tc>
        <w:tc>
          <w:tcPr>
            <w:tcW w:w="1843" w:type="dxa"/>
            <w:vAlign w:val="center"/>
          </w:tcPr>
          <w:p>
            <w:pPr>
              <w:pStyle w:val="10"/>
            </w:pPr>
            <w:r>
              <w:t>年度工作任务要求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卫星遥感监测覆盖区市数量</w:t>
            </w:r>
          </w:p>
        </w:tc>
        <w:tc>
          <w:tcPr>
            <w:tcW w:w="2891" w:type="dxa"/>
            <w:vAlign w:val="center"/>
          </w:tcPr>
          <w:p>
            <w:pPr>
              <w:pStyle w:val="10"/>
            </w:pPr>
            <w:r>
              <w:t>卫星遥感监测覆盖区市数量</w:t>
            </w:r>
          </w:p>
        </w:tc>
        <w:tc>
          <w:tcPr>
            <w:tcW w:w="1276" w:type="dxa"/>
            <w:vAlign w:val="center"/>
          </w:tcPr>
          <w:p>
            <w:pPr>
              <w:pStyle w:val="10"/>
            </w:pPr>
            <w:r>
              <w:t>6个</w:t>
            </w:r>
          </w:p>
        </w:tc>
        <w:tc>
          <w:tcPr>
            <w:tcW w:w="1843" w:type="dxa"/>
            <w:vAlign w:val="center"/>
          </w:tcPr>
          <w:p>
            <w:pPr>
              <w:pStyle w:val="10"/>
            </w:pPr>
            <w:r>
              <w:t>年度工作任务要求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形成自然保护地生态保护状况核查评估影像数据图</w:t>
            </w:r>
          </w:p>
        </w:tc>
        <w:tc>
          <w:tcPr>
            <w:tcW w:w="2891" w:type="dxa"/>
            <w:vAlign w:val="center"/>
          </w:tcPr>
          <w:p>
            <w:pPr>
              <w:pStyle w:val="10"/>
            </w:pPr>
            <w:r>
              <w:t>形成自然保护地生态保护状况核查评估影像数据图</w:t>
            </w:r>
          </w:p>
        </w:tc>
        <w:tc>
          <w:tcPr>
            <w:tcW w:w="1276" w:type="dxa"/>
            <w:vAlign w:val="center"/>
          </w:tcPr>
          <w:p>
            <w:pPr>
              <w:pStyle w:val="10"/>
            </w:pPr>
            <w:r>
              <w:t>1份</w:t>
            </w:r>
          </w:p>
        </w:tc>
        <w:tc>
          <w:tcPr>
            <w:tcW w:w="1843" w:type="dxa"/>
            <w:vAlign w:val="center"/>
          </w:tcPr>
          <w:p>
            <w:pPr>
              <w:pStyle w:val="10"/>
            </w:pPr>
            <w:r>
              <w:t>年度工作任务要求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编制自然保护地生态保护状况核查评估报告</w:t>
            </w:r>
          </w:p>
        </w:tc>
        <w:tc>
          <w:tcPr>
            <w:tcW w:w="2891" w:type="dxa"/>
            <w:vAlign w:val="center"/>
          </w:tcPr>
          <w:p>
            <w:pPr>
              <w:pStyle w:val="10"/>
            </w:pPr>
            <w:r>
              <w:t>编制自然保护地生态保护状况核查评估报告</w:t>
            </w:r>
          </w:p>
        </w:tc>
        <w:tc>
          <w:tcPr>
            <w:tcW w:w="1276" w:type="dxa"/>
            <w:vAlign w:val="center"/>
          </w:tcPr>
          <w:p>
            <w:pPr>
              <w:pStyle w:val="10"/>
            </w:pPr>
            <w:r>
              <w:t>1份</w:t>
            </w:r>
          </w:p>
        </w:tc>
        <w:tc>
          <w:tcPr>
            <w:tcW w:w="1843" w:type="dxa"/>
            <w:vAlign w:val="center"/>
          </w:tcPr>
          <w:p>
            <w:pPr>
              <w:pStyle w:val="10"/>
            </w:pPr>
            <w:r>
              <w:t>年度工作任务要求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核查监测报告数量</w:t>
            </w:r>
          </w:p>
        </w:tc>
        <w:tc>
          <w:tcPr>
            <w:tcW w:w="2891" w:type="dxa"/>
            <w:vAlign w:val="center"/>
          </w:tcPr>
          <w:p>
            <w:pPr>
              <w:pStyle w:val="10"/>
            </w:pPr>
            <w:r>
              <w:t>核查监测报告数量</w:t>
            </w:r>
          </w:p>
        </w:tc>
        <w:tc>
          <w:tcPr>
            <w:tcW w:w="1276" w:type="dxa"/>
            <w:vAlign w:val="center"/>
          </w:tcPr>
          <w:p>
            <w:pPr>
              <w:pStyle w:val="10"/>
            </w:pPr>
            <w:r>
              <w:t>150份</w:t>
            </w:r>
          </w:p>
        </w:tc>
        <w:tc>
          <w:tcPr>
            <w:tcW w:w="1843" w:type="dxa"/>
            <w:vAlign w:val="center"/>
          </w:tcPr>
          <w:p>
            <w:pPr>
              <w:pStyle w:val="10"/>
            </w:pPr>
            <w:r>
              <w:t>《青岛市生态环境局办公室关于印发2022年度青岛市社会生态环境监测数据质量“双线联动”核查工作方案的通知》（青环办发〔2022〕40号）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核查重点排污单位数量</w:t>
            </w:r>
          </w:p>
        </w:tc>
        <w:tc>
          <w:tcPr>
            <w:tcW w:w="2891" w:type="dxa"/>
            <w:vAlign w:val="center"/>
          </w:tcPr>
          <w:p>
            <w:pPr>
              <w:pStyle w:val="10"/>
            </w:pPr>
            <w:r>
              <w:t>核查重点排污单位数量</w:t>
            </w:r>
          </w:p>
        </w:tc>
        <w:tc>
          <w:tcPr>
            <w:tcW w:w="1276" w:type="dxa"/>
            <w:vAlign w:val="center"/>
          </w:tcPr>
          <w:p>
            <w:pPr>
              <w:pStyle w:val="10"/>
            </w:pPr>
            <w:r>
              <w:t>60家</w:t>
            </w:r>
          </w:p>
        </w:tc>
        <w:tc>
          <w:tcPr>
            <w:tcW w:w="1843" w:type="dxa"/>
            <w:vAlign w:val="center"/>
          </w:tcPr>
          <w:p>
            <w:pPr>
              <w:pStyle w:val="10"/>
            </w:pPr>
            <w:r>
              <w:t>《青岛市生态环境局办公室关于印发2022年度青岛市社会生态环境监测数据质量“双线联动”核查工作方案的通知》（青环办发〔2022〕41号）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运维服务保障率</w:t>
            </w:r>
          </w:p>
        </w:tc>
        <w:tc>
          <w:tcPr>
            <w:tcW w:w="2891" w:type="dxa"/>
            <w:vAlign w:val="center"/>
          </w:tcPr>
          <w:p>
            <w:pPr>
              <w:pStyle w:val="10"/>
            </w:pPr>
            <w:r>
              <w:t>平台正常运转情况</w:t>
            </w:r>
          </w:p>
        </w:tc>
        <w:tc>
          <w:tcPr>
            <w:tcW w:w="1276" w:type="dxa"/>
            <w:vAlign w:val="center"/>
          </w:tcPr>
          <w:p>
            <w:pPr>
              <w:pStyle w:val="10"/>
            </w:pPr>
            <w:r>
              <w:t>≥95%</w:t>
            </w:r>
          </w:p>
        </w:tc>
        <w:tc>
          <w:tcPr>
            <w:tcW w:w="1843" w:type="dxa"/>
            <w:vAlign w:val="center"/>
          </w:tcPr>
          <w:p>
            <w:pPr>
              <w:pStyle w:val="10"/>
            </w:pPr>
            <w:r>
              <w:t>满足主管部门要求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采购设备合格率</w:t>
            </w:r>
          </w:p>
        </w:tc>
        <w:tc>
          <w:tcPr>
            <w:tcW w:w="2891" w:type="dxa"/>
            <w:vAlign w:val="center"/>
          </w:tcPr>
          <w:p>
            <w:pPr>
              <w:pStyle w:val="10"/>
            </w:pPr>
            <w:r>
              <w:t>采购设备合格率</w:t>
            </w:r>
          </w:p>
        </w:tc>
        <w:tc>
          <w:tcPr>
            <w:tcW w:w="1276" w:type="dxa"/>
            <w:vAlign w:val="center"/>
          </w:tcPr>
          <w:p>
            <w:pPr>
              <w:pStyle w:val="10"/>
            </w:pPr>
            <w:r>
              <w:t>100%</w:t>
            </w:r>
          </w:p>
        </w:tc>
        <w:tc>
          <w:tcPr>
            <w:tcW w:w="1843" w:type="dxa"/>
            <w:vAlign w:val="center"/>
          </w:tcPr>
          <w:p>
            <w:pPr>
              <w:pStyle w:val="10"/>
            </w:pPr>
            <w:r>
              <w:t>满足主管部门要求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卫星遥感监测区市覆盖率</w:t>
            </w:r>
          </w:p>
        </w:tc>
        <w:tc>
          <w:tcPr>
            <w:tcW w:w="2891" w:type="dxa"/>
            <w:vAlign w:val="center"/>
          </w:tcPr>
          <w:p>
            <w:pPr>
              <w:pStyle w:val="10"/>
            </w:pPr>
            <w:r>
              <w:t>卫星遥感监测区市覆盖率</w:t>
            </w:r>
          </w:p>
        </w:tc>
        <w:tc>
          <w:tcPr>
            <w:tcW w:w="1276" w:type="dxa"/>
            <w:vAlign w:val="center"/>
          </w:tcPr>
          <w:p>
            <w:pPr>
              <w:pStyle w:val="10"/>
            </w:pPr>
            <w:r>
              <w:t>≥60%</w:t>
            </w:r>
          </w:p>
        </w:tc>
        <w:tc>
          <w:tcPr>
            <w:tcW w:w="1843" w:type="dxa"/>
            <w:vAlign w:val="center"/>
          </w:tcPr>
          <w:p>
            <w:pPr>
              <w:pStyle w:val="10"/>
            </w:pPr>
            <w:r>
              <w:t>满足主管部门要求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分析样品数据准确率</w:t>
            </w:r>
          </w:p>
        </w:tc>
        <w:tc>
          <w:tcPr>
            <w:tcW w:w="2891" w:type="dxa"/>
            <w:vAlign w:val="center"/>
          </w:tcPr>
          <w:p>
            <w:pPr>
              <w:pStyle w:val="10"/>
            </w:pPr>
            <w:r>
              <w:t>分析样品数据准确率</w:t>
            </w:r>
          </w:p>
        </w:tc>
        <w:tc>
          <w:tcPr>
            <w:tcW w:w="1276" w:type="dxa"/>
            <w:vAlign w:val="center"/>
          </w:tcPr>
          <w:p>
            <w:pPr>
              <w:pStyle w:val="10"/>
            </w:pPr>
            <w:r>
              <w:t>≥98%</w:t>
            </w:r>
          </w:p>
        </w:tc>
        <w:tc>
          <w:tcPr>
            <w:tcW w:w="1843" w:type="dxa"/>
            <w:vAlign w:val="center"/>
          </w:tcPr>
          <w:p>
            <w:pPr>
              <w:pStyle w:val="10"/>
            </w:pPr>
            <w:r>
              <w:t>满足主管部门要求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项目验收合格率</w:t>
            </w:r>
          </w:p>
        </w:tc>
        <w:tc>
          <w:tcPr>
            <w:tcW w:w="2891" w:type="dxa"/>
            <w:vAlign w:val="center"/>
          </w:tcPr>
          <w:p>
            <w:pPr>
              <w:pStyle w:val="10"/>
            </w:pPr>
            <w:r>
              <w:t>项目验收合格率</w:t>
            </w:r>
          </w:p>
        </w:tc>
        <w:tc>
          <w:tcPr>
            <w:tcW w:w="1276" w:type="dxa"/>
            <w:vAlign w:val="center"/>
          </w:tcPr>
          <w:p>
            <w:pPr>
              <w:pStyle w:val="10"/>
            </w:pPr>
            <w:r>
              <w:t>100%</w:t>
            </w:r>
          </w:p>
        </w:tc>
        <w:tc>
          <w:tcPr>
            <w:tcW w:w="1843" w:type="dxa"/>
            <w:vAlign w:val="center"/>
          </w:tcPr>
          <w:p>
            <w:pPr>
              <w:pStyle w:val="10"/>
            </w:pPr>
            <w:r>
              <w:t>满足主管部门要求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农村黑臭水体核查覆盖率</w:t>
            </w:r>
          </w:p>
        </w:tc>
        <w:tc>
          <w:tcPr>
            <w:tcW w:w="2891" w:type="dxa"/>
            <w:vAlign w:val="center"/>
          </w:tcPr>
          <w:p>
            <w:pPr>
              <w:pStyle w:val="10"/>
            </w:pPr>
            <w:r>
              <w:t>农村黑臭水体核查覆盖率</w:t>
            </w:r>
          </w:p>
        </w:tc>
        <w:tc>
          <w:tcPr>
            <w:tcW w:w="1276" w:type="dxa"/>
            <w:vAlign w:val="center"/>
          </w:tcPr>
          <w:p>
            <w:pPr>
              <w:pStyle w:val="10"/>
            </w:pPr>
            <w:r>
              <w:t>100%</w:t>
            </w:r>
          </w:p>
        </w:tc>
        <w:tc>
          <w:tcPr>
            <w:tcW w:w="1843" w:type="dxa"/>
            <w:vAlign w:val="center"/>
          </w:tcPr>
          <w:p>
            <w:pPr>
              <w:pStyle w:val="10"/>
            </w:pPr>
            <w:r>
              <w:t>满足主管部门要求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行政村核查覆盖率</w:t>
            </w:r>
          </w:p>
        </w:tc>
        <w:tc>
          <w:tcPr>
            <w:tcW w:w="2891" w:type="dxa"/>
            <w:vAlign w:val="center"/>
          </w:tcPr>
          <w:p>
            <w:pPr>
              <w:pStyle w:val="10"/>
            </w:pPr>
            <w:r>
              <w:t>行政村核查覆盖率</w:t>
            </w:r>
          </w:p>
        </w:tc>
        <w:tc>
          <w:tcPr>
            <w:tcW w:w="1276" w:type="dxa"/>
            <w:vAlign w:val="center"/>
          </w:tcPr>
          <w:p>
            <w:pPr>
              <w:pStyle w:val="10"/>
            </w:pPr>
            <w:r>
              <w:t>100%</w:t>
            </w:r>
          </w:p>
        </w:tc>
        <w:tc>
          <w:tcPr>
            <w:tcW w:w="1843" w:type="dxa"/>
            <w:vAlign w:val="center"/>
          </w:tcPr>
          <w:p>
            <w:pPr>
              <w:pStyle w:val="10"/>
            </w:pPr>
            <w:r>
              <w:t>满足主管部门要求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监测及完成</w:t>
            </w:r>
            <w:r>
              <w:rPr>
                <w:rFonts w:hint="eastAsia"/>
                <w:lang w:eastAsia="zh-CN"/>
              </w:rPr>
              <w:t>及时率</w:t>
            </w:r>
          </w:p>
        </w:tc>
        <w:tc>
          <w:tcPr>
            <w:tcW w:w="2891" w:type="dxa"/>
            <w:vAlign w:val="center"/>
          </w:tcPr>
          <w:p>
            <w:pPr>
              <w:pStyle w:val="10"/>
            </w:pPr>
            <w:r>
              <w:t>监测及完成</w:t>
            </w:r>
            <w:r>
              <w:rPr>
                <w:rFonts w:hint="eastAsia"/>
                <w:lang w:eastAsia="zh-CN"/>
              </w:rPr>
              <w:t>及时率</w:t>
            </w:r>
          </w:p>
        </w:tc>
        <w:tc>
          <w:tcPr>
            <w:tcW w:w="1276" w:type="dxa"/>
            <w:vAlign w:val="center"/>
          </w:tcPr>
          <w:p>
            <w:pPr>
              <w:pStyle w:val="10"/>
            </w:pPr>
            <w:r>
              <w:rPr>
                <w:rFonts w:hint="eastAsia"/>
                <w:lang w:eastAsia="zh-CN"/>
              </w:rPr>
              <w:t>100%</w:t>
            </w:r>
          </w:p>
        </w:tc>
        <w:tc>
          <w:tcPr>
            <w:tcW w:w="1843" w:type="dxa"/>
            <w:vAlign w:val="center"/>
          </w:tcPr>
          <w:p>
            <w:pPr>
              <w:pStyle w:val="10"/>
            </w:pPr>
            <w:r>
              <w:t>年度工作任务要求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站点建设完成时间</w:t>
            </w:r>
          </w:p>
        </w:tc>
        <w:tc>
          <w:tcPr>
            <w:tcW w:w="2891" w:type="dxa"/>
            <w:vAlign w:val="center"/>
          </w:tcPr>
          <w:p>
            <w:pPr>
              <w:pStyle w:val="10"/>
            </w:pPr>
            <w:r>
              <w:t>站点建设完成时间</w:t>
            </w:r>
          </w:p>
        </w:tc>
        <w:tc>
          <w:tcPr>
            <w:tcW w:w="1276" w:type="dxa"/>
            <w:vAlign w:val="center"/>
          </w:tcPr>
          <w:p>
            <w:pPr>
              <w:pStyle w:val="10"/>
            </w:pPr>
            <w:r>
              <w:rPr>
                <w:rFonts w:hint="eastAsia"/>
                <w:lang w:eastAsia="zh-CN"/>
              </w:rPr>
              <w:t>≤</w:t>
            </w:r>
            <w:r>
              <w:t>2023年11月</w:t>
            </w:r>
          </w:p>
        </w:tc>
        <w:tc>
          <w:tcPr>
            <w:tcW w:w="1843" w:type="dxa"/>
            <w:vAlign w:val="center"/>
          </w:tcPr>
          <w:p>
            <w:pPr>
              <w:pStyle w:val="10"/>
            </w:pPr>
            <w:r>
              <w:t>年度工作任务要求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颗粒物组分月报</w:t>
            </w:r>
          </w:p>
        </w:tc>
        <w:tc>
          <w:tcPr>
            <w:tcW w:w="2891" w:type="dxa"/>
            <w:vAlign w:val="center"/>
          </w:tcPr>
          <w:p>
            <w:pPr>
              <w:pStyle w:val="10"/>
            </w:pPr>
            <w:r>
              <w:t>颗粒物组分月报</w:t>
            </w:r>
          </w:p>
        </w:tc>
        <w:tc>
          <w:tcPr>
            <w:tcW w:w="1276" w:type="dxa"/>
            <w:vAlign w:val="center"/>
          </w:tcPr>
          <w:p>
            <w:pPr>
              <w:pStyle w:val="10"/>
            </w:pPr>
            <w:r>
              <w:t>1次/月</w:t>
            </w:r>
          </w:p>
        </w:tc>
        <w:tc>
          <w:tcPr>
            <w:tcW w:w="1843" w:type="dxa"/>
            <w:vAlign w:val="center"/>
          </w:tcPr>
          <w:p>
            <w:pPr>
              <w:pStyle w:val="10"/>
            </w:pPr>
            <w:r>
              <w:t>年度工作任务要求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挥发性有机物监测月报</w:t>
            </w:r>
          </w:p>
        </w:tc>
        <w:tc>
          <w:tcPr>
            <w:tcW w:w="2891" w:type="dxa"/>
            <w:vAlign w:val="center"/>
          </w:tcPr>
          <w:p>
            <w:pPr>
              <w:pStyle w:val="10"/>
            </w:pPr>
            <w:r>
              <w:t>挥发性有机物监测月报</w:t>
            </w:r>
          </w:p>
        </w:tc>
        <w:tc>
          <w:tcPr>
            <w:tcW w:w="1276" w:type="dxa"/>
            <w:vAlign w:val="center"/>
          </w:tcPr>
          <w:p>
            <w:pPr>
              <w:pStyle w:val="10"/>
            </w:pPr>
            <w:r>
              <w:t>1次/月</w:t>
            </w:r>
          </w:p>
        </w:tc>
        <w:tc>
          <w:tcPr>
            <w:tcW w:w="1843" w:type="dxa"/>
            <w:vAlign w:val="center"/>
          </w:tcPr>
          <w:p>
            <w:pPr>
              <w:pStyle w:val="10"/>
            </w:pPr>
            <w:r>
              <w:t>年度工作任务要求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及时完成率</w:t>
            </w:r>
          </w:p>
        </w:tc>
        <w:tc>
          <w:tcPr>
            <w:tcW w:w="2891" w:type="dxa"/>
            <w:vAlign w:val="center"/>
          </w:tcPr>
          <w:p>
            <w:pPr>
              <w:pStyle w:val="10"/>
            </w:pPr>
            <w:r>
              <w:t>及时完成率≥90%</w:t>
            </w:r>
          </w:p>
        </w:tc>
        <w:tc>
          <w:tcPr>
            <w:tcW w:w="1276" w:type="dxa"/>
            <w:vAlign w:val="center"/>
          </w:tcPr>
          <w:p>
            <w:pPr>
              <w:pStyle w:val="10"/>
            </w:pPr>
            <w:r>
              <w:t>≥90%</w:t>
            </w:r>
          </w:p>
        </w:tc>
        <w:tc>
          <w:tcPr>
            <w:tcW w:w="1843" w:type="dxa"/>
            <w:vAlign w:val="center"/>
          </w:tcPr>
          <w:p>
            <w:pPr>
              <w:pStyle w:val="10"/>
            </w:pPr>
            <w:r>
              <w:t>年度工作任务要求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卫星遥感监测日报</w:t>
            </w:r>
          </w:p>
        </w:tc>
        <w:tc>
          <w:tcPr>
            <w:tcW w:w="2891" w:type="dxa"/>
            <w:vAlign w:val="center"/>
          </w:tcPr>
          <w:p>
            <w:pPr>
              <w:pStyle w:val="10"/>
            </w:pPr>
            <w:r>
              <w:t>卫星遥感监测日报</w:t>
            </w:r>
          </w:p>
        </w:tc>
        <w:tc>
          <w:tcPr>
            <w:tcW w:w="1276" w:type="dxa"/>
            <w:vAlign w:val="center"/>
          </w:tcPr>
          <w:p>
            <w:pPr>
              <w:pStyle w:val="10"/>
            </w:pPr>
            <w:r>
              <w:t>1次/天</w:t>
            </w:r>
          </w:p>
        </w:tc>
        <w:tc>
          <w:tcPr>
            <w:tcW w:w="1843" w:type="dxa"/>
            <w:vAlign w:val="center"/>
          </w:tcPr>
          <w:p>
            <w:pPr>
              <w:pStyle w:val="10"/>
            </w:pPr>
            <w:r>
              <w:t>年度工作任务要求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卫星遥感监测专题月报</w:t>
            </w:r>
          </w:p>
        </w:tc>
        <w:tc>
          <w:tcPr>
            <w:tcW w:w="2891" w:type="dxa"/>
            <w:vAlign w:val="center"/>
          </w:tcPr>
          <w:p>
            <w:pPr>
              <w:pStyle w:val="10"/>
            </w:pPr>
            <w:r>
              <w:t>卫星遥感监测专题月报</w:t>
            </w:r>
          </w:p>
        </w:tc>
        <w:tc>
          <w:tcPr>
            <w:tcW w:w="1276" w:type="dxa"/>
            <w:vAlign w:val="center"/>
          </w:tcPr>
          <w:p>
            <w:pPr>
              <w:pStyle w:val="10"/>
            </w:pPr>
            <w:r>
              <w:t>1次/月</w:t>
            </w:r>
          </w:p>
        </w:tc>
        <w:tc>
          <w:tcPr>
            <w:tcW w:w="1843" w:type="dxa"/>
            <w:vAlign w:val="center"/>
          </w:tcPr>
          <w:p>
            <w:pPr>
              <w:pStyle w:val="10"/>
            </w:pPr>
            <w:r>
              <w:t>年度工作任务要求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农村黑臭水体核查问题整改率</w:t>
            </w:r>
          </w:p>
        </w:tc>
        <w:tc>
          <w:tcPr>
            <w:tcW w:w="2891" w:type="dxa"/>
            <w:vAlign w:val="center"/>
          </w:tcPr>
          <w:p>
            <w:pPr>
              <w:pStyle w:val="10"/>
            </w:pPr>
            <w:r>
              <w:t>农村黑臭水体核查问题整改率</w:t>
            </w:r>
          </w:p>
        </w:tc>
        <w:tc>
          <w:tcPr>
            <w:tcW w:w="1276" w:type="dxa"/>
            <w:vAlign w:val="center"/>
          </w:tcPr>
          <w:p>
            <w:pPr>
              <w:pStyle w:val="10"/>
            </w:pPr>
            <w:r>
              <w:t>≥90%</w:t>
            </w:r>
          </w:p>
        </w:tc>
        <w:tc>
          <w:tcPr>
            <w:tcW w:w="1843" w:type="dxa"/>
            <w:vAlign w:val="center"/>
          </w:tcPr>
          <w:p>
            <w:pPr>
              <w:pStyle w:val="10"/>
            </w:pPr>
            <w:r>
              <w:t>满足主管部门要求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行政村核查问题整改率</w:t>
            </w:r>
          </w:p>
        </w:tc>
        <w:tc>
          <w:tcPr>
            <w:tcW w:w="2891" w:type="dxa"/>
            <w:vAlign w:val="center"/>
          </w:tcPr>
          <w:p>
            <w:pPr>
              <w:pStyle w:val="10"/>
            </w:pPr>
            <w:r>
              <w:t>行政村核查问题整改率</w:t>
            </w:r>
          </w:p>
        </w:tc>
        <w:tc>
          <w:tcPr>
            <w:tcW w:w="1276" w:type="dxa"/>
            <w:vAlign w:val="center"/>
          </w:tcPr>
          <w:p>
            <w:pPr>
              <w:pStyle w:val="10"/>
            </w:pPr>
            <w:r>
              <w:t>≥90%</w:t>
            </w:r>
          </w:p>
        </w:tc>
        <w:tc>
          <w:tcPr>
            <w:tcW w:w="1843" w:type="dxa"/>
            <w:vAlign w:val="center"/>
          </w:tcPr>
          <w:p>
            <w:pPr>
              <w:pStyle w:val="10"/>
            </w:pPr>
            <w:r>
              <w:t>满足主管部门要求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自然保护区生态环境监管水平</w:t>
            </w:r>
          </w:p>
        </w:tc>
        <w:tc>
          <w:tcPr>
            <w:tcW w:w="2891" w:type="dxa"/>
            <w:vAlign w:val="center"/>
          </w:tcPr>
          <w:p>
            <w:pPr>
              <w:pStyle w:val="10"/>
            </w:pPr>
            <w:r>
              <w:t>自然保护区生态环境监管水平提高</w:t>
            </w:r>
          </w:p>
        </w:tc>
        <w:tc>
          <w:tcPr>
            <w:tcW w:w="1276" w:type="dxa"/>
            <w:vAlign w:val="center"/>
          </w:tcPr>
          <w:p>
            <w:pPr>
              <w:pStyle w:val="10"/>
            </w:pPr>
            <w:r>
              <w:t>提高</w:t>
            </w:r>
          </w:p>
        </w:tc>
        <w:tc>
          <w:tcPr>
            <w:tcW w:w="1843" w:type="dxa"/>
            <w:vAlign w:val="center"/>
          </w:tcPr>
          <w:p>
            <w:pPr>
              <w:pStyle w:val="10"/>
            </w:pPr>
            <w:r>
              <w:t>年度工作任务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社会公众满意度</w:t>
            </w:r>
          </w:p>
        </w:tc>
        <w:tc>
          <w:tcPr>
            <w:tcW w:w="2891" w:type="dxa"/>
            <w:vAlign w:val="center"/>
          </w:tcPr>
          <w:p>
            <w:pPr>
              <w:pStyle w:val="10"/>
            </w:pPr>
            <w:r>
              <w:t>社会公众对部门工作的满意度</w:t>
            </w:r>
          </w:p>
        </w:tc>
        <w:tc>
          <w:tcPr>
            <w:tcW w:w="1276" w:type="dxa"/>
            <w:vAlign w:val="center"/>
          </w:tcPr>
          <w:p>
            <w:pPr>
              <w:pStyle w:val="10"/>
            </w:pPr>
            <w:r>
              <w:t>≥90%</w:t>
            </w:r>
          </w:p>
        </w:tc>
        <w:tc>
          <w:tcPr>
            <w:tcW w:w="1843" w:type="dxa"/>
            <w:vAlign w:val="center"/>
          </w:tcPr>
          <w:p>
            <w:pPr>
              <w:pStyle w:val="10"/>
            </w:pPr>
            <w:r>
              <w:t>满足主管部门要求</w:t>
            </w:r>
          </w:p>
        </w:tc>
      </w:tr>
    </w:tbl>
    <w:p>
      <w:pPr>
        <w:sectPr>
          <w:footerReference r:id="rId15" w:type="default"/>
          <w:footerReference r:id="rId16" w:type="even"/>
          <w:pgSz w:w="11900" w:h="16840"/>
          <w:pgMar w:top="1984" w:right="1304" w:bottom="1134" w:left="1304" w:header="720" w:footer="720" w:gutter="0"/>
          <w:pgNumType w:fmt="numberInDash"/>
          <w:cols w:space="720" w:num="1"/>
        </w:sectPr>
      </w:pPr>
    </w:p>
    <w:p>
      <w:pPr>
        <w:jc w:val="both"/>
      </w:pPr>
      <w:r>
        <w:rPr>
          <w:rFonts w:ascii="方正仿宋_GBK" w:hAnsi="方正仿宋_GBK" w:eastAsia="方正仿宋_GBK" w:cs="方正仿宋_GBK"/>
          <w:color w:val="000000"/>
          <w:sz w:val="28"/>
        </w:rPr>
        <w:t xml:space="preserve"> </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702001青岛市生态环境局本级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37020023P57000510003U</w:t>
            </w:r>
          </w:p>
        </w:tc>
        <w:tc>
          <w:tcPr>
            <w:tcW w:w="1587" w:type="dxa"/>
            <w:vAlign w:val="center"/>
          </w:tcPr>
          <w:p>
            <w:pPr>
              <w:pStyle w:val="9"/>
            </w:pPr>
            <w:r>
              <w:t>项目名称</w:t>
            </w:r>
          </w:p>
        </w:tc>
        <w:tc>
          <w:tcPr>
            <w:tcW w:w="4422" w:type="dxa"/>
            <w:gridSpan w:val="3"/>
            <w:vAlign w:val="center"/>
          </w:tcPr>
          <w:p>
            <w:pPr>
              <w:pStyle w:val="10"/>
            </w:pPr>
            <w:r>
              <w:t>土壤污染治理修复监测保障项目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1368.00</w:t>
            </w:r>
          </w:p>
        </w:tc>
        <w:tc>
          <w:tcPr>
            <w:tcW w:w="1587" w:type="dxa"/>
            <w:vAlign w:val="center"/>
          </w:tcPr>
          <w:p>
            <w:pPr>
              <w:pStyle w:val="9"/>
            </w:pPr>
            <w:r>
              <w:t>其中：财政    资金</w:t>
            </w:r>
          </w:p>
        </w:tc>
        <w:tc>
          <w:tcPr>
            <w:tcW w:w="1304" w:type="dxa"/>
            <w:vAlign w:val="center"/>
          </w:tcPr>
          <w:p>
            <w:pPr>
              <w:pStyle w:val="10"/>
            </w:pPr>
            <w:r>
              <w:t>1368.00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土壤监测、评估先行区试点等项目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300.00</w:t>
            </w:r>
          </w:p>
        </w:tc>
        <w:tc>
          <w:tcPr>
            <w:tcW w:w="1587" w:type="dxa"/>
            <w:vAlign w:val="center"/>
          </w:tcPr>
          <w:p>
            <w:pPr>
              <w:pStyle w:val="11"/>
            </w:pPr>
            <w:r>
              <w:t>830.00</w:t>
            </w:r>
          </w:p>
        </w:tc>
        <w:tc>
          <w:tcPr>
            <w:tcW w:w="1304" w:type="dxa"/>
            <w:vAlign w:val="center"/>
          </w:tcPr>
          <w:p>
            <w:pPr>
              <w:pStyle w:val="11"/>
            </w:pPr>
            <w:r>
              <w:t>1200.00</w:t>
            </w:r>
          </w:p>
        </w:tc>
        <w:tc>
          <w:tcPr>
            <w:tcW w:w="3118" w:type="dxa"/>
            <w:gridSpan w:val="2"/>
            <w:vAlign w:val="center"/>
          </w:tcPr>
          <w:p>
            <w:pPr>
              <w:pStyle w:val="11"/>
            </w:pPr>
            <w:r>
              <w:t>1368.00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ind w:firstLine="210" w:firstLineChars="100"/>
            </w:pPr>
            <w:r>
              <w:t xml:space="preserve">  一、通过开展土壤污染状况调查，完成青岛市土壤污染状况调查报告、风险评估报告及修复效果评估报告的评审工作；</w:t>
            </w:r>
          </w:p>
          <w:p>
            <w:pPr>
              <w:pStyle w:val="10"/>
            </w:pPr>
            <w:r>
              <w:t xml:space="preserve">    二、通过对有土壤污染风险的建设用地土壤污染状况调查、风险管控与修复实行闭环式全流程监管，探索建立土壤污染状况调查实验室质量检查跨市协作机制；</w:t>
            </w:r>
          </w:p>
          <w:p>
            <w:pPr>
              <w:pStyle w:val="10"/>
            </w:pPr>
            <w:r>
              <w:t xml:space="preserve">    三、通过土壤污染重点监管单位周边土壤进行监测；开展重点监管单位隐患排查评估、自行监测方案审核，总结推广典型案例；</w:t>
            </w:r>
          </w:p>
          <w:p>
            <w:pPr>
              <w:pStyle w:val="10"/>
            </w:pPr>
            <w:r>
              <w:t xml:space="preserve">    四、通过对70个地下水长期动态监测点开展监测工作，为地下水管理提供提供支撑；选取典型生活垃圾填埋场进行地下水环境状况调查评估；</w:t>
            </w:r>
          </w:p>
          <w:p>
            <w:pPr>
              <w:pStyle w:val="10"/>
            </w:pPr>
            <w:r>
              <w:t xml:space="preserve">    五、通过对土壤污染防治先行区建设提供源头预防、用地准入管理、调查质量提升等方面年度任务提供技术支撑服务，开展分阶段效果评估等试点经验总结，总结先行区建设经验，完成中期评估；</w:t>
            </w:r>
          </w:p>
          <w:p>
            <w:pPr>
              <w:pStyle w:val="10"/>
            </w:pPr>
            <w:r>
              <w:t xml:space="preserve">    六、通过对青岛市危险废物产生单位和经营单位的危险废物规范化环境管理情况进行抽查评估；根据危险废物产生量及处置能力现状对危险废物产生量与处置能力匹配情况及设施运行情况评估；对申请危险废物经营许可证和废弃电器电子产品处理资格证书的企业进行技术审查，核发、更换或变更；</w:t>
            </w:r>
          </w:p>
          <w:p>
            <w:pPr>
              <w:pStyle w:val="10"/>
            </w:pPr>
            <w:r>
              <w:t xml:space="preserve">    七、通过对危险废物经营单位环保设施和项目组织开展安全风险评估和隐患排查；开展危废重点风险监管单位年度监督检查、政策规定执行情况评估、危废管理情况评估、风险评估等工作。</w:t>
            </w:r>
          </w:p>
          <w:p>
            <w:pPr>
              <w:pStyle w:val="10"/>
            </w:pPr>
            <w:r>
              <w:t xml:space="preserve">    八、通过组建技术支持团队和专家咨询团队，为“无废城市”建设各项重点工作任务提供技术保障；开展固体废物责任清单、固体废物综合利用、固体废物分级分类管理、无废城市细胞创建标准制度研究，健全“无废城市”建设制度体系；开展“无废城市”建设宣传；“无废城市”建设成效开展群众获得感调查。 </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土壤污染治理修复监测保障项目预算控制数</w:t>
            </w:r>
          </w:p>
        </w:tc>
        <w:tc>
          <w:tcPr>
            <w:tcW w:w="2891" w:type="dxa"/>
            <w:vAlign w:val="center"/>
          </w:tcPr>
          <w:p>
            <w:pPr>
              <w:pStyle w:val="10"/>
            </w:pPr>
            <w:r>
              <w:t>土壤污染治理修复监测保障项目预算控制数</w:t>
            </w:r>
          </w:p>
        </w:tc>
        <w:tc>
          <w:tcPr>
            <w:tcW w:w="1276" w:type="dxa"/>
            <w:vAlign w:val="center"/>
          </w:tcPr>
          <w:p>
            <w:pPr>
              <w:pStyle w:val="10"/>
            </w:pPr>
            <w:r>
              <w:t>≤1368万元</w:t>
            </w:r>
          </w:p>
        </w:tc>
        <w:tc>
          <w:tcPr>
            <w:tcW w:w="1843" w:type="dxa"/>
            <w:vAlign w:val="center"/>
          </w:tcPr>
          <w:p>
            <w:pPr>
              <w:pStyle w:val="10"/>
            </w:pPr>
            <w:r>
              <w:t>年度预算批复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质量控制地块、报告数量</w:t>
            </w:r>
          </w:p>
        </w:tc>
        <w:tc>
          <w:tcPr>
            <w:tcW w:w="2891" w:type="dxa"/>
            <w:vAlign w:val="center"/>
          </w:tcPr>
          <w:p>
            <w:pPr>
              <w:pStyle w:val="10"/>
            </w:pPr>
            <w:r>
              <w:t>质量控制地块、报告数量</w:t>
            </w:r>
          </w:p>
        </w:tc>
        <w:tc>
          <w:tcPr>
            <w:tcW w:w="1276" w:type="dxa"/>
            <w:vAlign w:val="center"/>
          </w:tcPr>
          <w:p>
            <w:pPr>
              <w:pStyle w:val="10"/>
            </w:pPr>
            <w:r>
              <w:t>≥100个</w:t>
            </w:r>
          </w:p>
        </w:tc>
        <w:tc>
          <w:tcPr>
            <w:tcW w:w="1843" w:type="dxa"/>
            <w:vAlign w:val="center"/>
          </w:tcPr>
          <w:p>
            <w:pPr>
              <w:pStyle w:val="10"/>
            </w:pPr>
            <w:r>
              <w:t>山东省生态环境厅关于进一步做好建设用地土壤污染风险管控和修复工作的通知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调查评估垃圾填埋场数量</w:t>
            </w:r>
          </w:p>
        </w:tc>
        <w:tc>
          <w:tcPr>
            <w:tcW w:w="2891" w:type="dxa"/>
            <w:vAlign w:val="center"/>
          </w:tcPr>
          <w:p>
            <w:pPr>
              <w:pStyle w:val="10"/>
            </w:pPr>
            <w:r>
              <w:t>调查评估垃圾填埋场数量</w:t>
            </w:r>
          </w:p>
        </w:tc>
        <w:tc>
          <w:tcPr>
            <w:tcW w:w="1276" w:type="dxa"/>
            <w:vAlign w:val="center"/>
          </w:tcPr>
          <w:p>
            <w:pPr>
              <w:pStyle w:val="10"/>
            </w:pPr>
            <w:r>
              <w:t>1个</w:t>
            </w:r>
          </w:p>
        </w:tc>
        <w:tc>
          <w:tcPr>
            <w:tcW w:w="1843" w:type="dxa"/>
            <w:vAlign w:val="center"/>
          </w:tcPr>
          <w:p>
            <w:pPr>
              <w:pStyle w:val="10"/>
            </w:pPr>
            <w:r>
              <w:t>山东省生态环境厅关于进一步做好建设用地土壤污染风险管控和修复工作的通知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相关支撑文件</w:t>
            </w:r>
          </w:p>
        </w:tc>
        <w:tc>
          <w:tcPr>
            <w:tcW w:w="2891" w:type="dxa"/>
            <w:vAlign w:val="center"/>
          </w:tcPr>
          <w:p>
            <w:pPr>
              <w:pStyle w:val="10"/>
            </w:pPr>
            <w:r>
              <w:t>先行区相关技术支撑文件</w:t>
            </w:r>
          </w:p>
        </w:tc>
        <w:tc>
          <w:tcPr>
            <w:tcW w:w="1276" w:type="dxa"/>
            <w:vAlign w:val="center"/>
          </w:tcPr>
          <w:p>
            <w:pPr>
              <w:pStyle w:val="10"/>
            </w:pPr>
            <w:r>
              <w:t>≥10份</w:t>
            </w:r>
          </w:p>
        </w:tc>
        <w:tc>
          <w:tcPr>
            <w:tcW w:w="1843" w:type="dxa"/>
            <w:vAlign w:val="center"/>
          </w:tcPr>
          <w:p>
            <w:pPr>
              <w:pStyle w:val="10"/>
            </w:pPr>
            <w:r>
              <w:t>满足国家试点相关要求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报告验收通过率</w:t>
            </w:r>
          </w:p>
        </w:tc>
        <w:tc>
          <w:tcPr>
            <w:tcW w:w="2891" w:type="dxa"/>
            <w:vAlign w:val="center"/>
          </w:tcPr>
          <w:p>
            <w:pPr>
              <w:pStyle w:val="10"/>
            </w:pPr>
            <w:r>
              <w:t>报告验收通过率</w:t>
            </w:r>
          </w:p>
        </w:tc>
        <w:tc>
          <w:tcPr>
            <w:tcW w:w="1276" w:type="dxa"/>
            <w:vAlign w:val="center"/>
          </w:tcPr>
          <w:p>
            <w:pPr>
              <w:pStyle w:val="10"/>
            </w:pPr>
            <w:r>
              <w:t>100%</w:t>
            </w:r>
          </w:p>
        </w:tc>
        <w:tc>
          <w:tcPr>
            <w:tcW w:w="1843" w:type="dxa"/>
            <w:vAlign w:val="center"/>
          </w:tcPr>
          <w:p>
            <w:pPr>
              <w:pStyle w:val="10"/>
            </w:pPr>
            <w:r>
              <w:t>年度工作任务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调查评估垃圾填埋场覆盖率</w:t>
            </w:r>
          </w:p>
        </w:tc>
        <w:tc>
          <w:tcPr>
            <w:tcW w:w="2891" w:type="dxa"/>
            <w:vAlign w:val="center"/>
          </w:tcPr>
          <w:p>
            <w:pPr>
              <w:pStyle w:val="10"/>
            </w:pPr>
            <w:r>
              <w:t>调查评估垃圾填埋场覆盖率</w:t>
            </w:r>
          </w:p>
        </w:tc>
        <w:tc>
          <w:tcPr>
            <w:tcW w:w="1276" w:type="dxa"/>
            <w:vAlign w:val="center"/>
          </w:tcPr>
          <w:p>
            <w:pPr>
              <w:pStyle w:val="10"/>
            </w:pPr>
            <w:r>
              <w:t>100%</w:t>
            </w:r>
          </w:p>
        </w:tc>
        <w:tc>
          <w:tcPr>
            <w:tcW w:w="1843" w:type="dxa"/>
            <w:vAlign w:val="center"/>
          </w:tcPr>
          <w:p>
            <w:pPr>
              <w:pStyle w:val="10"/>
            </w:pPr>
            <w:r>
              <w:t>满足主管部门要求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对青岛市危险废物产生单位和危险废物经营单位的抽查评估覆盖率</w:t>
            </w:r>
          </w:p>
        </w:tc>
        <w:tc>
          <w:tcPr>
            <w:tcW w:w="2891" w:type="dxa"/>
            <w:vAlign w:val="center"/>
          </w:tcPr>
          <w:p>
            <w:pPr>
              <w:pStyle w:val="10"/>
            </w:pPr>
            <w:r>
              <w:t>对青岛市危险废物产生单位和危险废物经营单位的抽查评估覆盖率</w:t>
            </w:r>
          </w:p>
        </w:tc>
        <w:tc>
          <w:tcPr>
            <w:tcW w:w="1276" w:type="dxa"/>
            <w:vAlign w:val="center"/>
          </w:tcPr>
          <w:p>
            <w:pPr>
              <w:pStyle w:val="10"/>
            </w:pPr>
            <w:r>
              <w:t>100%</w:t>
            </w:r>
          </w:p>
        </w:tc>
        <w:tc>
          <w:tcPr>
            <w:tcW w:w="1843" w:type="dxa"/>
            <w:vAlign w:val="center"/>
          </w:tcPr>
          <w:p>
            <w:pPr>
              <w:pStyle w:val="10"/>
            </w:pPr>
            <w:r>
              <w:t>满足主管部门要求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调查完成时间</w:t>
            </w:r>
          </w:p>
        </w:tc>
        <w:tc>
          <w:tcPr>
            <w:tcW w:w="2891" w:type="dxa"/>
            <w:vAlign w:val="center"/>
          </w:tcPr>
          <w:p>
            <w:pPr>
              <w:pStyle w:val="10"/>
            </w:pPr>
            <w:r>
              <w:t>调查完成时间</w:t>
            </w:r>
          </w:p>
        </w:tc>
        <w:tc>
          <w:tcPr>
            <w:tcW w:w="1276" w:type="dxa"/>
            <w:vAlign w:val="center"/>
          </w:tcPr>
          <w:p>
            <w:pPr>
              <w:pStyle w:val="10"/>
            </w:pPr>
            <w:r>
              <w:t>≤11月</w:t>
            </w:r>
          </w:p>
        </w:tc>
        <w:tc>
          <w:tcPr>
            <w:tcW w:w="1843" w:type="dxa"/>
            <w:vAlign w:val="center"/>
          </w:tcPr>
          <w:p>
            <w:pPr>
              <w:pStyle w:val="10"/>
            </w:pPr>
            <w:r>
              <w:t>满足主管部门要求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土壤、危废环境管理水平</w:t>
            </w:r>
          </w:p>
        </w:tc>
        <w:tc>
          <w:tcPr>
            <w:tcW w:w="2891" w:type="dxa"/>
            <w:vAlign w:val="center"/>
          </w:tcPr>
          <w:p>
            <w:pPr>
              <w:pStyle w:val="10"/>
            </w:pPr>
            <w:r>
              <w:t>土壤、危废环境管理水平</w:t>
            </w:r>
          </w:p>
        </w:tc>
        <w:tc>
          <w:tcPr>
            <w:tcW w:w="1276" w:type="dxa"/>
            <w:vAlign w:val="center"/>
          </w:tcPr>
          <w:p>
            <w:pPr>
              <w:pStyle w:val="10"/>
              <w:rPr>
                <w:lang w:eastAsia="zh-CN"/>
              </w:rPr>
            </w:pPr>
            <w:r>
              <w:rPr>
                <w:rFonts w:hint="eastAsia"/>
                <w:lang w:eastAsia="zh-CN"/>
              </w:rPr>
              <w:t>同比提升</w:t>
            </w:r>
          </w:p>
        </w:tc>
        <w:tc>
          <w:tcPr>
            <w:tcW w:w="1843" w:type="dxa"/>
            <w:vAlign w:val="center"/>
          </w:tcPr>
          <w:p>
            <w:pPr>
              <w:pStyle w:val="10"/>
            </w:pPr>
            <w:r>
              <w:t>满足主管部门要求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土壤、地下水环境质量</w:t>
            </w:r>
          </w:p>
        </w:tc>
        <w:tc>
          <w:tcPr>
            <w:tcW w:w="2891" w:type="dxa"/>
            <w:vAlign w:val="center"/>
          </w:tcPr>
          <w:p>
            <w:pPr>
              <w:pStyle w:val="10"/>
            </w:pPr>
            <w:r>
              <w:t>土壤、地下水环境质量保持稳定</w:t>
            </w:r>
          </w:p>
        </w:tc>
        <w:tc>
          <w:tcPr>
            <w:tcW w:w="1276" w:type="dxa"/>
            <w:vAlign w:val="center"/>
          </w:tcPr>
          <w:p>
            <w:pPr>
              <w:pStyle w:val="10"/>
              <w:rPr>
                <w:lang w:eastAsia="zh-CN"/>
              </w:rPr>
            </w:pPr>
            <w:r>
              <w:rPr>
                <w:rFonts w:hint="eastAsia"/>
                <w:lang w:eastAsia="zh-CN"/>
              </w:rPr>
              <w:t>保持稳定</w:t>
            </w:r>
          </w:p>
        </w:tc>
        <w:tc>
          <w:tcPr>
            <w:tcW w:w="1843" w:type="dxa"/>
            <w:vAlign w:val="center"/>
          </w:tcPr>
          <w:p>
            <w:pPr>
              <w:pStyle w:val="10"/>
            </w:pPr>
            <w:r>
              <w:t>满足主管部门要求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群众对部门工作的满意度</w:t>
            </w:r>
          </w:p>
        </w:tc>
        <w:tc>
          <w:tcPr>
            <w:tcW w:w="1276" w:type="dxa"/>
            <w:vAlign w:val="center"/>
          </w:tcPr>
          <w:p>
            <w:pPr>
              <w:pStyle w:val="10"/>
            </w:pPr>
            <w:r>
              <w:t>≥90%</w:t>
            </w:r>
          </w:p>
        </w:tc>
        <w:tc>
          <w:tcPr>
            <w:tcW w:w="1843" w:type="dxa"/>
            <w:vAlign w:val="center"/>
          </w:tcPr>
          <w:p>
            <w:pPr>
              <w:pStyle w:val="10"/>
            </w:pPr>
            <w:r>
              <w:t>满足主管部门要求</w:t>
            </w:r>
          </w:p>
        </w:tc>
      </w:tr>
    </w:tbl>
    <w:p>
      <w:pPr>
        <w:sectPr>
          <w:pgSz w:w="11900" w:h="16840"/>
          <w:pgMar w:top="1984" w:right="1304" w:bottom="1134" w:left="1304" w:header="720" w:footer="720" w:gutter="0"/>
          <w:pgNumType w:fmt="numberInDash"/>
          <w:cols w:space="720" w:num="1"/>
        </w:sect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702001青岛市生态环境局本级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37020023P57000210003T</w:t>
            </w:r>
          </w:p>
        </w:tc>
        <w:tc>
          <w:tcPr>
            <w:tcW w:w="1587" w:type="dxa"/>
            <w:vAlign w:val="center"/>
          </w:tcPr>
          <w:p>
            <w:pPr>
              <w:pStyle w:val="9"/>
            </w:pPr>
            <w:r>
              <w:t>项目名称</w:t>
            </w:r>
          </w:p>
        </w:tc>
        <w:tc>
          <w:tcPr>
            <w:tcW w:w="4422" w:type="dxa"/>
            <w:gridSpan w:val="3"/>
            <w:vAlign w:val="center"/>
          </w:tcPr>
          <w:p>
            <w:pPr>
              <w:pStyle w:val="10"/>
            </w:pPr>
            <w:r>
              <w:t>水环境监测管理保障项目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1606.00</w:t>
            </w:r>
          </w:p>
        </w:tc>
        <w:tc>
          <w:tcPr>
            <w:tcW w:w="1587" w:type="dxa"/>
            <w:vAlign w:val="center"/>
          </w:tcPr>
          <w:p>
            <w:pPr>
              <w:pStyle w:val="9"/>
            </w:pPr>
            <w:r>
              <w:t>其中：财政    资金</w:t>
            </w:r>
          </w:p>
        </w:tc>
        <w:tc>
          <w:tcPr>
            <w:tcW w:w="1304" w:type="dxa"/>
            <w:vAlign w:val="center"/>
          </w:tcPr>
          <w:p>
            <w:pPr>
              <w:pStyle w:val="10"/>
            </w:pPr>
            <w:r>
              <w:t>1606.00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青岛市46个水质自动站运行维护及青岛市地表水断面水质手工监测项目、青岛市重点河湖污染排查溯源项目、青岛市排污口监控能力建设项目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400.00</w:t>
            </w:r>
          </w:p>
        </w:tc>
        <w:tc>
          <w:tcPr>
            <w:tcW w:w="1587" w:type="dxa"/>
            <w:vAlign w:val="center"/>
          </w:tcPr>
          <w:p>
            <w:pPr>
              <w:pStyle w:val="11"/>
            </w:pPr>
            <w:r>
              <w:t>1000.00</w:t>
            </w:r>
          </w:p>
        </w:tc>
        <w:tc>
          <w:tcPr>
            <w:tcW w:w="1304" w:type="dxa"/>
            <w:vAlign w:val="center"/>
          </w:tcPr>
          <w:p>
            <w:pPr>
              <w:pStyle w:val="11"/>
            </w:pPr>
            <w:r>
              <w:t>1500.00</w:t>
            </w:r>
          </w:p>
        </w:tc>
        <w:tc>
          <w:tcPr>
            <w:tcW w:w="3118" w:type="dxa"/>
            <w:gridSpan w:val="2"/>
            <w:vAlign w:val="center"/>
          </w:tcPr>
          <w:p>
            <w:pPr>
              <w:pStyle w:val="11"/>
            </w:pPr>
            <w:r>
              <w:t>1606.00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 xml:space="preserve">一、通过对我市46个水质自动站开展运营维护工作，通过专业的建设和运营维护，实时监控断面数据，为水污染治理提供数据支持；                                                              二、通过委托第三方检测机构对水污染防治行动计划的国、省、市断面及水功能区断面开展监测。其中16个国控断面每周2次，6个省控断面每周2次，对重点特征污染物指标进行监测。市控断面每月监测2次，其它断面每月1次；  三、通过开展重点河湖污染排查溯源，强化水源地、排污口管理能力； 四、通过在河道布设视频及自动留样装置，通过购买服务方式，提升排污口监控能力。  </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水环境监测管理保障项目预算控制数</w:t>
            </w:r>
          </w:p>
        </w:tc>
        <w:tc>
          <w:tcPr>
            <w:tcW w:w="2891" w:type="dxa"/>
            <w:vAlign w:val="center"/>
          </w:tcPr>
          <w:p>
            <w:pPr>
              <w:pStyle w:val="10"/>
            </w:pPr>
            <w:r>
              <w:t>水环境监测管理保障项目预算控制数</w:t>
            </w:r>
          </w:p>
        </w:tc>
        <w:tc>
          <w:tcPr>
            <w:tcW w:w="1276" w:type="dxa"/>
            <w:vAlign w:val="center"/>
          </w:tcPr>
          <w:p>
            <w:pPr>
              <w:pStyle w:val="10"/>
            </w:pPr>
            <w:r>
              <w:t>≤1606万元</w:t>
            </w:r>
          </w:p>
        </w:tc>
        <w:tc>
          <w:tcPr>
            <w:tcW w:w="1843" w:type="dxa"/>
            <w:vAlign w:val="center"/>
          </w:tcPr>
          <w:p>
            <w:pPr>
              <w:pStyle w:val="10"/>
            </w:pPr>
            <w:r>
              <w:t>年度预算批复金额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监测断面数量</w:t>
            </w:r>
          </w:p>
        </w:tc>
        <w:tc>
          <w:tcPr>
            <w:tcW w:w="2891" w:type="dxa"/>
            <w:vAlign w:val="center"/>
          </w:tcPr>
          <w:p>
            <w:pPr>
              <w:pStyle w:val="10"/>
            </w:pPr>
            <w:r>
              <w:t>手工监测断面数量</w:t>
            </w:r>
          </w:p>
        </w:tc>
        <w:tc>
          <w:tcPr>
            <w:tcW w:w="1276" w:type="dxa"/>
            <w:vAlign w:val="center"/>
          </w:tcPr>
          <w:p>
            <w:pPr>
              <w:pStyle w:val="10"/>
            </w:pPr>
            <w:r>
              <w:t>≥150个</w:t>
            </w:r>
          </w:p>
        </w:tc>
        <w:tc>
          <w:tcPr>
            <w:tcW w:w="1843" w:type="dxa"/>
            <w:vAlign w:val="center"/>
          </w:tcPr>
          <w:p>
            <w:pPr>
              <w:pStyle w:val="10"/>
            </w:pPr>
            <w:r>
              <w:t>《国务院办公厅关于印发生态环境监测网络建设方案的通知》、《山东省人民政府办公厅监测网络建设》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保障水站运维站点数量</w:t>
            </w:r>
          </w:p>
        </w:tc>
        <w:tc>
          <w:tcPr>
            <w:tcW w:w="2891" w:type="dxa"/>
            <w:vAlign w:val="center"/>
          </w:tcPr>
          <w:p>
            <w:pPr>
              <w:pStyle w:val="10"/>
            </w:pPr>
            <w:r>
              <w:t>水质自动站运行位数个数</w:t>
            </w:r>
          </w:p>
        </w:tc>
        <w:tc>
          <w:tcPr>
            <w:tcW w:w="1276" w:type="dxa"/>
            <w:vAlign w:val="center"/>
          </w:tcPr>
          <w:p>
            <w:pPr>
              <w:pStyle w:val="10"/>
            </w:pPr>
            <w:r>
              <w:t>46个</w:t>
            </w:r>
          </w:p>
        </w:tc>
        <w:tc>
          <w:tcPr>
            <w:tcW w:w="1843" w:type="dxa"/>
            <w:vAlign w:val="center"/>
          </w:tcPr>
          <w:p>
            <w:pPr>
              <w:pStyle w:val="10"/>
            </w:pPr>
            <w:r>
              <w:t>《国务院办公厅关于印发生态环境监测网络建设方案的通知》、《山东省人民政府办公厅监测网络建设》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建立2023年入河排污口问题台账</w:t>
            </w:r>
          </w:p>
        </w:tc>
        <w:tc>
          <w:tcPr>
            <w:tcW w:w="2891" w:type="dxa"/>
            <w:vAlign w:val="center"/>
          </w:tcPr>
          <w:p>
            <w:pPr>
              <w:pStyle w:val="10"/>
            </w:pPr>
            <w:r>
              <w:t>建立完善入河排污口问题台账</w:t>
            </w:r>
          </w:p>
        </w:tc>
        <w:tc>
          <w:tcPr>
            <w:tcW w:w="1276" w:type="dxa"/>
            <w:vAlign w:val="center"/>
          </w:tcPr>
          <w:p>
            <w:pPr>
              <w:pStyle w:val="10"/>
            </w:pPr>
            <w:r>
              <w:t>1套</w:t>
            </w:r>
          </w:p>
        </w:tc>
        <w:tc>
          <w:tcPr>
            <w:tcW w:w="1843" w:type="dxa"/>
            <w:vAlign w:val="center"/>
          </w:tcPr>
          <w:p>
            <w:pPr>
              <w:pStyle w:val="10"/>
            </w:pPr>
            <w:r>
              <w:t>《国务院办公厅关于印发生态环境监测网络建设方案的通知》、《山东省人民政府办公厅监测网络建设》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形成水源地突发环境事件环境风险源清单</w:t>
            </w:r>
          </w:p>
        </w:tc>
        <w:tc>
          <w:tcPr>
            <w:tcW w:w="2891" w:type="dxa"/>
            <w:vAlign w:val="center"/>
          </w:tcPr>
          <w:p>
            <w:pPr>
              <w:pStyle w:val="10"/>
            </w:pPr>
            <w:r>
              <w:t>形成水源地突发环境事件环境风险源清单</w:t>
            </w:r>
          </w:p>
        </w:tc>
        <w:tc>
          <w:tcPr>
            <w:tcW w:w="1276" w:type="dxa"/>
            <w:vAlign w:val="center"/>
          </w:tcPr>
          <w:p>
            <w:pPr>
              <w:pStyle w:val="10"/>
            </w:pPr>
            <w:r>
              <w:t>1套</w:t>
            </w:r>
          </w:p>
        </w:tc>
        <w:tc>
          <w:tcPr>
            <w:tcW w:w="1843" w:type="dxa"/>
            <w:vAlign w:val="center"/>
          </w:tcPr>
          <w:p>
            <w:pPr>
              <w:pStyle w:val="10"/>
            </w:pPr>
            <w:r>
              <w:t>《国务院办公厅关于印发生态环境监测网络建设方案的通知》、《山东省人民政府办公厅监测网络建设》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覆盖区市数量</w:t>
            </w:r>
          </w:p>
        </w:tc>
        <w:tc>
          <w:tcPr>
            <w:tcW w:w="2891" w:type="dxa"/>
            <w:vAlign w:val="center"/>
          </w:tcPr>
          <w:p>
            <w:pPr>
              <w:pStyle w:val="10"/>
            </w:pPr>
            <w:r>
              <w:t>水质监测覆盖区市的数量</w:t>
            </w:r>
          </w:p>
        </w:tc>
        <w:tc>
          <w:tcPr>
            <w:tcW w:w="1276" w:type="dxa"/>
            <w:vAlign w:val="center"/>
          </w:tcPr>
          <w:p>
            <w:pPr>
              <w:pStyle w:val="10"/>
            </w:pPr>
            <w:r>
              <w:t>9个</w:t>
            </w:r>
          </w:p>
        </w:tc>
        <w:tc>
          <w:tcPr>
            <w:tcW w:w="1843" w:type="dxa"/>
            <w:vAlign w:val="center"/>
          </w:tcPr>
          <w:p>
            <w:pPr>
              <w:pStyle w:val="10"/>
            </w:pPr>
            <w:r>
              <w:t>《国务院办公厅关于印发生态环境监测网络建设方案的通知》、《山东省人民政府办公厅监测网络建设》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覆盖国省控流域比例</w:t>
            </w:r>
          </w:p>
        </w:tc>
        <w:tc>
          <w:tcPr>
            <w:tcW w:w="2891" w:type="dxa"/>
            <w:vAlign w:val="center"/>
          </w:tcPr>
          <w:p>
            <w:pPr>
              <w:pStyle w:val="10"/>
            </w:pPr>
            <w:r>
              <w:t>国省控断面水质监测覆盖率</w:t>
            </w:r>
          </w:p>
        </w:tc>
        <w:tc>
          <w:tcPr>
            <w:tcW w:w="1276" w:type="dxa"/>
            <w:vAlign w:val="center"/>
          </w:tcPr>
          <w:p>
            <w:pPr>
              <w:pStyle w:val="10"/>
            </w:pPr>
            <w:r>
              <w:t>100%</w:t>
            </w:r>
          </w:p>
        </w:tc>
        <w:tc>
          <w:tcPr>
            <w:tcW w:w="1843" w:type="dxa"/>
            <w:vAlign w:val="center"/>
          </w:tcPr>
          <w:p>
            <w:pPr>
              <w:pStyle w:val="10"/>
            </w:pPr>
            <w:r>
              <w:t>《国务院办公厅关于印发生态环境监测网络建设方案的通知》、《山东省人民政府办公厅监测网络建设》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研究报告等验收通过率</w:t>
            </w:r>
          </w:p>
        </w:tc>
        <w:tc>
          <w:tcPr>
            <w:tcW w:w="2891" w:type="dxa"/>
            <w:vAlign w:val="center"/>
          </w:tcPr>
          <w:p>
            <w:pPr>
              <w:pStyle w:val="10"/>
            </w:pPr>
            <w:r>
              <w:t>研究报告等验收通过率</w:t>
            </w:r>
          </w:p>
        </w:tc>
        <w:tc>
          <w:tcPr>
            <w:tcW w:w="1276" w:type="dxa"/>
            <w:vAlign w:val="center"/>
          </w:tcPr>
          <w:p>
            <w:pPr>
              <w:pStyle w:val="10"/>
            </w:pPr>
            <w:r>
              <w:t>100%</w:t>
            </w:r>
          </w:p>
        </w:tc>
        <w:tc>
          <w:tcPr>
            <w:tcW w:w="1843" w:type="dxa"/>
            <w:vAlign w:val="center"/>
          </w:tcPr>
          <w:p>
            <w:pPr>
              <w:pStyle w:val="10"/>
            </w:pPr>
            <w:r>
              <w:t>满足主管部门需要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设备数据准确率</w:t>
            </w:r>
          </w:p>
        </w:tc>
        <w:tc>
          <w:tcPr>
            <w:tcW w:w="2891" w:type="dxa"/>
            <w:vAlign w:val="center"/>
          </w:tcPr>
          <w:p>
            <w:pPr>
              <w:pStyle w:val="10"/>
            </w:pPr>
            <w:r>
              <w:t>设备数据准确率满足《地表水自动监测规范》的要求</w:t>
            </w:r>
          </w:p>
        </w:tc>
        <w:tc>
          <w:tcPr>
            <w:tcW w:w="1276" w:type="dxa"/>
            <w:vAlign w:val="center"/>
          </w:tcPr>
          <w:p>
            <w:pPr>
              <w:pStyle w:val="10"/>
            </w:pPr>
            <w:r>
              <w:t>≥90%</w:t>
            </w:r>
          </w:p>
        </w:tc>
        <w:tc>
          <w:tcPr>
            <w:tcW w:w="1843" w:type="dxa"/>
            <w:vAlign w:val="center"/>
          </w:tcPr>
          <w:p>
            <w:pPr>
              <w:pStyle w:val="10"/>
            </w:pPr>
            <w:r>
              <w:t>满足主管部门需要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水样监测报告等通过率</w:t>
            </w:r>
          </w:p>
        </w:tc>
        <w:tc>
          <w:tcPr>
            <w:tcW w:w="2891" w:type="dxa"/>
            <w:vAlign w:val="center"/>
          </w:tcPr>
          <w:p>
            <w:pPr>
              <w:pStyle w:val="10"/>
            </w:pPr>
            <w:r>
              <w:t>水样监测报告等通过率</w:t>
            </w:r>
          </w:p>
        </w:tc>
        <w:tc>
          <w:tcPr>
            <w:tcW w:w="1276" w:type="dxa"/>
            <w:vAlign w:val="center"/>
          </w:tcPr>
          <w:p>
            <w:pPr>
              <w:pStyle w:val="10"/>
            </w:pPr>
            <w:r>
              <w:t>≥95%</w:t>
            </w:r>
          </w:p>
        </w:tc>
        <w:tc>
          <w:tcPr>
            <w:tcW w:w="1843" w:type="dxa"/>
            <w:vAlign w:val="center"/>
          </w:tcPr>
          <w:p>
            <w:pPr>
              <w:pStyle w:val="10"/>
            </w:pPr>
            <w:r>
              <w:t>满足主管部门需要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监测时长</w:t>
            </w:r>
          </w:p>
        </w:tc>
        <w:tc>
          <w:tcPr>
            <w:tcW w:w="2891" w:type="dxa"/>
            <w:vAlign w:val="center"/>
          </w:tcPr>
          <w:p>
            <w:pPr>
              <w:pStyle w:val="10"/>
            </w:pPr>
            <w:r>
              <w:t>监测时长</w:t>
            </w:r>
          </w:p>
        </w:tc>
        <w:tc>
          <w:tcPr>
            <w:tcW w:w="1276" w:type="dxa"/>
            <w:vAlign w:val="center"/>
          </w:tcPr>
          <w:p>
            <w:pPr>
              <w:pStyle w:val="10"/>
            </w:pPr>
            <w:r>
              <w:t>≤12</w:t>
            </w:r>
            <w:r>
              <w:rPr>
                <w:rFonts w:hint="eastAsia"/>
                <w:lang w:eastAsia="zh-CN"/>
              </w:rPr>
              <w:t>个</w:t>
            </w:r>
            <w:r>
              <w:t>月</w:t>
            </w:r>
          </w:p>
        </w:tc>
        <w:tc>
          <w:tcPr>
            <w:tcW w:w="1843" w:type="dxa"/>
            <w:vAlign w:val="center"/>
          </w:tcPr>
          <w:p>
            <w:pPr>
              <w:pStyle w:val="10"/>
            </w:pPr>
            <w:r>
              <w:t>年度工作任务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青岛市重点河湖污染排查溯源项目完成</w:t>
            </w:r>
            <w:r>
              <w:rPr>
                <w:rFonts w:hint="eastAsia"/>
                <w:lang w:eastAsia="zh-CN"/>
              </w:rPr>
              <w:t>及时率</w:t>
            </w:r>
          </w:p>
        </w:tc>
        <w:tc>
          <w:tcPr>
            <w:tcW w:w="2891" w:type="dxa"/>
            <w:vAlign w:val="center"/>
          </w:tcPr>
          <w:p>
            <w:pPr>
              <w:pStyle w:val="10"/>
            </w:pPr>
            <w:r>
              <w:t>按照项目时间要求按时提交项目成果</w:t>
            </w:r>
          </w:p>
        </w:tc>
        <w:tc>
          <w:tcPr>
            <w:tcW w:w="1276" w:type="dxa"/>
            <w:vAlign w:val="center"/>
          </w:tcPr>
          <w:p>
            <w:pPr>
              <w:pStyle w:val="10"/>
            </w:pPr>
            <w:r>
              <w:rPr>
                <w:rFonts w:hint="eastAsia"/>
                <w:lang w:eastAsia="zh-CN"/>
              </w:rPr>
              <w:t>100%</w:t>
            </w:r>
          </w:p>
        </w:tc>
        <w:tc>
          <w:tcPr>
            <w:tcW w:w="1843" w:type="dxa"/>
            <w:vAlign w:val="center"/>
          </w:tcPr>
          <w:p>
            <w:pPr>
              <w:pStyle w:val="10"/>
            </w:pPr>
            <w:r>
              <w:t>年度工作任务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国、省控断面水质优良率</w:t>
            </w:r>
          </w:p>
        </w:tc>
        <w:tc>
          <w:tcPr>
            <w:tcW w:w="2891" w:type="dxa"/>
            <w:vAlign w:val="center"/>
          </w:tcPr>
          <w:p>
            <w:pPr>
              <w:pStyle w:val="10"/>
            </w:pPr>
            <w:r>
              <w:t>国、省控断面水质优良率不低于2022年</w:t>
            </w:r>
          </w:p>
        </w:tc>
        <w:tc>
          <w:tcPr>
            <w:tcW w:w="1276" w:type="dxa"/>
            <w:vAlign w:val="center"/>
          </w:tcPr>
          <w:p>
            <w:pPr>
              <w:pStyle w:val="10"/>
            </w:pPr>
            <w:r>
              <w:rPr>
                <w:rFonts w:hint="eastAsia"/>
                <w:lang w:eastAsia="zh-CN"/>
              </w:rPr>
              <w:t>同比</w:t>
            </w:r>
            <w:r>
              <w:t>提升</w:t>
            </w:r>
          </w:p>
        </w:tc>
        <w:tc>
          <w:tcPr>
            <w:tcW w:w="1843" w:type="dxa"/>
            <w:vAlign w:val="center"/>
          </w:tcPr>
          <w:p>
            <w:pPr>
              <w:pStyle w:val="10"/>
            </w:pPr>
            <w:r>
              <w:t>年度工作任务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省控河流断面水质达标率</w:t>
            </w:r>
          </w:p>
        </w:tc>
        <w:tc>
          <w:tcPr>
            <w:tcW w:w="2891" w:type="dxa"/>
            <w:vAlign w:val="center"/>
          </w:tcPr>
          <w:p>
            <w:pPr>
              <w:pStyle w:val="10"/>
            </w:pPr>
            <w:r>
              <w:t>省控河流断面水质达标率</w:t>
            </w:r>
          </w:p>
        </w:tc>
        <w:tc>
          <w:tcPr>
            <w:tcW w:w="1276" w:type="dxa"/>
            <w:vAlign w:val="center"/>
          </w:tcPr>
          <w:p>
            <w:pPr>
              <w:pStyle w:val="10"/>
            </w:pPr>
            <w:r>
              <w:t>100%</w:t>
            </w:r>
          </w:p>
        </w:tc>
        <w:tc>
          <w:tcPr>
            <w:tcW w:w="1843" w:type="dxa"/>
            <w:vAlign w:val="center"/>
          </w:tcPr>
          <w:p>
            <w:pPr>
              <w:pStyle w:val="10"/>
            </w:pPr>
            <w:r>
              <w:t>年度工作任务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相关技术、数据使用人员满意度</w:t>
            </w:r>
          </w:p>
        </w:tc>
        <w:tc>
          <w:tcPr>
            <w:tcW w:w="2891" w:type="dxa"/>
            <w:vAlign w:val="center"/>
          </w:tcPr>
          <w:p>
            <w:pPr>
              <w:pStyle w:val="10"/>
            </w:pPr>
            <w:r>
              <w:t>相关技术、数据使用人员对部门工作的满意度</w:t>
            </w:r>
          </w:p>
        </w:tc>
        <w:tc>
          <w:tcPr>
            <w:tcW w:w="1276" w:type="dxa"/>
            <w:vAlign w:val="center"/>
          </w:tcPr>
          <w:p>
            <w:pPr>
              <w:pStyle w:val="10"/>
            </w:pPr>
            <w:r>
              <w:t>≥80%</w:t>
            </w:r>
          </w:p>
        </w:tc>
        <w:tc>
          <w:tcPr>
            <w:tcW w:w="1843" w:type="dxa"/>
            <w:vAlign w:val="center"/>
          </w:tcPr>
          <w:p>
            <w:pPr>
              <w:pStyle w:val="10"/>
            </w:pPr>
            <w:r>
              <w:t>满足主管 部门需要</w:t>
            </w:r>
          </w:p>
        </w:tc>
      </w:tr>
    </w:tbl>
    <w:p>
      <w:pPr>
        <w:sectPr>
          <w:pgSz w:w="11900" w:h="16840"/>
          <w:pgMar w:top="1984" w:right="1304" w:bottom="1134" w:left="1304" w:header="720" w:footer="720" w:gutter="0"/>
          <w:pgNumType w:fmt="numberInDash"/>
          <w:cols w:space="720" w:num="1"/>
        </w:sectPr>
      </w:pPr>
    </w:p>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2.资源勘测资金</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701001青岛市自然资源和规划局本级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37020023P660015100056</w:t>
            </w:r>
          </w:p>
        </w:tc>
        <w:tc>
          <w:tcPr>
            <w:tcW w:w="1587" w:type="dxa"/>
            <w:vAlign w:val="center"/>
          </w:tcPr>
          <w:p>
            <w:pPr>
              <w:pStyle w:val="9"/>
            </w:pPr>
            <w:r>
              <w:t>项目名称</w:t>
            </w:r>
          </w:p>
        </w:tc>
        <w:tc>
          <w:tcPr>
            <w:tcW w:w="4422" w:type="dxa"/>
            <w:gridSpan w:val="3"/>
            <w:vAlign w:val="center"/>
          </w:tcPr>
          <w:p>
            <w:pPr>
              <w:pStyle w:val="10"/>
            </w:pPr>
            <w:r>
              <w:t>国土基础测绘资金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3300.00</w:t>
            </w:r>
          </w:p>
        </w:tc>
        <w:tc>
          <w:tcPr>
            <w:tcW w:w="1587" w:type="dxa"/>
            <w:vAlign w:val="center"/>
          </w:tcPr>
          <w:p>
            <w:pPr>
              <w:pStyle w:val="9"/>
            </w:pPr>
            <w:r>
              <w:t>其中：财政    资金</w:t>
            </w:r>
          </w:p>
        </w:tc>
        <w:tc>
          <w:tcPr>
            <w:tcW w:w="1304" w:type="dxa"/>
            <w:vAlign w:val="center"/>
          </w:tcPr>
          <w:p>
            <w:pPr>
              <w:pStyle w:val="10"/>
            </w:pPr>
            <w:r>
              <w:t>3300.00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8617" w:type="dxa"/>
            <w:gridSpan w:val="6"/>
            <w:vAlign w:val="center"/>
          </w:tcPr>
          <w:p>
            <w:pPr>
              <w:pStyle w:val="10"/>
            </w:pPr>
            <w:r>
              <w:t>用于完成全市地形图、电子地图成果，面积约11000平方公里，完成地理信息一体化融合数据更新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lang w:eastAsia="zh-CN"/>
              </w:rPr>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100.00</w:t>
            </w:r>
          </w:p>
        </w:tc>
        <w:tc>
          <w:tcPr>
            <w:tcW w:w="1587" w:type="dxa"/>
            <w:vAlign w:val="center"/>
          </w:tcPr>
          <w:p>
            <w:pPr>
              <w:pStyle w:val="11"/>
            </w:pPr>
            <w:r>
              <w:t>300.00</w:t>
            </w:r>
          </w:p>
        </w:tc>
        <w:tc>
          <w:tcPr>
            <w:tcW w:w="1304" w:type="dxa"/>
            <w:vAlign w:val="center"/>
          </w:tcPr>
          <w:p>
            <w:pPr>
              <w:pStyle w:val="11"/>
            </w:pPr>
            <w:r>
              <w:t xml:space="preserve"> </w:t>
            </w:r>
          </w:p>
        </w:tc>
        <w:tc>
          <w:tcPr>
            <w:tcW w:w="3118" w:type="dxa"/>
            <w:gridSpan w:val="2"/>
            <w:vAlign w:val="center"/>
          </w:tcPr>
          <w:p>
            <w:pPr>
              <w:pStyle w:val="11"/>
            </w:pPr>
            <w:r>
              <w:t>3300.00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通过完成全市地形图、电子地图成果，完成地理信息一体化融合数据更新，保证数据更新准确、及时，成果共享。</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测绘地理信息数据建设更新费用</w:t>
            </w:r>
          </w:p>
        </w:tc>
        <w:tc>
          <w:tcPr>
            <w:tcW w:w="2891" w:type="dxa"/>
            <w:vAlign w:val="center"/>
          </w:tcPr>
          <w:p>
            <w:pPr>
              <w:pStyle w:val="10"/>
            </w:pPr>
            <w:r>
              <w:t>测绘地理信息数据建设更新费用</w:t>
            </w:r>
          </w:p>
        </w:tc>
        <w:tc>
          <w:tcPr>
            <w:tcW w:w="1276" w:type="dxa"/>
            <w:vAlign w:val="center"/>
          </w:tcPr>
          <w:p>
            <w:pPr>
              <w:pStyle w:val="10"/>
            </w:pPr>
            <w:r>
              <w:t>≤3300万元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市内三区地形图、电子地图覆盖面积</w:t>
            </w:r>
          </w:p>
        </w:tc>
        <w:tc>
          <w:tcPr>
            <w:tcW w:w="2891" w:type="dxa"/>
            <w:vAlign w:val="center"/>
          </w:tcPr>
          <w:p>
            <w:pPr>
              <w:pStyle w:val="10"/>
            </w:pPr>
            <w:r>
              <w:t>市内三区地形图、电子地图覆盖面积</w:t>
            </w:r>
          </w:p>
        </w:tc>
        <w:tc>
          <w:tcPr>
            <w:tcW w:w="1276" w:type="dxa"/>
            <w:vAlign w:val="center"/>
          </w:tcPr>
          <w:p>
            <w:pPr>
              <w:pStyle w:val="10"/>
            </w:pPr>
            <w:r>
              <w:t>198平方千米</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基础地理信息一体化融合时空数据库建设区市数量</w:t>
            </w:r>
          </w:p>
        </w:tc>
        <w:tc>
          <w:tcPr>
            <w:tcW w:w="2891" w:type="dxa"/>
            <w:vAlign w:val="center"/>
          </w:tcPr>
          <w:p>
            <w:pPr>
              <w:pStyle w:val="10"/>
            </w:pPr>
            <w:r>
              <w:t>区市基础地理信息一体化融合时空数据库建设情况</w:t>
            </w:r>
          </w:p>
        </w:tc>
        <w:tc>
          <w:tcPr>
            <w:tcW w:w="1276" w:type="dxa"/>
            <w:vAlign w:val="center"/>
          </w:tcPr>
          <w:p>
            <w:pPr>
              <w:pStyle w:val="10"/>
            </w:pPr>
            <w:r>
              <w:t>2个</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电子地图区市覆盖率</w:t>
            </w:r>
          </w:p>
        </w:tc>
        <w:tc>
          <w:tcPr>
            <w:tcW w:w="2891" w:type="dxa"/>
            <w:vAlign w:val="center"/>
          </w:tcPr>
          <w:p>
            <w:pPr>
              <w:pStyle w:val="10"/>
            </w:pPr>
            <w:r>
              <w:t>电子地图覆盖区市率</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验收合格率</w:t>
            </w:r>
          </w:p>
        </w:tc>
        <w:tc>
          <w:tcPr>
            <w:tcW w:w="2891" w:type="dxa"/>
            <w:vAlign w:val="center"/>
          </w:tcPr>
          <w:p>
            <w:pPr>
              <w:pStyle w:val="10"/>
            </w:pPr>
            <w:r>
              <w:t>验收合格率</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市内三区地形图完成时间</w:t>
            </w:r>
          </w:p>
        </w:tc>
        <w:tc>
          <w:tcPr>
            <w:tcW w:w="2891" w:type="dxa"/>
            <w:vAlign w:val="center"/>
          </w:tcPr>
          <w:p>
            <w:pPr>
              <w:pStyle w:val="10"/>
            </w:pPr>
            <w:r>
              <w:t>反映市内三区地形图完成时间</w:t>
            </w:r>
          </w:p>
        </w:tc>
        <w:tc>
          <w:tcPr>
            <w:tcW w:w="1276" w:type="dxa"/>
            <w:vAlign w:val="center"/>
          </w:tcPr>
          <w:p>
            <w:pPr>
              <w:pStyle w:val="10"/>
            </w:pPr>
            <w:r>
              <w:t>≤11月</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成果共享率</w:t>
            </w:r>
          </w:p>
        </w:tc>
        <w:tc>
          <w:tcPr>
            <w:tcW w:w="2891" w:type="dxa"/>
            <w:vAlign w:val="center"/>
          </w:tcPr>
          <w:p>
            <w:pPr>
              <w:pStyle w:val="10"/>
            </w:pPr>
            <w:r>
              <w:t>成果共享情况</w:t>
            </w:r>
          </w:p>
        </w:tc>
        <w:tc>
          <w:tcPr>
            <w:tcW w:w="1276" w:type="dxa"/>
            <w:vAlign w:val="center"/>
          </w:tcPr>
          <w:p>
            <w:pPr>
              <w:pStyle w:val="10"/>
            </w:pPr>
            <w:r>
              <w:t>≥90%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数据使用单位满意度</w:t>
            </w:r>
          </w:p>
        </w:tc>
        <w:tc>
          <w:tcPr>
            <w:tcW w:w="2891" w:type="dxa"/>
            <w:vAlign w:val="center"/>
          </w:tcPr>
          <w:p>
            <w:pPr>
              <w:pStyle w:val="10"/>
            </w:pPr>
            <w:r>
              <w:t>数据使用单位满意度</w:t>
            </w:r>
          </w:p>
        </w:tc>
        <w:tc>
          <w:tcPr>
            <w:tcW w:w="1276" w:type="dxa"/>
            <w:vAlign w:val="center"/>
          </w:tcPr>
          <w:p>
            <w:pPr>
              <w:pStyle w:val="10"/>
            </w:pPr>
            <w:r>
              <w:t>≥90%</w:t>
            </w:r>
          </w:p>
        </w:tc>
        <w:tc>
          <w:tcPr>
            <w:tcW w:w="1843" w:type="dxa"/>
            <w:vAlign w:val="center"/>
          </w:tcPr>
          <w:p>
            <w:pPr>
              <w:pStyle w:val="10"/>
            </w:pPr>
            <w:r>
              <w:t>历史标准</w:t>
            </w:r>
          </w:p>
        </w:tc>
      </w:tr>
    </w:tbl>
    <w:p>
      <w:pPr>
        <w:sectPr>
          <w:pgSz w:w="11900" w:h="16840"/>
          <w:pgMar w:top="1984" w:right="1304" w:bottom="1134" w:left="1304" w:header="720" w:footer="720" w:gutter="0"/>
          <w:pgNumType w:fmt="numberInDash"/>
          <w:cols w:space="720" w:num="1"/>
        </w:sectPr>
      </w:pPr>
    </w:p>
    <w:p>
      <w:pPr>
        <w:numPr>
          <w:ilvl w:val="0"/>
          <w:numId w:val="0"/>
        </w:num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3.污水处理资金</w:t>
      </w:r>
    </w:p>
    <w:tbl>
      <w:tblPr>
        <w:tblStyle w:val="5"/>
        <w:tblW w:w="979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748"/>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7"/>
            </w:pPr>
            <w:r>
              <w:t>801001青岛市水务管理局本级</w:t>
            </w:r>
          </w:p>
        </w:tc>
        <w:tc>
          <w:tcPr>
            <w:tcW w:w="1748"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37020023P65000810002Y</w:t>
            </w:r>
          </w:p>
        </w:tc>
        <w:tc>
          <w:tcPr>
            <w:tcW w:w="1587" w:type="dxa"/>
            <w:vAlign w:val="center"/>
          </w:tcPr>
          <w:p>
            <w:pPr>
              <w:pStyle w:val="9"/>
            </w:pPr>
            <w:r>
              <w:t>项目名称</w:t>
            </w:r>
          </w:p>
        </w:tc>
        <w:tc>
          <w:tcPr>
            <w:tcW w:w="4328" w:type="dxa"/>
            <w:gridSpan w:val="3"/>
            <w:vAlign w:val="center"/>
          </w:tcPr>
          <w:p>
            <w:pPr>
              <w:pStyle w:val="10"/>
            </w:pPr>
            <w:r>
              <w:t>购买海水淡化水资金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18776.00</w:t>
            </w:r>
          </w:p>
        </w:tc>
        <w:tc>
          <w:tcPr>
            <w:tcW w:w="1587" w:type="dxa"/>
            <w:vAlign w:val="center"/>
          </w:tcPr>
          <w:p>
            <w:pPr>
              <w:pStyle w:val="9"/>
            </w:pPr>
            <w:r>
              <w:t>其中：财政    资金</w:t>
            </w:r>
          </w:p>
        </w:tc>
        <w:tc>
          <w:tcPr>
            <w:tcW w:w="1304" w:type="dxa"/>
            <w:vAlign w:val="center"/>
          </w:tcPr>
          <w:p>
            <w:pPr>
              <w:pStyle w:val="10"/>
            </w:pPr>
            <w:r>
              <w:t>18776.00</w:t>
            </w:r>
          </w:p>
        </w:tc>
        <w:tc>
          <w:tcPr>
            <w:tcW w:w="1276" w:type="dxa"/>
            <w:vAlign w:val="center"/>
          </w:tcPr>
          <w:p>
            <w:pPr>
              <w:pStyle w:val="9"/>
            </w:pPr>
            <w:r>
              <w:t>其他资金</w:t>
            </w:r>
          </w:p>
        </w:tc>
        <w:tc>
          <w:tcPr>
            <w:tcW w:w="1748"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23" w:type="dxa"/>
            <w:gridSpan w:val="6"/>
            <w:vAlign w:val="center"/>
          </w:tcPr>
          <w:p>
            <w:pPr>
              <w:pStyle w:val="10"/>
            </w:pPr>
            <w:r>
              <w:t>用于购买海水淡化水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024"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4500.00</w:t>
            </w:r>
          </w:p>
        </w:tc>
        <w:tc>
          <w:tcPr>
            <w:tcW w:w="1587" w:type="dxa"/>
            <w:vAlign w:val="center"/>
          </w:tcPr>
          <w:p>
            <w:pPr>
              <w:pStyle w:val="11"/>
            </w:pPr>
            <w:r>
              <w:t>9000.00</w:t>
            </w:r>
          </w:p>
        </w:tc>
        <w:tc>
          <w:tcPr>
            <w:tcW w:w="1304" w:type="dxa"/>
            <w:vAlign w:val="center"/>
          </w:tcPr>
          <w:p>
            <w:pPr>
              <w:pStyle w:val="11"/>
            </w:pPr>
            <w:r>
              <w:t>13500.00</w:t>
            </w:r>
          </w:p>
        </w:tc>
        <w:tc>
          <w:tcPr>
            <w:tcW w:w="3024" w:type="dxa"/>
            <w:gridSpan w:val="2"/>
            <w:vAlign w:val="center"/>
          </w:tcPr>
          <w:p>
            <w:pPr>
              <w:pStyle w:val="11"/>
            </w:pPr>
            <w:r>
              <w:t>18776.00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523" w:type="dxa"/>
            <w:gridSpan w:val="6"/>
            <w:vAlign w:val="center"/>
          </w:tcPr>
          <w:p>
            <w:pPr>
              <w:pStyle w:val="10"/>
            </w:pPr>
            <w:r>
              <w:t>百发海水淡化项目作为青岛市应急备用水源，遇干旱季节或供水高峰期，出现原水资源不足，供水能力告急时，可将淡化水直供供水管网，缓解水资源紧张问题，保障市民用水安全。 202</w:t>
            </w:r>
            <w:r>
              <w:rPr>
                <w:rFonts w:hint="eastAsia"/>
                <w:lang w:eastAsia="zh-CN"/>
              </w:rPr>
              <w:t>3</w:t>
            </w:r>
            <w:r>
              <w:t>年预计全年供水总量2200万立方米，出厂水达标率100%，供水及时率100%，管网水合格率99.9%，用户满意度95%以上。</w:t>
            </w:r>
          </w:p>
        </w:tc>
      </w:tr>
    </w:tbl>
    <w:p>
      <w:pPr>
        <w:spacing w:line="2" w:lineRule="exact"/>
        <w:jc w:val="center"/>
      </w:pPr>
      <w:r>
        <w:rPr>
          <w:rFonts w:ascii="方正书宋_GBK" w:hAnsi="方正书宋_GBK" w:eastAsia="方正书宋_GBK" w:cs="方正书宋_GBK"/>
          <w:sz w:val="21"/>
        </w:rPr>
        <w:t xml:space="preserve"> </w:t>
      </w:r>
    </w:p>
    <w:tbl>
      <w:tblPr>
        <w:tblStyle w:val="5"/>
        <w:tblW w:w="97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87"/>
        <w:gridCol w:w="1327"/>
        <w:gridCol w:w="1327"/>
        <w:gridCol w:w="2654"/>
        <w:gridCol w:w="1327"/>
        <w:gridCol w:w="139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687" w:type="dxa"/>
            <w:vAlign w:val="center"/>
          </w:tcPr>
          <w:p>
            <w:pPr>
              <w:pStyle w:val="9"/>
            </w:pPr>
            <w:r>
              <w:t>一级指标</w:t>
            </w:r>
          </w:p>
        </w:tc>
        <w:tc>
          <w:tcPr>
            <w:tcW w:w="1327" w:type="dxa"/>
            <w:vAlign w:val="center"/>
          </w:tcPr>
          <w:p>
            <w:pPr>
              <w:pStyle w:val="9"/>
            </w:pPr>
            <w:r>
              <w:t>二级指标</w:t>
            </w:r>
          </w:p>
        </w:tc>
        <w:tc>
          <w:tcPr>
            <w:tcW w:w="1327" w:type="dxa"/>
            <w:vAlign w:val="center"/>
          </w:tcPr>
          <w:p>
            <w:pPr>
              <w:pStyle w:val="9"/>
            </w:pPr>
            <w:r>
              <w:t>三级指标</w:t>
            </w:r>
          </w:p>
        </w:tc>
        <w:tc>
          <w:tcPr>
            <w:tcW w:w="2654" w:type="dxa"/>
            <w:vAlign w:val="center"/>
          </w:tcPr>
          <w:p>
            <w:pPr>
              <w:pStyle w:val="9"/>
            </w:pPr>
            <w:r>
              <w:t>绩效指标描述</w:t>
            </w:r>
          </w:p>
        </w:tc>
        <w:tc>
          <w:tcPr>
            <w:tcW w:w="1327" w:type="dxa"/>
            <w:vAlign w:val="center"/>
          </w:tcPr>
          <w:p>
            <w:pPr>
              <w:pStyle w:val="9"/>
            </w:pPr>
            <w:r>
              <w:t>指标值</w:t>
            </w:r>
          </w:p>
        </w:tc>
        <w:tc>
          <w:tcPr>
            <w:tcW w:w="1392"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7" w:type="dxa"/>
            <w:vAlign w:val="center"/>
          </w:tcPr>
          <w:p>
            <w:pPr>
              <w:pStyle w:val="11"/>
            </w:pPr>
            <w:r>
              <w:t>成本指标</w:t>
            </w:r>
          </w:p>
        </w:tc>
        <w:tc>
          <w:tcPr>
            <w:tcW w:w="1327" w:type="dxa"/>
            <w:vAlign w:val="center"/>
          </w:tcPr>
          <w:p>
            <w:pPr>
              <w:pStyle w:val="10"/>
            </w:pPr>
            <w:r>
              <w:t>经济成本指标</w:t>
            </w:r>
          </w:p>
        </w:tc>
        <w:tc>
          <w:tcPr>
            <w:tcW w:w="1327" w:type="dxa"/>
            <w:vAlign w:val="center"/>
          </w:tcPr>
          <w:p>
            <w:pPr>
              <w:pStyle w:val="10"/>
            </w:pPr>
            <w:r>
              <w:t>单位产水成本</w:t>
            </w:r>
          </w:p>
        </w:tc>
        <w:tc>
          <w:tcPr>
            <w:tcW w:w="2654" w:type="dxa"/>
            <w:vAlign w:val="center"/>
          </w:tcPr>
          <w:p>
            <w:pPr>
              <w:pStyle w:val="10"/>
            </w:pPr>
            <w:r>
              <w:t>单位产水成本</w:t>
            </w:r>
          </w:p>
        </w:tc>
        <w:tc>
          <w:tcPr>
            <w:tcW w:w="1327" w:type="dxa"/>
            <w:vAlign w:val="center"/>
          </w:tcPr>
          <w:p>
            <w:pPr>
              <w:pStyle w:val="10"/>
            </w:pPr>
            <w:r>
              <w:t>≤9.38元/立方米</w:t>
            </w:r>
          </w:p>
        </w:tc>
        <w:tc>
          <w:tcPr>
            <w:tcW w:w="1392" w:type="dxa"/>
            <w:vAlign w:val="center"/>
          </w:tcPr>
          <w:p>
            <w:pPr>
              <w:pStyle w:val="10"/>
            </w:pPr>
            <w:r>
              <w:t>《青岛市海水淡化水采购项目政府采购合同》（合同编号：2022年第1102号）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7" w:type="dxa"/>
            <w:vMerge w:val="restart"/>
            <w:vAlign w:val="center"/>
          </w:tcPr>
          <w:p>
            <w:pPr>
              <w:pStyle w:val="11"/>
            </w:pPr>
            <w:r>
              <w:t>产出指标</w:t>
            </w:r>
          </w:p>
        </w:tc>
        <w:tc>
          <w:tcPr>
            <w:tcW w:w="1327" w:type="dxa"/>
            <w:vAlign w:val="center"/>
          </w:tcPr>
          <w:p>
            <w:pPr>
              <w:pStyle w:val="10"/>
            </w:pPr>
            <w:r>
              <w:t>数量指标</w:t>
            </w:r>
          </w:p>
        </w:tc>
        <w:tc>
          <w:tcPr>
            <w:tcW w:w="1327" w:type="dxa"/>
            <w:vAlign w:val="center"/>
          </w:tcPr>
          <w:p>
            <w:pPr>
              <w:pStyle w:val="10"/>
            </w:pPr>
            <w:r>
              <w:t>供水量</w:t>
            </w:r>
          </w:p>
        </w:tc>
        <w:tc>
          <w:tcPr>
            <w:tcW w:w="2654" w:type="dxa"/>
            <w:vAlign w:val="center"/>
          </w:tcPr>
          <w:p>
            <w:pPr>
              <w:pStyle w:val="10"/>
            </w:pPr>
            <w:r>
              <w:t>供水量</w:t>
            </w:r>
          </w:p>
        </w:tc>
        <w:tc>
          <w:tcPr>
            <w:tcW w:w="1327" w:type="dxa"/>
            <w:vAlign w:val="center"/>
          </w:tcPr>
          <w:p>
            <w:pPr>
              <w:pStyle w:val="10"/>
            </w:pPr>
            <w:r>
              <w:rPr>
                <w:rFonts w:hint="eastAsia"/>
                <w:lang w:eastAsia="zh-CN"/>
              </w:rPr>
              <w:t>≥</w:t>
            </w:r>
            <w:r>
              <w:t>2200立方米</w:t>
            </w:r>
          </w:p>
        </w:tc>
        <w:tc>
          <w:tcPr>
            <w:tcW w:w="1392" w:type="dxa"/>
            <w:vAlign w:val="center"/>
          </w:tcPr>
          <w:p>
            <w:pPr>
              <w:pStyle w:val="10"/>
            </w:pPr>
            <w:r>
              <w:t>《青岛市海水淡化水采购项目政府采购合同》（合同编号：2022年第1102号）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7" w:type="dxa"/>
            <w:vMerge w:val="continue"/>
            <w:vAlign w:val="center"/>
          </w:tcPr>
          <w:p/>
        </w:tc>
        <w:tc>
          <w:tcPr>
            <w:tcW w:w="1327" w:type="dxa"/>
            <w:vAlign w:val="center"/>
          </w:tcPr>
          <w:p>
            <w:pPr>
              <w:pStyle w:val="10"/>
            </w:pPr>
            <w:r>
              <w:t>数量指标</w:t>
            </w:r>
          </w:p>
        </w:tc>
        <w:tc>
          <w:tcPr>
            <w:tcW w:w="1327" w:type="dxa"/>
            <w:vAlign w:val="center"/>
          </w:tcPr>
          <w:p>
            <w:pPr>
              <w:pStyle w:val="10"/>
            </w:pPr>
            <w:r>
              <w:t>售水量</w:t>
            </w:r>
          </w:p>
        </w:tc>
        <w:tc>
          <w:tcPr>
            <w:tcW w:w="2654" w:type="dxa"/>
            <w:vAlign w:val="center"/>
          </w:tcPr>
          <w:p>
            <w:pPr>
              <w:pStyle w:val="10"/>
            </w:pPr>
            <w:r>
              <w:t>售水量</w:t>
            </w:r>
          </w:p>
        </w:tc>
        <w:tc>
          <w:tcPr>
            <w:tcW w:w="1327" w:type="dxa"/>
            <w:vAlign w:val="center"/>
          </w:tcPr>
          <w:p>
            <w:pPr>
              <w:pStyle w:val="10"/>
            </w:pPr>
            <w:r>
              <w:rPr>
                <w:rFonts w:hint="eastAsia"/>
                <w:lang w:eastAsia="zh-CN"/>
              </w:rPr>
              <w:t>≥</w:t>
            </w:r>
            <w:r>
              <w:t>2200立方米</w:t>
            </w:r>
          </w:p>
        </w:tc>
        <w:tc>
          <w:tcPr>
            <w:tcW w:w="1392" w:type="dxa"/>
            <w:vAlign w:val="center"/>
          </w:tcPr>
          <w:p>
            <w:pPr>
              <w:pStyle w:val="10"/>
            </w:pPr>
            <w:r>
              <w:t>《青岛市海水淡化水采购项目政府采购合同》（合同编号：2022年第1102号）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7" w:type="dxa"/>
            <w:vMerge w:val="continue"/>
            <w:vAlign w:val="center"/>
          </w:tcPr>
          <w:p/>
        </w:tc>
        <w:tc>
          <w:tcPr>
            <w:tcW w:w="1327" w:type="dxa"/>
            <w:vAlign w:val="center"/>
          </w:tcPr>
          <w:p>
            <w:pPr>
              <w:pStyle w:val="10"/>
            </w:pPr>
            <w:r>
              <w:t>质量指标</w:t>
            </w:r>
          </w:p>
        </w:tc>
        <w:tc>
          <w:tcPr>
            <w:tcW w:w="1327" w:type="dxa"/>
            <w:vAlign w:val="center"/>
          </w:tcPr>
          <w:p>
            <w:pPr>
              <w:pStyle w:val="10"/>
            </w:pPr>
            <w:r>
              <w:t>供水达标率</w:t>
            </w:r>
          </w:p>
        </w:tc>
        <w:tc>
          <w:tcPr>
            <w:tcW w:w="2654" w:type="dxa"/>
            <w:vAlign w:val="center"/>
          </w:tcPr>
          <w:p>
            <w:pPr>
              <w:pStyle w:val="10"/>
            </w:pPr>
            <w:r>
              <w:t>供水达标率</w:t>
            </w:r>
          </w:p>
        </w:tc>
        <w:tc>
          <w:tcPr>
            <w:tcW w:w="1327" w:type="dxa"/>
            <w:vAlign w:val="center"/>
          </w:tcPr>
          <w:p>
            <w:pPr>
              <w:pStyle w:val="10"/>
            </w:pPr>
            <w:r>
              <w:t>100%</w:t>
            </w:r>
          </w:p>
        </w:tc>
        <w:tc>
          <w:tcPr>
            <w:tcW w:w="1392" w:type="dxa"/>
            <w:vAlign w:val="center"/>
          </w:tcPr>
          <w:p>
            <w:pPr>
              <w:pStyle w:val="10"/>
            </w:pPr>
            <w:r>
              <w:t>《青岛市海水淡化水采购项目政府采购合同》（合同编号：2022年第1102号）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7" w:type="dxa"/>
            <w:vMerge w:val="continue"/>
            <w:vAlign w:val="center"/>
          </w:tcPr>
          <w:p/>
        </w:tc>
        <w:tc>
          <w:tcPr>
            <w:tcW w:w="1327" w:type="dxa"/>
            <w:vAlign w:val="center"/>
          </w:tcPr>
          <w:p>
            <w:pPr>
              <w:pStyle w:val="10"/>
            </w:pPr>
            <w:r>
              <w:t>质量指标</w:t>
            </w:r>
          </w:p>
        </w:tc>
        <w:tc>
          <w:tcPr>
            <w:tcW w:w="1327" w:type="dxa"/>
            <w:vAlign w:val="center"/>
          </w:tcPr>
          <w:p>
            <w:pPr>
              <w:pStyle w:val="10"/>
            </w:pPr>
            <w:r>
              <w:t>管网水合格率</w:t>
            </w:r>
          </w:p>
        </w:tc>
        <w:tc>
          <w:tcPr>
            <w:tcW w:w="2654" w:type="dxa"/>
            <w:vAlign w:val="center"/>
          </w:tcPr>
          <w:p>
            <w:pPr>
              <w:pStyle w:val="10"/>
            </w:pPr>
            <w:r>
              <w:t>管网水合格率</w:t>
            </w:r>
          </w:p>
        </w:tc>
        <w:tc>
          <w:tcPr>
            <w:tcW w:w="1327" w:type="dxa"/>
            <w:vAlign w:val="center"/>
          </w:tcPr>
          <w:p>
            <w:pPr>
              <w:pStyle w:val="10"/>
            </w:pPr>
            <w:r>
              <w:t>99.9%</w:t>
            </w:r>
          </w:p>
        </w:tc>
        <w:tc>
          <w:tcPr>
            <w:tcW w:w="1392" w:type="dxa"/>
            <w:vAlign w:val="center"/>
          </w:tcPr>
          <w:p>
            <w:pPr>
              <w:pStyle w:val="10"/>
            </w:pPr>
            <w:r>
              <w:t>《青岛市海水淡化水采购项目政府采购合同》（合同编号：2022年第1102号）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7" w:type="dxa"/>
            <w:vMerge w:val="continue"/>
            <w:vAlign w:val="center"/>
          </w:tcPr>
          <w:p/>
        </w:tc>
        <w:tc>
          <w:tcPr>
            <w:tcW w:w="1327" w:type="dxa"/>
            <w:vAlign w:val="center"/>
          </w:tcPr>
          <w:p>
            <w:pPr>
              <w:pStyle w:val="10"/>
            </w:pPr>
            <w:r>
              <w:t>时效指标</w:t>
            </w:r>
          </w:p>
        </w:tc>
        <w:tc>
          <w:tcPr>
            <w:tcW w:w="1327" w:type="dxa"/>
            <w:vAlign w:val="center"/>
          </w:tcPr>
          <w:p>
            <w:pPr>
              <w:pStyle w:val="10"/>
              <w:rPr>
                <w:lang w:eastAsia="zh-CN"/>
              </w:rPr>
            </w:pPr>
            <w:r>
              <w:rPr>
                <w:rFonts w:hint="eastAsia"/>
                <w:lang w:eastAsia="zh-CN"/>
              </w:rPr>
              <w:t>供水及时率</w:t>
            </w:r>
          </w:p>
        </w:tc>
        <w:tc>
          <w:tcPr>
            <w:tcW w:w="2654" w:type="dxa"/>
            <w:vAlign w:val="center"/>
          </w:tcPr>
          <w:p>
            <w:pPr>
              <w:pStyle w:val="10"/>
            </w:pPr>
            <w:r>
              <w:rPr>
                <w:rFonts w:hint="eastAsia"/>
                <w:lang w:eastAsia="zh-CN"/>
              </w:rPr>
              <w:t>供水及时情况</w:t>
            </w:r>
          </w:p>
        </w:tc>
        <w:tc>
          <w:tcPr>
            <w:tcW w:w="1327" w:type="dxa"/>
            <w:vAlign w:val="center"/>
          </w:tcPr>
          <w:p>
            <w:pPr>
              <w:pStyle w:val="10"/>
              <w:rPr>
                <w:lang w:eastAsia="zh-CN"/>
              </w:rPr>
            </w:pPr>
            <w:r>
              <w:rPr>
                <w:rFonts w:hint="eastAsia"/>
                <w:lang w:eastAsia="zh-CN"/>
              </w:rPr>
              <w:t>100%</w:t>
            </w:r>
          </w:p>
        </w:tc>
        <w:tc>
          <w:tcPr>
            <w:tcW w:w="1392" w:type="dxa"/>
            <w:vAlign w:val="center"/>
          </w:tcPr>
          <w:p>
            <w:pPr>
              <w:pStyle w:val="10"/>
            </w:pPr>
            <w:r>
              <w:t>《青岛市海水淡化水采购项目政府采购合同》（合同编号：2022年第1102号）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7" w:type="dxa"/>
            <w:vAlign w:val="center"/>
          </w:tcPr>
          <w:p>
            <w:pPr>
              <w:pStyle w:val="11"/>
            </w:pPr>
            <w:r>
              <w:t>效益指标</w:t>
            </w:r>
          </w:p>
        </w:tc>
        <w:tc>
          <w:tcPr>
            <w:tcW w:w="1327" w:type="dxa"/>
            <w:vAlign w:val="center"/>
          </w:tcPr>
          <w:p>
            <w:pPr>
              <w:pStyle w:val="10"/>
            </w:pPr>
            <w:r>
              <w:t>社会效益指标</w:t>
            </w:r>
          </w:p>
        </w:tc>
        <w:tc>
          <w:tcPr>
            <w:tcW w:w="1327" w:type="dxa"/>
            <w:vAlign w:val="center"/>
          </w:tcPr>
          <w:p>
            <w:pPr>
              <w:pStyle w:val="10"/>
            </w:pPr>
            <w:r>
              <w:t>有效缓解用水高峰期水资源不足问题</w:t>
            </w:r>
          </w:p>
        </w:tc>
        <w:tc>
          <w:tcPr>
            <w:tcW w:w="2654" w:type="dxa"/>
            <w:vAlign w:val="center"/>
          </w:tcPr>
          <w:p>
            <w:pPr>
              <w:pStyle w:val="10"/>
            </w:pPr>
            <w:r>
              <w:t>是否有效缓解用水高峰期水资源不足问题</w:t>
            </w:r>
          </w:p>
        </w:tc>
        <w:tc>
          <w:tcPr>
            <w:tcW w:w="1327" w:type="dxa"/>
            <w:vAlign w:val="center"/>
          </w:tcPr>
          <w:p>
            <w:pPr>
              <w:pStyle w:val="10"/>
              <w:rPr>
                <w:lang w:eastAsia="zh-CN"/>
              </w:rPr>
            </w:pPr>
            <w:r>
              <w:rPr>
                <w:rFonts w:hint="eastAsia"/>
                <w:lang w:eastAsia="zh-CN"/>
              </w:rPr>
              <w:t>效果明显</w:t>
            </w:r>
          </w:p>
        </w:tc>
        <w:tc>
          <w:tcPr>
            <w:tcW w:w="1392" w:type="dxa"/>
            <w:vAlign w:val="center"/>
          </w:tcPr>
          <w:p>
            <w:pPr>
              <w:pStyle w:val="10"/>
            </w:pPr>
            <w:r>
              <w:t>《青岛市海水淡化水采购项目政府采购合同》（合同编号：2022年第1102号）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87" w:type="dxa"/>
            <w:vAlign w:val="center"/>
          </w:tcPr>
          <w:p>
            <w:pPr>
              <w:pStyle w:val="11"/>
            </w:pPr>
            <w:r>
              <w:t>满意度指标</w:t>
            </w:r>
          </w:p>
        </w:tc>
        <w:tc>
          <w:tcPr>
            <w:tcW w:w="1327" w:type="dxa"/>
            <w:vAlign w:val="center"/>
          </w:tcPr>
          <w:p>
            <w:pPr>
              <w:pStyle w:val="10"/>
            </w:pPr>
            <w:r>
              <w:t>服务对象满意度指标</w:t>
            </w:r>
          </w:p>
        </w:tc>
        <w:tc>
          <w:tcPr>
            <w:tcW w:w="1327" w:type="dxa"/>
            <w:vAlign w:val="center"/>
          </w:tcPr>
          <w:p>
            <w:pPr>
              <w:pStyle w:val="10"/>
            </w:pPr>
            <w:r>
              <w:t>受益群众满意度</w:t>
            </w:r>
          </w:p>
        </w:tc>
        <w:tc>
          <w:tcPr>
            <w:tcW w:w="2654" w:type="dxa"/>
            <w:vAlign w:val="center"/>
          </w:tcPr>
          <w:p>
            <w:pPr>
              <w:pStyle w:val="10"/>
            </w:pPr>
            <w:r>
              <w:t>受益群众满意度</w:t>
            </w:r>
          </w:p>
        </w:tc>
        <w:tc>
          <w:tcPr>
            <w:tcW w:w="1327" w:type="dxa"/>
            <w:vAlign w:val="center"/>
          </w:tcPr>
          <w:p>
            <w:pPr>
              <w:pStyle w:val="10"/>
            </w:pPr>
            <w:r>
              <w:t>≥90%</w:t>
            </w:r>
          </w:p>
        </w:tc>
        <w:tc>
          <w:tcPr>
            <w:tcW w:w="1392" w:type="dxa"/>
            <w:vAlign w:val="center"/>
          </w:tcPr>
          <w:p>
            <w:pPr>
              <w:pStyle w:val="10"/>
            </w:pPr>
            <w:r>
              <w:t>《青岛市海水淡化水采购项目政府采购合同》（合同编号：2022年第1102号）</w:t>
            </w:r>
          </w:p>
        </w:tc>
      </w:tr>
    </w:tbl>
    <w:p>
      <w:pPr>
        <w:rPr>
          <w:rFonts w:hint="eastAsia" w:ascii="黑体" w:hAnsi="黑体" w:eastAsia="黑体" w:cs="黑体"/>
          <w:sz w:val="32"/>
          <w:szCs w:val="32"/>
          <w:highlight w:val="none"/>
          <w:lang w:val="en-US" w:eastAsia="zh-CN"/>
        </w:rPr>
        <w:sectPr>
          <w:pgSz w:w="11900" w:h="16840"/>
          <w:pgMar w:top="1984" w:right="1304" w:bottom="1134" w:left="1304" w:header="720" w:footer="720" w:gutter="0"/>
          <w:pgNumType w:fmt="numberInDash"/>
          <w:cols w:space="720" w:num="1"/>
        </w:sectPr>
      </w:pPr>
    </w:p>
    <w:p>
      <w:pPr>
        <w:jc w:val="center"/>
      </w:pPr>
      <w:r>
        <w:rPr>
          <w:rFonts w:ascii="方正仿宋_GBK" w:hAnsi="方正仿宋_GBK" w:eastAsia="方正仿宋_GBK" w:cs="方正仿宋_GBK"/>
          <w:color w:val="000000"/>
          <w:sz w:val="28"/>
        </w:rPr>
        <w:t xml:space="preserve"> </w:t>
      </w:r>
    </w:p>
    <w:p>
      <w:pPr>
        <w:jc w:val="center"/>
      </w:pPr>
      <w:r>
        <w:rPr>
          <w:rFonts w:ascii="方正仿宋_GBK" w:hAnsi="方正仿宋_GBK" w:eastAsia="方正仿宋_GBK" w:cs="方正仿宋_GBK"/>
          <w:color w:val="000000"/>
          <w:sz w:val="28"/>
        </w:rPr>
        <w:t xml:space="preserve"> </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801001青岛市水务管理局本级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37020022P55001610011J</w:t>
            </w:r>
          </w:p>
        </w:tc>
        <w:tc>
          <w:tcPr>
            <w:tcW w:w="1587" w:type="dxa"/>
            <w:vAlign w:val="center"/>
          </w:tcPr>
          <w:p>
            <w:pPr>
              <w:pStyle w:val="9"/>
            </w:pPr>
            <w:r>
              <w:t>项目名称</w:t>
            </w:r>
          </w:p>
        </w:tc>
        <w:tc>
          <w:tcPr>
            <w:tcW w:w="4422" w:type="dxa"/>
            <w:gridSpan w:val="3"/>
            <w:vAlign w:val="center"/>
          </w:tcPr>
          <w:p>
            <w:pPr>
              <w:pStyle w:val="10"/>
            </w:pPr>
            <w:r>
              <w:t>光大水务麦岛污水处理厂污水污泥处理运行费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17100.00</w:t>
            </w:r>
          </w:p>
        </w:tc>
        <w:tc>
          <w:tcPr>
            <w:tcW w:w="1587" w:type="dxa"/>
            <w:vAlign w:val="center"/>
          </w:tcPr>
          <w:p>
            <w:pPr>
              <w:pStyle w:val="9"/>
            </w:pPr>
            <w:r>
              <w:t>其中：财政    资金</w:t>
            </w:r>
          </w:p>
        </w:tc>
        <w:tc>
          <w:tcPr>
            <w:tcW w:w="1304" w:type="dxa"/>
            <w:vAlign w:val="center"/>
          </w:tcPr>
          <w:p>
            <w:pPr>
              <w:pStyle w:val="10"/>
            </w:pPr>
            <w:r>
              <w:t>17100.00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污水污泥处理运行费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4000.00</w:t>
            </w:r>
          </w:p>
        </w:tc>
        <w:tc>
          <w:tcPr>
            <w:tcW w:w="1587" w:type="dxa"/>
            <w:vAlign w:val="center"/>
          </w:tcPr>
          <w:p>
            <w:pPr>
              <w:pStyle w:val="11"/>
            </w:pPr>
            <w:r>
              <w:t>8000.00</w:t>
            </w:r>
          </w:p>
        </w:tc>
        <w:tc>
          <w:tcPr>
            <w:tcW w:w="1304" w:type="dxa"/>
            <w:vAlign w:val="center"/>
          </w:tcPr>
          <w:p>
            <w:pPr>
              <w:pStyle w:val="11"/>
            </w:pPr>
            <w:r>
              <w:t>12000.00</w:t>
            </w:r>
          </w:p>
        </w:tc>
        <w:tc>
          <w:tcPr>
            <w:tcW w:w="3118" w:type="dxa"/>
            <w:gridSpan w:val="2"/>
            <w:vAlign w:val="center"/>
          </w:tcPr>
          <w:p>
            <w:pPr>
              <w:pStyle w:val="11"/>
            </w:pPr>
            <w:r>
              <w:t>17100.00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rPr>
                <w:lang w:eastAsia="zh-CN"/>
              </w:rPr>
            </w:pPr>
            <w:r>
              <w:t>麦岛污水处理厂全年运行365天，预计处理水量4595万吨，消减COD20000吨，消减氨氮1600吨，消减TP220吨，消减TN1600吨</w:t>
            </w:r>
            <w:r>
              <w:rPr>
                <w:rFonts w:hint="eastAsia"/>
                <w:lang w:eastAsia="zh-CN"/>
              </w:rPr>
              <w:t>。</w:t>
            </w:r>
          </w:p>
        </w:tc>
      </w:tr>
    </w:tbl>
    <w:p>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01"/>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01" w:type="dxa"/>
            <w:vAlign w:val="center"/>
          </w:tcPr>
          <w:p>
            <w:pPr>
              <w:pStyle w:val="9"/>
            </w:pPr>
            <w:r>
              <w:t>一级指标</w:t>
            </w:r>
          </w:p>
        </w:tc>
        <w:tc>
          <w:tcPr>
            <w:tcW w:w="1327" w:type="dxa"/>
            <w:vAlign w:val="center"/>
          </w:tcPr>
          <w:p>
            <w:pPr>
              <w:pStyle w:val="9"/>
            </w:pPr>
            <w:r>
              <w:t>二级指标</w:t>
            </w:r>
          </w:p>
        </w:tc>
        <w:tc>
          <w:tcPr>
            <w:tcW w:w="1327" w:type="dxa"/>
            <w:vAlign w:val="center"/>
          </w:tcPr>
          <w:p>
            <w:pPr>
              <w:pStyle w:val="9"/>
            </w:pPr>
            <w:r>
              <w:t>三级指标</w:t>
            </w:r>
          </w:p>
        </w:tc>
        <w:tc>
          <w:tcPr>
            <w:tcW w:w="2654" w:type="dxa"/>
            <w:vAlign w:val="center"/>
          </w:tcPr>
          <w:p>
            <w:pPr>
              <w:pStyle w:val="9"/>
            </w:pPr>
            <w:r>
              <w:t>绩效指标描述</w:t>
            </w:r>
          </w:p>
        </w:tc>
        <w:tc>
          <w:tcPr>
            <w:tcW w:w="1327" w:type="dxa"/>
            <w:vAlign w:val="center"/>
          </w:tcPr>
          <w:p>
            <w:pPr>
              <w:pStyle w:val="9"/>
            </w:pPr>
            <w:r>
              <w:t>指标值</w:t>
            </w:r>
          </w:p>
        </w:tc>
        <w:tc>
          <w:tcPr>
            <w:tcW w:w="1327"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1" w:type="dxa"/>
            <w:vAlign w:val="center"/>
          </w:tcPr>
          <w:p>
            <w:pPr>
              <w:pStyle w:val="11"/>
            </w:pPr>
            <w:r>
              <w:t>成本指标</w:t>
            </w:r>
          </w:p>
        </w:tc>
        <w:tc>
          <w:tcPr>
            <w:tcW w:w="1327" w:type="dxa"/>
            <w:vAlign w:val="center"/>
          </w:tcPr>
          <w:p>
            <w:pPr>
              <w:pStyle w:val="10"/>
            </w:pPr>
            <w:r>
              <w:rPr>
                <w:rFonts w:hint="eastAsia"/>
                <w:lang w:eastAsia="zh-CN"/>
              </w:rPr>
              <w:t>经济</w:t>
            </w:r>
            <w:r>
              <w:t>成本指标</w:t>
            </w:r>
          </w:p>
        </w:tc>
        <w:tc>
          <w:tcPr>
            <w:tcW w:w="1327" w:type="dxa"/>
            <w:vAlign w:val="center"/>
          </w:tcPr>
          <w:p>
            <w:pPr>
              <w:pStyle w:val="10"/>
            </w:pPr>
            <w:r>
              <w:t>吨污水处理费</w:t>
            </w:r>
          </w:p>
        </w:tc>
        <w:tc>
          <w:tcPr>
            <w:tcW w:w="2654" w:type="dxa"/>
            <w:vAlign w:val="center"/>
          </w:tcPr>
          <w:p>
            <w:pPr>
              <w:pStyle w:val="10"/>
            </w:pPr>
            <w:r>
              <w:t>吨污水处理费</w:t>
            </w:r>
          </w:p>
        </w:tc>
        <w:tc>
          <w:tcPr>
            <w:tcW w:w="1327" w:type="dxa"/>
            <w:vAlign w:val="center"/>
          </w:tcPr>
          <w:p>
            <w:pPr>
              <w:pStyle w:val="10"/>
            </w:pPr>
            <w:r>
              <w:t>1.846元/吨</w:t>
            </w:r>
          </w:p>
        </w:tc>
        <w:tc>
          <w:tcPr>
            <w:tcW w:w="1327"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1" w:type="dxa"/>
            <w:vMerge w:val="restart"/>
            <w:vAlign w:val="center"/>
          </w:tcPr>
          <w:p>
            <w:r>
              <w:t>产出指标</w:t>
            </w:r>
          </w:p>
        </w:tc>
        <w:tc>
          <w:tcPr>
            <w:tcW w:w="1327" w:type="dxa"/>
            <w:vAlign w:val="center"/>
          </w:tcPr>
          <w:p>
            <w:pPr>
              <w:pStyle w:val="10"/>
            </w:pPr>
            <w:r>
              <w:t>数量指标</w:t>
            </w:r>
          </w:p>
        </w:tc>
        <w:tc>
          <w:tcPr>
            <w:tcW w:w="1327" w:type="dxa"/>
            <w:vAlign w:val="center"/>
          </w:tcPr>
          <w:p>
            <w:pPr>
              <w:pStyle w:val="10"/>
            </w:pPr>
            <w:r>
              <w:t>日处理量</w:t>
            </w:r>
          </w:p>
        </w:tc>
        <w:tc>
          <w:tcPr>
            <w:tcW w:w="2654" w:type="dxa"/>
            <w:vAlign w:val="center"/>
          </w:tcPr>
          <w:p>
            <w:pPr>
              <w:pStyle w:val="10"/>
            </w:pPr>
            <w:r>
              <w:t>麦岛厂</w:t>
            </w:r>
            <w:r>
              <w:rPr>
                <w:rFonts w:hint="eastAsia"/>
                <w:lang w:eastAsia="zh-CN"/>
              </w:rPr>
              <w:t>每日</w:t>
            </w:r>
            <w:r>
              <w:t>污水处理量</w:t>
            </w:r>
          </w:p>
        </w:tc>
        <w:tc>
          <w:tcPr>
            <w:tcW w:w="1327" w:type="dxa"/>
            <w:vAlign w:val="center"/>
          </w:tcPr>
          <w:p>
            <w:pPr>
              <w:pStyle w:val="10"/>
            </w:pPr>
            <w:r>
              <w:t>12.59万吨</w:t>
            </w:r>
          </w:p>
        </w:tc>
        <w:tc>
          <w:tcPr>
            <w:tcW w:w="1327"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1" w:type="dxa"/>
            <w:vMerge w:val="continue"/>
            <w:vAlign w:val="center"/>
          </w:tcPr>
          <w:p/>
        </w:tc>
        <w:tc>
          <w:tcPr>
            <w:tcW w:w="1327" w:type="dxa"/>
            <w:vAlign w:val="center"/>
          </w:tcPr>
          <w:p>
            <w:pPr>
              <w:pStyle w:val="10"/>
            </w:pPr>
            <w:r>
              <w:t>数量指标</w:t>
            </w:r>
          </w:p>
        </w:tc>
        <w:tc>
          <w:tcPr>
            <w:tcW w:w="1327" w:type="dxa"/>
            <w:vAlign w:val="center"/>
          </w:tcPr>
          <w:p>
            <w:pPr>
              <w:pStyle w:val="10"/>
            </w:pPr>
            <w:r>
              <w:rPr>
                <w:rFonts w:hint="eastAsia"/>
                <w:lang w:eastAsia="zh-CN"/>
              </w:rPr>
              <w:t>年</w:t>
            </w:r>
            <w:r>
              <w:t>处理量</w:t>
            </w:r>
          </w:p>
        </w:tc>
        <w:tc>
          <w:tcPr>
            <w:tcW w:w="2654" w:type="dxa"/>
            <w:vAlign w:val="center"/>
          </w:tcPr>
          <w:p>
            <w:pPr>
              <w:pStyle w:val="10"/>
            </w:pPr>
            <w:r>
              <w:t>麦岛厂</w:t>
            </w:r>
            <w:r>
              <w:rPr>
                <w:rFonts w:hint="eastAsia"/>
                <w:lang w:eastAsia="zh-CN"/>
              </w:rPr>
              <w:t>年</w:t>
            </w:r>
            <w:r>
              <w:t>污水处理量</w:t>
            </w:r>
          </w:p>
        </w:tc>
        <w:tc>
          <w:tcPr>
            <w:tcW w:w="1327" w:type="dxa"/>
            <w:vAlign w:val="center"/>
          </w:tcPr>
          <w:p>
            <w:pPr>
              <w:pStyle w:val="10"/>
            </w:pPr>
            <w:r>
              <w:rPr>
                <w:rFonts w:hint="eastAsia"/>
                <w:lang w:eastAsia="zh-CN"/>
              </w:rPr>
              <w:t>≥4532</w:t>
            </w:r>
            <w:r>
              <w:t>万吨</w:t>
            </w:r>
          </w:p>
        </w:tc>
        <w:tc>
          <w:tcPr>
            <w:tcW w:w="1327"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1" w:type="dxa"/>
            <w:vMerge w:val="continue"/>
            <w:vAlign w:val="center"/>
          </w:tcPr>
          <w:p/>
        </w:tc>
        <w:tc>
          <w:tcPr>
            <w:tcW w:w="1327" w:type="dxa"/>
            <w:vAlign w:val="center"/>
          </w:tcPr>
          <w:p>
            <w:pPr>
              <w:pStyle w:val="10"/>
            </w:pPr>
            <w:r>
              <w:t>质量指标</w:t>
            </w:r>
          </w:p>
        </w:tc>
        <w:tc>
          <w:tcPr>
            <w:tcW w:w="1327" w:type="dxa"/>
            <w:vAlign w:val="center"/>
          </w:tcPr>
          <w:p>
            <w:pPr>
              <w:pStyle w:val="10"/>
            </w:pPr>
            <w:r>
              <w:t>处理水质达标率</w:t>
            </w:r>
          </w:p>
        </w:tc>
        <w:tc>
          <w:tcPr>
            <w:tcW w:w="2654" w:type="dxa"/>
            <w:vAlign w:val="center"/>
          </w:tcPr>
          <w:p>
            <w:pPr>
              <w:pStyle w:val="10"/>
            </w:pPr>
            <w:r>
              <w:t>麦岛厂升级改造项目水质达标率</w:t>
            </w:r>
          </w:p>
        </w:tc>
        <w:tc>
          <w:tcPr>
            <w:tcW w:w="1327" w:type="dxa"/>
            <w:vAlign w:val="center"/>
          </w:tcPr>
          <w:p>
            <w:pPr>
              <w:pStyle w:val="10"/>
              <w:rPr>
                <w:lang w:eastAsia="zh-CN"/>
              </w:rPr>
            </w:pPr>
            <w:r>
              <w:t>98</w:t>
            </w:r>
            <w:r>
              <w:rPr>
                <w:rFonts w:hint="eastAsia"/>
                <w:lang w:eastAsia="zh-CN"/>
              </w:rPr>
              <w:t>%</w:t>
            </w:r>
          </w:p>
        </w:tc>
        <w:tc>
          <w:tcPr>
            <w:tcW w:w="1327" w:type="dxa"/>
            <w:vAlign w:val="center"/>
          </w:tcPr>
          <w:p>
            <w:pPr>
              <w:pStyle w:val="10"/>
            </w:pPr>
            <w:r>
              <w:t>行业监管办法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1" w:type="dxa"/>
            <w:vMerge w:val="continue"/>
            <w:vAlign w:val="center"/>
          </w:tcPr>
          <w:p/>
        </w:tc>
        <w:tc>
          <w:tcPr>
            <w:tcW w:w="1327" w:type="dxa"/>
            <w:vAlign w:val="center"/>
          </w:tcPr>
          <w:p>
            <w:pPr>
              <w:pStyle w:val="10"/>
            </w:pPr>
            <w:r>
              <w:t>质量指标</w:t>
            </w:r>
          </w:p>
        </w:tc>
        <w:tc>
          <w:tcPr>
            <w:tcW w:w="1327" w:type="dxa"/>
            <w:vAlign w:val="center"/>
          </w:tcPr>
          <w:p>
            <w:pPr>
              <w:pStyle w:val="10"/>
              <w:rPr>
                <w:lang w:eastAsia="zh-CN"/>
              </w:rPr>
            </w:pPr>
            <w:r>
              <w:t>污水污泥处理</w:t>
            </w:r>
            <w:r>
              <w:rPr>
                <w:rFonts w:hint="eastAsia"/>
                <w:lang w:eastAsia="zh-CN"/>
              </w:rPr>
              <w:t>率</w:t>
            </w:r>
          </w:p>
        </w:tc>
        <w:tc>
          <w:tcPr>
            <w:tcW w:w="2654" w:type="dxa"/>
            <w:vAlign w:val="center"/>
          </w:tcPr>
          <w:p>
            <w:pPr>
              <w:pStyle w:val="10"/>
            </w:pPr>
            <w:r>
              <w:t>污水污泥处理</w:t>
            </w:r>
            <w:r>
              <w:rPr>
                <w:rFonts w:hint="eastAsia"/>
                <w:lang w:eastAsia="zh-CN"/>
              </w:rPr>
              <w:t>情况</w:t>
            </w:r>
          </w:p>
        </w:tc>
        <w:tc>
          <w:tcPr>
            <w:tcW w:w="1327" w:type="dxa"/>
            <w:vAlign w:val="center"/>
          </w:tcPr>
          <w:p>
            <w:pPr>
              <w:pStyle w:val="10"/>
              <w:rPr>
                <w:lang w:eastAsia="zh-CN"/>
              </w:rPr>
            </w:pPr>
            <w:r>
              <w:t>98</w:t>
            </w:r>
            <w:r>
              <w:rPr>
                <w:rFonts w:hint="eastAsia"/>
                <w:lang w:eastAsia="zh-CN"/>
              </w:rPr>
              <w:t>%</w:t>
            </w:r>
          </w:p>
        </w:tc>
        <w:tc>
          <w:tcPr>
            <w:tcW w:w="1327" w:type="dxa"/>
            <w:vAlign w:val="center"/>
          </w:tcPr>
          <w:p>
            <w:pPr>
              <w:pStyle w:val="10"/>
            </w:pPr>
            <w:r>
              <w:t>行业监管办法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1" w:type="dxa"/>
            <w:vMerge w:val="continue"/>
            <w:vAlign w:val="center"/>
          </w:tcPr>
          <w:p/>
        </w:tc>
        <w:tc>
          <w:tcPr>
            <w:tcW w:w="1327" w:type="dxa"/>
            <w:vAlign w:val="center"/>
          </w:tcPr>
          <w:p>
            <w:pPr>
              <w:pStyle w:val="10"/>
            </w:pPr>
            <w:r>
              <w:t>时效指标</w:t>
            </w:r>
          </w:p>
        </w:tc>
        <w:tc>
          <w:tcPr>
            <w:tcW w:w="1327" w:type="dxa"/>
            <w:vAlign w:val="center"/>
          </w:tcPr>
          <w:p>
            <w:pPr>
              <w:pStyle w:val="10"/>
              <w:rPr>
                <w:lang w:eastAsia="zh-CN"/>
              </w:rPr>
            </w:pPr>
            <w:r>
              <w:t>污水处理</w:t>
            </w:r>
            <w:r>
              <w:rPr>
                <w:rFonts w:hint="eastAsia"/>
                <w:lang w:eastAsia="zh-CN"/>
              </w:rPr>
              <w:t>设备故障修复及时率</w:t>
            </w:r>
          </w:p>
        </w:tc>
        <w:tc>
          <w:tcPr>
            <w:tcW w:w="2654" w:type="dxa"/>
            <w:vAlign w:val="center"/>
          </w:tcPr>
          <w:p>
            <w:pPr>
              <w:pStyle w:val="10"/>
            </w:pPr>
            <w:r>
              <w:t>污水处理</w:t>
            </w:r>
            <w:r>
              <w:rPr>
                <w:rFonts w:hint="eastAsia"/>
                <w:lang w:eastAsia="zh-CN"/>
              </w:rPr>
              <w:t>设备故障修复及时情况</w:t>
            </w:r>
          </w:p>
        </w:tc>
        <w:tc>
          <w:tcPr>
            <w:tcW w:w="1327" w:type="dxa"/>
            <w:vAlign w:val="center"/>
          </w:tcPr>
          <w:p>
            <w:pPr>
              <w:pStyle w:val="10"/>
              <w:rPr>
                <w:lang w:eastAsia="zh-CN"/>
              </w:rPr>
            </w:pPr>
            <w:r>
              <w:rPr>
                <w:rFonts w:hint="eastAsia"/>
                <w:lang w:eastAsia="zh-CN"/>
              </w:rPr>
              <w:t>100%</w:t>
            </w:r>
          </w:p>
        </w:tc>
        <w:tc>
          <w:tcPr>
            <w:tcW w:w="1327"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1" w:type="dxa"/>
            <w:vMerge w:val="restart"/>
            <w:vAlign w:val="center"/>
          </w:tcPr>
          <w:p>
            <w:pPr>
              <w:pStyle w:val="11"/>
            </w:pPr>
            <w:r>
              <w:t>效益指标</w:t>
            </w:r>
          </w:p>
        </w:tc>
        <w:tc>
          <w:tcPr>
            <w:tcW w:w="1327" w:type="dxa"/>
            <w:vAlign w:val="center"/>
          </w:tcPr>
          <w:p>
            <w:pPr>
              <w:pStyle w:val="10"/>
            </w:pPr>
            <w:r>
              <w:t>社会效益指标</w:t>
            </w:r>
          </w:p>
        </w:tc>
        <w:tc>
          <w:tcPr>
            <w:tcW w:w="1327" w:type="dxa"/>
            <w:vAlign w:val="center"/>
          </w:tcPr>
          <w:p>
            <w:pPr>
              <w:pStyle w:val="10"/>
            </w:pPr>
            <w:r>
              <w:t>安全事故发生数</w:t>
            </w:r>
          </w:p>
        </w:tc>
        <w:tc>
          <w:tcPr>
            <w:tcW w:w="2654" w:type="dxa"/>
            <w:vAlign w:val="center"/>
          </w:tcPr>
          <w:p>
            <w:pPr>
              <w:pStyle w:val="10"/>
            </w:pPr>
            <w:r>
              <w:t>安全事故发生数</w:t>
            </w:r>
          </w:p>
        </w:tc>
        <w:tc>
          <w:tcPr>
            <w:tcW w:w="1327" w:type="dxa"/>
            <w:vAlign w:val="center"/>
          </w:tcPr>
          <w:p>
            <w:pPr>
              <w:pStyle w:val="10"/>
            </w:pPr>
            <w:r>
              <w:t>0起</w:t>
            </w:r>
          </w:p>
        </w:tc>
        <w:tc>
          <w:tcPr>
            <w:tcW w:w="1327"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1" w:type="dxa"/>
            <w:vMerge w:val="continue"/>
            <w:vAlign w:val="center"/>
          </w:tcPr>
          <w:p/>
        </w:tc>
        <w:tc>
          <w:tcPr>
            <w:tcW w:w="1327" w:type="dxa"/>
            <w:vAlign w:val="center"/>
          </w:tcPr>
          <w:p>
            <w:pPr>
              <w:pStyle w:val="10"/>
            </w:pPr>
            <w:r>
              <w:t>生态效益指标</w:t>
            </w:r>
          </w:p>
        </w:tc>
        <w:tc>
          <w:tcPr>
            <w:tcW w:w="1327" w:type="dxa"/>
            <w:vAlign w:val="center"/>
          </w:tcPr>
          <w:p>
            <w:pPr>
              <w:pStyle w:val="10"/>
            </w:pPr>
            <w:r>
              <w:t>COD年消减量</w:t>
            </w:r>
          </w:p>
        </w:tc>
        <w:tc>
          <w:tcPr>
            <w:tcW w:w="2654" w:type="dxa"/>
            <w:vAlign w:val="center"/>
          </w:tcPr>
          <w:p>
            <w:pPr>
              <w:pStyle w:val="10"/>
            </w:pPr>
            <w:r>
              <w:t>COD年消减量</w:t>
            </w:r>
          </w:p>
        </w:tc>
        <w:tc>
          <w:tcPr>
            <w:tcW w:w="1327" w:type="dxa"/>
            <w:vAlign w:val="center"/>
          </w:tcPr>
          <w:p>
            <w:pPr>
              <w:pStyle w:val="10"/>
            </w:pPr>
            <w:r>
              <w:t>20000吨</w:t>
            </w:r>
          </w:p>
        </w:tc>
        <w:tc>
          <w:tcPr>
            <w:tcW w:w="1327"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1" w:type="dxa"/>
            <w:vMerge w:val="continue"/>
            <w:vAlign w:val="center"/>
          </w:tcPr>
          <w:p/>
        </w:tc>
        <w:tc>
          <w:tcPr>
            <w:tcW w:w="1327" w:type="dxa"/>
            <w:vAlign w:val="center"/>
          </w:tcPr>
          <w:p>
            <w:pPr>
              <w:pStyle w:val="10"/>
            </w:pPr>
            <w:r>
              <w:t>生态效益指标</w:t>
            </w:r>
          </w:p>
        </w:tc>
        <w:tc>
          <w:tcPr>
            <w:tcW w:w="1327" w:type="dxa"/>
            <w:vAlign w:val="center"/>
          </w:tcPr>
          <w:p>
            <w:pPr>
              <w:pStyle w:val="10"/>
            </w:pPr>
            <w:r>
              <w:t>氨氮年消减量</w:t>
            </w:r>
          </w:p>
        </w:tc>
        <w:tc>
          <w:tcPr>
            <w:tcW w:w="2654" w:type="dxa"/>
            <w:vAlign w:val="center"/>
          </w:tcPr>
          <w:p>
            <w:pPr>
              <w:pStyle w:val="10"/>
            </w:pPr>
            <w:r>
              <w:t>氨氮消减量</w:t>
            </w:r>
          </w:p>
        </w:tc>
        <w:tc>
          <w:tcPr>
            <w:tcW w:w="1327" w:type="dxa"/>
            <w:vAlign w:val="center"/>
          </w:tcPr>
          <w:p>
            <w:pPr>
              <w:pStyle w:val="10"/>
            </w:pPr>
            <w:r>
              <w:t>1600吨</w:t>
            </w:r>
          </w:p>
        </w:tc>
        <w:tc>
          <w:tcPr>
            <w:tcW w:w="1327"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1" w:type="dxa"/>
            <w:vMerge w:val="continue"/>
            <w:vAlign w:val="center"/>
          </w:tcPr>
          <w:p/>
        </w:tc>
        <w:tc>
          <w:tcPr>
            <w:tcW w:w="1327" w:type="dxa"/>
            <w:vAlign w:val="center"/>
          </w:tcPr>
          <w:p>
            <w:pPr>
              <w:pStyle w:val="10"/>
            </w:pPr>
            <w:r>
              <w:t>生态效益指标</w:t>
            </w:r>
          </w:p>
        </w:tc>
        <w:tc>
          <w:tcPr>
            <w:tcW w:w="1327" w:type="dxa"/>
            <w:vAlign w:val="center"/>
          </w:tcPr>
          <w:p>
            <w:pPr>
              <w:pStyle w:val="10"/>
            </w:pPr>
            <w:r>
              <w:t>TN消减量</w:t>
            </w:r>
          </w:p>
        </w:tc>
        <w:tc>
          <w:tcPr>
            <w:tcW w:w="2654" w:type="dxa"/>
            <w:vAlign w:val="center"/>
          </w:tcPr>
          <w:p>
            <w:pPr>
              <w:pStyle w:val="10"/>
            </w:pPr>
            <w:r>
              <w:t>TN消减量</w:t>
            </w:r>
          </w:p>
        </w:tc>
        <w:tc>
          <w:tcPr>
            <w:tcW w:w="1327" w:type="dxa"/>
            <w:vAlign w:val="center"/>
          </w:tcPr>
          <w:p>
            <w:pPr>
              <w:pStyle w:val="10"/>
            </w:pPr>
            <w:r>
              <w:t>1600吨</w:t>
            </w:r>
          </w:p>
        </w:tc>
        <w:tc>
          <w:tcPr>
            <w:tcW w:w="1327"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1" w:type="dxa"/>
            <w:vMerge w:val="continue"/>
            <w:vAlign w:val="center"/>
          </w:tcPr>
          <w:p/>
        </w:tc>
        <w:tc>
          <w:tcPr>
            <w:tcW w:w="1327" w:type="dxa"/>
            <w:vAlign w:val="center"/>
          </w:tcPr>
          <w:p>
            <w:pPr>
              <w:pStyle w:val="10"/>
            </w:pPr>
            <w:r>
              <w:t>生态效益指标</w:t>
            </w:r>
          </w:p>
        </w:tc>
        <w:tc>
          <w:tcPr>
            <w:tcW w:w="1327" w:type="dxa"/>
            <w:vAlign w:val="center"/>
          </w:tcPr>
          <w:p>
            <w:pPr>
              <w:pStyle w:val="10"/>
            </w:pPr>
            <w:r>
              <w:t>TP消减量</w:t>
            </w:r>
          </w:p>
        </w:tc>
        <w:tc>
          <w:tcPr>
            <w:tcW w:w="2654" w:type="dxa"/>
            <w:vAlign w:val="center"/>
          </w:tcPr>
          <w:p>
            <w:pPr>
              <w:pStyle w:val="10"/>
            </w:pPr>
            <w:r>
              <w:t>TP消减量</w:t>
            </w:r>
          </w:p>
        </w:tc>
        <w:tc>
          <w:tcPr>
            <w:tcW w:w="1327" w:type="dxa"/>
            <w:vAlign w:val="center"/>
          </w:tcPr>
          <w:p>
            <w:pPr>
              <w:pStyle w:val="10"/>
            </w:pPr>
            <w:r>
              <w:t>220吨</w:t>
            </w:r>
          </w:p>
        </w:tc>
        <w:tc>
          <w:tcPr>
            <w:tcW w:w="1327"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1" w:type="dxa"/>
            <w:vMerge w:val="continue"/>
            <w:vAlign w:val="center"/>
          </w:tcPr>
          <w:p/>
        </w:tc>
        <w:tc>
          <w:tcPr>
            <w:tcW w:w="1327" w:type="dxa"/>
            <w:vAlign w:val="center"/>
          </w:tcPr>
          <w:p>
            <w:pPr>
              <w:pStyle w:val="10"/>
            </w:pPr>
            <w:r>
              <w:t>可持续影响指标</w:t>
            </w:r>
          </w:p>
        </w:tc>
        <w:tc>
          <w:tcPr>
            <w:tcW w:w="1327" w:type="dxa"/>
            <w:vAlign w:val="center"/>
          </w:tcPr>
          <w:p>
            <w:pPr>
              <w:pStyle w:val="10"/>
            </w:pPr>
            <w:r>
              <w:t>应急事件管理机制是否健全</w:t>
            </w:r>
          </w:p>
        </w:tc>
        <w:tc>
          <w:tcPr>
            <w:tcW w:w="2654" w:type="dxa"/>
            <w:vAlign w:val="center"/>
          </w:tcPr>
          <w:p>
            <w:pPr>
              <w:pStyle w:val="10"/>
            </w:pPr>
            <w:r>
              <w:t>应急事件管理机制是否健全</w:t>
            </w:r>
          </w:p>
        </w:tc>
        <w:tc>
          <w:tcPr>
            <w:tcW w:w="1327" w:type="dxa"/>
            <w:vAlign w:val="center"/>
          </w:tcPr>
          <w:p>
            <w:pPr>
              <w:pStyle w:val="10"/>
              <w:rPr>
                <w:lang w:eastAsia="zh-CN"/>
              </w:rPr>
            </w:pPr>
            <w:r>
              <w:rPr>
                <w:rFonts w:hint="eastAsia"/>
                <w:lang w:eastAsia="zh-CN"/>
              </w:rPr>
              <w:t>健全</w:t>
            </w:r>
          </w:p>
        </w:tc>
        <w:tc>
          <w:tcPr>
            <w:tcW w:w="1327"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1" w:type="dxa"/>
            <w:vAlign w:val="center"/>
          </w:tcPr>
          <w:p>
            <w:pPr>
              <w:pStyle w:val="11"/>
            </w:pPr>
            <w:r>
              <w:t>满意度指标</w:t>
            </w:r>
          </w:p>
        </w:tc>
        <w:tc>
          <w:tcPr>
            <w:tcW w:w="1327" w:type="dxa"/>
            <w:vAlign w:val="center"/>
          </w:tcPr>
          <w:p>
            <w:pPr>
              <w:pStyle w:val="10"/>
            </w:pPr>
            <w:r>
              <w:t>服务对象满意度指标</w:t>
            </w:r>
          </w:p>
        </w:tc>
        <w:tc>
          <w:tcPr>
            <w:tcW w:w="1327" w:type="dxa"/>
            <w:vAlign w:val="center"/>
          </w:tcPr>
          <w:p>
            <w:pPr>
              <w:pStyle w:val="10"/>
            </w:pPr>
            <w:r>
              <w:t>受益群体满意度</w:t>
            </w:r>
          </w:p>
        </w:tc>
        <w:tc>
          <w:tcPr>
            <w:tcW w:w="2654" w:type="dxa"/>
            <w:vAlign w:val="center"/>
          </w:tcPr>
          <w:p>
            <w:pPr>
              <w:pStyle w:val="10"/>
            </w:pPr>
            <w:r>
              <w:t>受益群体满意度</w:t>
            </w:r>
          </w:p>
        </w:tc>
        <w:tc>
          <w:tcPr>
            <w:tcW w:w="1327" w:type="dxa"/>
            <w:vAlign w:val="center"/>
          </w:tcPr>
          <w:p>
            <w:pPr>
              <w:pStyle w:val="10"/>
            </w:pPr>
            <w:r>
              <w:t>≥96%</w:t>
            </w:r>
          </w:p>
        </w:tc>
        <w:tc>
          <w:tcPr>
            <w:tcW w:w="1327" w:type="dxa"/>
            <w:vAlign w:val="center"/>
          </w:tcPr>
          <w:p>
            <w:pPr>
              <w:pStyle w:val="10"/>
            </w:pPr>
            <w:r>
              <w:t>其他标准</w:t>
            </w:r>
          </w:p>
        </w:tc>
      </w:tr>
    </w:tbl>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p>
      <w:pPr>
        <w:jc w:val="center"/>
        <w:rPr>
          <w:rFonts w:ascii="方正仿宋_GBK" w:hAnsi="方正仿宋_GBK" w:eastAsia="方正仿宋_GBK" w:cs="方正仿宋_GBK"/>
          <w:color w:val="000000"/>
          <w:sz w:val="28"/>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801001青岛市水务管理局本级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37020022P55001610004H</w:t>
            </w:r>
          </w:p>
        </w:tc>
        <w:tc>
          <w:tcPr>
            <w:tcW w:w="1587" w:type="dxa"/>
            <w:vAlign w:val="center"/>
          </w:tcPr>
          <w:p>
            <w:pPr>
              <w:pStyle w:val="9"/>
            </w:pPr>
            <w:r>
              <w:t>项目名称</w:t>
            </w:r>
          </w:p>
        </w:tc>
        <w:tc>
          <w:tcPr>
            <w:tcW w:w="4422" w:type="dxa"/>
            <w:gridSpan w:val="3"/>
            <w:vAlign w:val="center"/>
          </w:tcPr>
          <w:p>
            <w:pPr>
              <w:pStyle w:val="10"/>
            </w:pPr>
            <w:r>
              <w:t>李村河污水处理厂四期污水污泥处理运行费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11052.00</w:t>
            </w:r>
          </w:p>
        </w:tc>
        <w:tc>
          <w:tcPr>
            <w:tcW w:w="1587" w:type="dxa"/>
            <w:vAlign w:val="center"/>
          </w:tcPr>
          <w:p>
            <w:pPr>
              <w:pStyle w:val="9"/>
            </w:pPr>
            <w:r>
              <w:t>其中：财政    资金</w:t>
            </w:r>
          </w:p>
        </w:tc>
        <w:tc>
          <w:tcPr>
            <w:tcW w:w="1304" w:type="dxa"/>
            <w:vAlign w:val="center"/>
          </w:tcPr>
          <w:p>
            <w:pPr>
              <w:pStyle w:val="10"/>
            </w:pPr>
            <w:r>
              <w:t>11052.00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2023年污水处理费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5197.00</w:t>
            </w:r>
          </w:p>
        </w:tc>
        <w:tc>
          <w:tcPr>
            <w:tcW w:w="1304" w:type="dxa"/>
            <w:vAlign w:val="center"/>
          </w:tcPr>
          <w:p>
            <w:pPr>
              <w:pStyle w:val="11"/>
            </w:pPr>
            <w:r>
              <w:t>7796.00</w:t>
            </w:r>
          </w:p>
        </w:tc>
        <w:tc>
          <w:tcPr>
            <w:tcW w:w="3118" w:type="dxa"/>
            <w:gridSpan w:val="2"/>
            <w:vAlign w:val="center"/>
          </w:tcPr>
          <w:p>
            <w:pPr>
              <w:pStyle w:val="11"/>
            </w:pPr>
            <w:r>
              <w:t>11052.00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rPr>
                <w:lang w:eastAsia="zh-CN"/>
              </w:rPr>
            </w:pPr>
            <w:r>
              <w:rPr>
                <w:rFonts w:hint="eastAsia"/>
                <w:lang w:eastAsia="zh-CN"/>
              </w:rPr>
              <w:t>通过</w:t>
            </w:r>
            <w:r>
              <w:t>污水处理</w:t>
            </w:r>
            <w:r>
              <w:rPr>
                <w:rFonts w:hint="eastAsia"/>
                <w:lang w:eastAsia="zh-CN"/>
              </w:rPr>
              <w:t>，使</w:t>
            </w:r>
            <w:r>
              <w:t>COD、氨氮、总磷、总氮排放浓度</w:t>
            </w:r>
            <w:r>
              <w:rPr>
                <w:rFonts w:hint="eastAsia"/>
                <w:lang w:eastAsia="zh-CN"/>
              </w:rPr>
              <w:t>达标，保障环境安全。</w:t>
            </w:r>
          </w:p>
        </w:tc>
      </w:tr>
    </w:tbl>
    <w:p>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63"/>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863" w:type="dxa"/>
            <w:vAlign w:val="center"/>
          </w:tcPr>
          <w:p>
            <w:pPr>
              <w:pStyle w:val="9"/>
            </w:pPr>
            <w:r>
              <w:t>一级指标</w:t>
            </w:r>
          </w:p>
        </w:tc>
        <w:tc>
          <w:tcPr>
            <w:tcW w:w="1327" w:type="dxa"/>
            <w:vAlign w:val="center"/>
          </w:tcPr>
          <w:p>
            <w:pPr>
              <w:pStyle w:val="9"/>
            </w:pPr>
            <w:r>
              <w:t>二级指标</w:t>
            </w:r>
          </w:p>
        </w:tc>
        <w:tc>
          <w:tcPr>
            <w:tcW w:w="1327" w:type="dxa"/>
            <w:vAlign w:val="center"/>
          </w:tcPr>
          <w:p>
            <w:pPr>
              <w:pStyle w:val="9"/>
            </w:pPr>
            <w:r>
              <w:t>三级指标</w:t>
            </w:r>
          </w:p>
        </w:tc>
        <w:tc>
          <w:tcPr>
            <w:tcW w:w="2654" w:type="dxa"/>
            <w:vAlign w:val="center"/>
          </w:tcPr>
          <w:p>
            <w:pPr>
              <w:pStyle w:val="9"/>
            </w:pPr>
            <w:r>
              <w:t>绩效指标描述</w:t>
            </w:r>
          </w:p>
        </w:tc>
        <w:tc>
          <w:tcPr>
            <w:tcW w:w="1327" w:type="dxa"/>
            <w:vAlign w:val="center"/>
          </w:tcPr>
          <w:p>
            <w:pPr>
              <w:pStyle w:val="9"/>
            </w:pPr>
            <w:r>
              <w:t>指标值</w:t>
            </w:r>
          </w:p>
        </w:tc>
        <w:tc>
          <w:tcPr>
            <w:tcW w:w="1327"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3" w:type="dxa"/>
            <w:vAlign w:val="center"/>
          </w:tcPr>
          <w:p>
            <w:pPr>
              <w:pStyle w:val="11"/>
              <w:rPr>
                <w:lang w:eastAsia="zh-CN"/>
              </w:rPr>
            </w:pPr>
            <w:r>
              <w:rPr>
                <w:rFonts w:hint="eastAsia"/>
                <w:lang w:eastAsia="zh-CN"/>
              </w:rPr>
              <w:t>成本指标</w:t>
            </w:r>
          </w:p>
        </w:tc>
        <w:tc>
          <w:tcPr>
            <w:tcW w:w="1327" w:type="dxa"/>
            <w:vAlign w:val="center"/>
          </w:tcPr>
          <w:p>
            <w:pPr>
              <w:pStyle w:val="10"/>
              <w:rPr>
                <w:lang w:eastAsia="zh-CN"/>
              </w:rPr>
            </w:pPr>
            <w:r>
              <w:rPr>
                <w:rFonts w:hint="eastAsia"/>
                <w:lang w:eastAsia="zh-CN"/>
              </w:rPr>
              <w:t>经济成本指标</w:t>
            </w:r>
          </w:p>
        </w:tc>
        <w:tc>
          <w:tcPr>
            <w:tcW w:w="1327" w:type="dxa"/>
            <w:vAlign w:val="center"/>
          </w:tcPr>
          <w:p>
            <w:pPr>
              <w:pStyle w:val="10"/>
              <w:rPr>
                <w:lang w:eastAsia="zh-CN"/>
              </w:rPr>
            </w:pPr>
            <w:r>
              <w:rPr>
                <w:rFonts w:hint="eastAsia"/>
                <w:lang w:eastAsia="zh-CN"/>
              </w:rPr>
              <w:t>污水处理费用</w:t>
            </w:r>
          </w:p>
        </w:tc>
        <w:tc>
          <w:tcPr>
            <w:tcW w:w="2654" w:type="dxa"/>
            <w:vAlign w:val="center"/>
          </w:tcPr>
          <w:p>
            <w:pPr>
              <w:pStyle w:val="10"/>
            </w:pPr>
            <w:r>
              <w:rPr>
                <w:rFonts w:hint="eastAsia"/>
                <w:lang w:eastAsia="zh-CN"/>
              </w:rPr>
              <w:t>污水处理费用</w:t>
            </w:r>
          </w:p>
        </w:tc>
        <w:tc>
          <w:tcPr>
            <w:tcW w:w="1327" w:type="dxa"/>
            <w:vAlign w:val="center"/>
          </w:tcPr>
          <w:p>
            <w:pPr>
              <w:pStyle w:val="10"/>
              <w:rPr>
                <w:lang w:eastAsia="zh-CN"/>
              </w:rPr>
            </w:pPr>
            <w:r>
              <w:t>≤1.41</w:t>
            </w:r>
            <w:r>
              <w:rPr>
                <w:rFonts w:hint="eastAsia"/>
                <w:lang w:eastAsia="zh-CN"/>
              </w:rPr>
              <w:t>元/吨</w:t>
            </w:r>
          </w:p>
        </w:tc>
        <w:tc>
          <w:tcPr>
            <w:tcW w:w="1327"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3" w:type="dxa"/>
            <w:vMerge w:val="restart"/>
            <w:vAlign w:val="center"/>
          </w:tcPr>
          <w:p>
            <w:pPr>
              <w:pStyle w:val="11"/>
            </w:pPr>
            <w:r>
              <w:t>产出指标</w:t>
            </w:r>
          </w:p>
        </w:tc>
        <w:tc>
          <w:tcPr>
            <w:tcW w:w="1327" w:type="dxa"/>
            <w:vAlign w:val="center"/>
          </w:tcPr>
          <w:p>
            <w:pPr>
              <w:pStyle w:val="10"/>
            </w:pPr>
            <w:r>
              <w:t>数量指标</w:t>
            </w:r>
          </w:p>
        </w:tc>
        <w:tc>
          <w:tcPr>
            <w:tcW w:w="1327" w:type="dxa"/>
            <w:vAlign w:val="center"/>
          </w:tcPr>
          <w:p>
            <w:pPr>
              <w:pStyle w:val="10"/>
            </w:pPr>
            <w:r>
              <w:t>日污水处理量</w:t>
            </w:r>
          </w:p>
        </w:tc>
        <w:tc>
          <w:tcPr>
            <w:tcW w:w="2654" w:type="dxa"/>
            <w:vAlign w:val="center"/>
          </w:tcPr>
          <w:p>
            <w:pPr>
              <w:pStyle w:val="10"/>
            </w:pPr>
            <w:r>
              <w:t>日污水处理量</w:t>
            </w:r>
          </w:p>
        </w:tc>
        <w:tc>
          <w:tcPr>
            <w:tcW w:w="1327" w:type="dxa"/>
            <w:vAlign w:val="center"/>
          </w:tcPr>
          <w:p>
            <w:pPr>
              <w:pStyle w:val="10"/>
              <w:rPr>
                <w:lang w:eastAsia="zh-CN"/>
              </w:rPr>
            </w:pPr>
            <w:r>
              <w:t>≥30万</w:t>
            </w:r>
            <w:r>
              <w:rPr>
                <w:rFonts w:hint="eastAsia"/>
                <w:lang w:eastAsia="zh-CN"/>
              </w:rPr>
              <w:t>吨</w:t>
            </w:r>
          </w:p>
        </w:tc>
        <w:tc>
          <w:tcPr>
            <w:tcW w:w="1327"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3" w:type="dxa"/>
            <w:vMerge w:val="continue"/>
            <w:vAlign w:val="center"/>
          </w:tcPr>
          <w:p>
            <w:pPr>
              <w:pStyle w:val="11"/>
            </w:pPr>
          </w:p>
        </w:tc>
        <w:tc>
          <w:tcPr>
            <w:tcW w:w="1327" w:type="dxa"/>
            <w:vAlign w:val="center"/>
          </w:tcPr>
          <w:p>
            <w:pPr>
              <w:pStyle w:val="10"/>
            </w:pPr>
            <w:r>
              <w:t>数量指标</w:t>
            </w:r>
          </w:p>
        </w:tc>
        <w:tc>
          <w:tcPr>
            <w:tcW w:w="1327" w:type="dxa"/>
            <w:vAlign w:val="center"/>
          </w:tcPr>
          <w:p>
            <w:pPr>
              <w:pStyle w:val="10"/>
              <w:rPr>
                <w:lang w:eastAsia="zh-CN"/>
              </w:rPr>
            </w:pPr>
            <w:r>
              <w:rPr>
                <w:rFonts w:hint="eastAsia"/>
                <w:lang w:eastAsia="zh-CN"/>
              </w:rPr>
              <w:t>年污水处理量</w:t>
            </w:r>
          </w:p>
        </w:tc>
        <w:tc>
          <w:tcPr>
            <w:tcW w:w="2654" w:type="dxa"/>
            <w:vAlign w:val="center"/>
          </w:tcPr>
          <w:p>
            <w:pPr>
              <w:pStyle w:val="10"/>
            </w:pPr>
            <w:r>
              <w:rPr>
                <w:rFonts w:hint="eastAsia"/>
                <w:lang w:eastAsia="zh-CN"/>
              </w:rPr>
              <w:t>年污水处理量</w:t>
            </w:r>
          </w:p>
        </w:tc>
        <w:tc>
          <w:tcPr>
            <w:tcW w:w="1327" w:type="dxa"/>
            <w:vAlign w:val="center"/>
          </w:tcPr>
          <w:p>
            <w:pPr>
              <w:pStyle w:val="10"/>
            </w:pPr>
            <w:r>
              <w:rPr>
                <w:rFonts w:hint="eastAsia"/>
                <w:lang w:eastAsia="zh-CN"/>
              </w:rPr>
              <w:t>≥10800万吨</w:t>
            </w:r>
          </w:p>
        </w:tc>
        <w:tc>
          <w:tcPr>
            <w:tcW w:w="1327"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3" w:type="dxa"/>
            <w:vMerge w:val="continue"/>
            <w:vAlign w:val="center"/>
          </w:tcPr>
          <w:p>
            <w:pPr>
              <w:pStyle w:val="11"/>
            </w:pPr>
          </w:p>
        </w:tc>
        <w:tc>
          <w:tcPr>
            <w:tcW w:w="1327" w:type="dxa"/>
            <w:vAlign w:val="center"/>
          </w:tcPr>
          <w:p>
            <w:pPr>
              <w:pStyle w:val="10"/>
            </w:pPr>
            <w:r>
              <w:t>质量指标</w:t>
            </w:r>
          </w:p>
        </w:tc>
        <w:tc>
          <w:tcPr>
            <w:tcW w:w="1327" w:type="dxa"/>
            <w:vAlign w:val="center"/>
          </w:tcPr>
          <w:p>
            <w:pPr>
              <w:pStyle w:val="10"/>
            </w:pPr>
            <w:r>
              <w:t>污水处理设施完好率</w:t>
            </w:r>
          </w:p>
        </w:tc>
        <w:tc>
          <w:tcPr>
            <w:tcW w:w="2654" w:type="dxa"/>
            <w:vAlign w:val="center"/>
          </w:tcPr>
          <w:p>
            <w:pPr>
              <w:pStyle w:val="10"/>
            </w:pPr>
            <w:r>
              <w:t>污水处理设施完好</w:t>
            </w:r>
          </w:p>
        </w:tc>
        <w:tc>
          <w:tcPr>
            <w:tcW w:w="1327" w:type="dxa"/>
            <w:vAlign w:val="center"/>
          </w:tcPr>
          <w:p>
            <w:pPr>
              <w:pStyle w:val="10"/>
              <w:rPr>
                <w:lang w:eastAsia="zh-CN"/>
              </w:rPr>
            </w:pPr>
            <w:r>
              <w:t>≥95</w:t>
            </w:r>
            <w:r>
              <w:rPr>
                <w:rFonts w:hint="eastAsia"/>
                <w:lang w:eastAsia="zh-CN"/>
              </w:rPr>
              <w:t>%</w:t>
            </w:r>
          </w:p>
        </w:tc>
        <w:tc>
          <w:tcPr>
            <w:tcW w:w="1327"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3" w:type="dxa"/>
            <w:vMerge w:val="continue"/>
            <w:vAlign w:val="center"/>
          </w:tcPr>
          <w:p>
            <w:pPr>
              <w:pStyle w:val="11"/>
            </w:pPr>
          </w:p>
        </w:tc>
        <w:tc>
          <w:tcPr>
            <w:tcW w:w="1327" w:type="dxa"/>
            <w:vAlign w:val="center"/>
          </w:tcPr>
          <w:p>
            <w:pPr>
              <w:pStyle w:val="10"/>
            </w:pPr>
            <w:r>
              <w:t>质量指标</w:t>
            </w:r>
          </w:p>
        </w:tc>
        <w:tc>
          <w:tcPr>
            <w:tcW w:w="1327" w:type="dxa"/>
            <w:vAlign w:val="center"/>
          </w:tcPr>
          <w:p>
            <w:pPr>
              <w:pStyle w:val="10"/>
            </w:pPr>
            <w:r>
              <w:t>出水水质达标率</w:t>
            </w:r>
          </w:p>
        </w:tc>
        <w:tc>
          <w:tcPr>
            <w:tcW w:w="2654" w:type="dxa"/>
            <w:vAlign w:val="center"/>
          </w:tcPr>
          <w:p>
            <w:pPr>
              <w:pStyle w:val="10"/>
              <w:rPr>
                <w:lang w:eastAsia="zh-CN"/>
              </w:rPr>
            </w:pPr>
            <w:r>
              <w:t>出水水质</w:t>
            </w:r>
            <w:r>
              <w:rPr>
                <w:rFonts w:hint="eastAsia"/>
                <w:lang w:eastAsia="zh-CN"/>
              </w:rPr>
              <w:t>达标</w:t>
            </w:r>
          </w:p>
        </w:tc>
        <w:tc>
          <w:tcPr>
            <w:tcW w:w="1327" w:type="dxa"/>
            <w:vAlign w:val="center"/>
          </w:tcPr>
          <w:p>
            <w:pPr>
              <w:pStyle w:val="10"/>
              <w:rPr>
                <w:lang w:eastAsia="zh-CN"/>
              </w:rPr>
            </w:pPr>
            <w:r>
              <w:t>≥98</w:t>
            </w:r>
            <w:r>
              <w:rPr>
                <w:rFonts w:hint="eastAsia"/>
                <w:lang w:eastAsia="zh-CN"/>
              </w:rPr>
              <w:t>%</w:t>
            </w:r>
          </w:p>
        </w:tc>
        <w:tc>
          <w:tcPr>
            <w:tcW w:w="1327"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3" w:type="dxa"/>
            <w:vMerge w:val="continue"/>
            <w:vAlign w:val="center"/>
          </w:tcPr>
          <w:p>
            <w:pPr>
              <w:pStyle w:val="11"/>
            </w:pPr>
          </w:p>
        </w:tc>
        <w:tc>
          <w:tcPr>
            <w:tcW w:w="1327" w:type="dxa"/>
            <w:vAlign w:val="center"/>
          </w:tcPr>
          <w:p>
            <w:pPr>
              <w:pStyle w:val="10"/>
            </w:pPr>
            <w:r>
              <w:t>质量指标</w:t>
            </w:r>
          </w:p>
        </w:tc>
        <w:tc>
          <w:tcPr>
            <w:tcW w:w="1327" w:type="dxa"/>
            <w:vAlign w:val="center"/>
          </w:tcPr>
          <w:p>
            <w:pPr>
              <w:pStyle w:val="10"/>
              <w:rPr>
                <w:lang w:eastAsia="zh-CN"/>
              </w:rPr>
            </w:pPr>
            <w:r>
              <w:t>出水COD浓度</w:t>
            </w:r>
            <w:r>
              <w:rPr>
                <w:rFonts w:hint="eastAsia"/>
                <w:lang w:eastAsia="zh-CN"/>
              </w:rPr>
              <w:t>达标率</w:t>
            </w:r>
          </w:p>
        </w:tc>
        <w:tc>
          <w:tcPr>
            <w:tcW w:w="2654" w:type="dxa"/>
            <w:vAlign w:val="center"/>
          </w:tcPr>
          <w:p>
            <w:pPr>
              <w:pStyle w:val="10"/>
            </w:pPr>
            <w:r>
              <w:t>按出水设计标准</w:t>
            </w:r>
          </w:p>
        </w:tc>
        <w:tc>
          <w:tcPr>
            <w:tcW w:w="1327" w:type="dxa"/>
            <w:vAlign w:val="center"/>
          </w:tcPr>
          <w:p>
            <w:pPr>
              <w:pStyle w:val="10"/>
              <w:rPr>
                <w:lang w:eastAsia="zh-CN"/>
              </w:rPr>
            </w:pPr>
            <w:r>
              <w:rPr>
                <w:rFonts w:hint="eastAsia"/>
                <w:lang w:eastAsia="zh-CN"/>
              </w:rPr>
              <w:t>100%</w:t>
            </w:r>
          </w:p>
        </w:tc>
        <w:tc>
          <w:tcPr>
            <w:tcW w:w="1327"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3" w:type="dxa"/>
            <w:vMerge w:val="continue"/>
            <w:vAlign w:val="center"/>
          </w:tcPr>
          <w:p/>
        </w:tc>
        <w:tc>
          <w:tcPr>
            <w:tcW w:w="1327" w:type="dxa"/>
            <w:vAlign w:val="center"/>
          </w:tcPr>
          <w:p>
            <w:pPr>
              <w:pStyle w:val="10"/>
            </w:pPr>
            <w:r>
              <w:t>时效指标</w:t>
            </w:r>
          </w:p>
        </w:tc>
        <w:tc>
          <w:tcPr>
            <w:tcW w:w="1327" w:type="dxa"/>
            <w:vAlign w:val="center"/>
          </w:tcPr>
          <w:p>
            <w:pPr>
              <w:pStyle w:val="10"/>
              <w:rPr>
                <w:lang w:eastAsia="zh-CN"/>
              </w:rPr>
            </w:pPr>
            <w:r>
              <w:t>污水处理</w:t>
            </w:r>
            <w:r>
              <w:rPr>
                <w:rFonts w:hint="eastAsia"/>
                <w:lang w:eastAsia="zh-CN"/>
              </w:rPr>
              <w:t>设备故障修复及时率</w:t>
            </w:r>
          </w:p>
        </w:tc>
        <w:tc>
          <w:tcPr>
            <w:tcW w:w="2654" w:type="dxa"/>
            <w:vAlign w:val="center"/>
          </w:tcPr>
          <w:p>
            <w:pPr>
              <w:pStyle w:val="10"/>
            </w:pPr>
            <w:r>
              <w:t>污水处理</w:t>
            </w:r>
            <w:r>
              <w:rPr>
                <w:rFonts w:hint="eastAsia"/>
                <w:lang w:eastAsia="zh-CN"/>
              </w:rPr>
              <w:t>设备故障修复及时情况</w:t>
            </w:r>
          </w:p>
        </w:tc>
        <w:tc>
          <w:tcPr>
            <w:tcW w:w="1327" w:type="dxa"/>
            <w:vAlign w:val="center"/>
          </w:tcPr>
          <w:p>
            <w:pPr>
              <w:pStyle w:val="10"/>
              <w:rPr>
                <w:lang w:eastAsia="zh-CN"/>
              </w:rPr>
            </w:pPr>
            <w:r>
              <w:rPr>
                <w:rFonts w:hint="eastAsia"/>
                <w:lang w:eastAsia="zh-CN"/>
              </w:rPr>
              <w:t>100%</w:t>
            </w:r>
          </w:p>
        </w:tc>
        <w:tc>
          <w:tcPr>
            <w:tcW w:w="1327"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3" w:type="dxa"/>
            <w:vMerge w:val="restart"/>
            <w:vAlign w:val="center"/>
          </w:tcPr>
          <w:p>
            <w:pPr>
              <w:pStyle w:val="11"/>
            </w:pPr>
            <w:r>
              <w:t>效益指标</w:t>
            </w:r>
          </w:p>
        </w:tc>
        <w:tc>
          <w:tcPr>
            <w:tcW w:w="1327" w:type="dxa"/>
            <w:vAlign w:val="center"/>
          </w:tcPr>
          <w:p>
            <w:pPr>
              <w:pStyle w:val="10"/>
              <w:rPr>
                <w:strike/>
              </w:rPr>
            </w:pPr>
            <w:r>
              <w:t>社会效益指标</w:t>
            </w:r>
          </w:p>
        </w:tc>
        <w:tc>
          <w:tcPr>
            <w:tcW w:w="1327" w:type="dxa"/>
            <w:vAlign w:val="center"/>
          </w:tcPr>
          <w:p>
            <w:pPr>
              <w:pStyle w:val="10"/>
              <w:rPr>
                <w:strike/>
              </w:rPr>
            </w:pPr>
            <w:r>
              <w:t>重大安全事故发生数</w:t>
            </w:r>
          </w:p>
        </w:tc>
        <w:tc>
          <w:tcPr>
            <w:tcW w:w="2654" w:type="dxa"/>
            <w:vAlign w:val="center"/>
          </w:tcPr>
          <w:p>
            <w:pPr>
              <w:pStyle w:val="10"/>
              <w:rPr>
                <w:strike/>
              </w:rPr>
            </w:pPr>
            <w:r>
              <w:t>重大安全事故发生数</w:t>
            </w:r>
          </w:p>
        </w:tc>
        <w:tc>
          <w:tcPr>
            <w:tcW w:w="1327" w:type="dxa"/>
            <w:vAlign w:val="center"/>
          </w:tcPr>
          <w:p>
            <w:pPr>
              <w:pStyle w:val="10"/>
              <w:rPr>
                <w:strike/>
                <w:lang w:eastAsia="zh-CN"/>
              </w:rPr>
            </w:pPr>
            <w:r>
              <w:t>0起</w:t>
            </w:r>
          </w:p>
        </w:tc>
        <w:tc>
          <w:tcPr>
            <w:tcW w:w="1327" w:type="dxa"/>
            <w:vAlign w:val="center"/>
          </w:tcPr>
          <w:p>
            <w:pPr>
              <w:pStyle w:val="10"/>
              <w:rPr>
                <w:strike/>
              </w:rPr>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3" w:type="dxa"/>
            <w:vMerge w:val="continue"/>
            <w:vAlign w:val="center"/>
          </w:tcPr>
          <w:p/>
        </w:tc>
        <w:tc>
          <w:tcPr>
            <w:tcW w:w="1327" w:type="dxa"/>
            <w:vAlign w:val="center"/>
          </w:tcPr>
          <w:p>
            <w:pPr>
              <w:pStyle w:val="10"/>
            </w:pPr>
            <w:r>
              <w:t>生态效益指标</w:t>
            </w:r>
          </w:p>
        </w:tc>
        <w:tc>
          <w:tcPr>
            <w:tcW w:w="1327" w:type="dxa"/>
            <w:vAlign w:val="center"/>
          </w:tcPr>
          <w:p>
            <w:pPr>
              <w:pStyle w:val="10"/>
              <w:rPr>
                <w:lang w:eastAsia="zh-CN"/>
              </w:rPr>
            </w:pPr>
            <w:r>
              <w:t>COD、氨氮、总磷、总氮排放浓度</w:t>
            </w:r>
            <w:r>
              <w:rPr>
                <w:rFonts w:hint="eastAsia"/>
                <w:lang w:eastAsia="zh-CN"/>
              </w:rPr>
              <w:t>达标率</w:t>
            </w:r>
          </w:p>
        </w:tc>
        <w:tc>
          <w:tcPr>
            <w:tcW w:w="2654" w:type="dxa"/>
            <w:vAlign w:val="center"/>
          </w:tcPr>
          <w:p>
            <w:pPr>
              <w:pStyle w:val="10"/>
            </w:pPr>
            <w:r>
              <w:t>COD、氨氮、总磷、总氮排放浓度</w:t>
            </w:r>
          </w:p>
        </w:tc>
        <w:tc>
          <w:tcPr>
            <w:tcW w:w="1327" w:type="dxa"/>
            <w:vAlign w:val="center"/>
          </w:tcPr>
          <w:p>
            <w:pPr>
              <w:pStyle w:val="10"/>
              <w:rPr>
                <w:lang w:eastAsia="zh-CN"/>
              </w:rPr>
            </w:pPr>
            <w:r>
              <w:rPr>
                <w:rFonts w:hint="eastAsia"/>
                <w:lang w:eastAsia="zh-CN"/>
              </w:rPr>
              <w:t>100%</w:t>
            </w:r>
          </w:p>
        </w:tc>
        <w:tc>
          <w:tcPr>
            <w:tcW w:w="1327"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3" w:type="dxa"/>
            <w:vMerge w:val="continue"/>
            <w:vAlign w:val="center"/>
          </w:tcPr>
          <w:p/>
        </w:tc>
        <w:tc>
          <w:tcPr>
            <w:tcW w:w="1327" w:type="dxa"/>
            <w:vAlign w:val="center"/>
          </w:tcPr>
          <w:p>
            <w:pPr>
              <w:pStyle w:val="10"/>
            </w:pPr>
            <w:r>
              <w:t>可持续影响指标</w:t>
            </w:r>
          </w:p>
        </w:tc>
        <w:tc>
          <w:tcPr>
            <w:tcW w:w="1327" w:type="dxa"/>
            <w:vAlign w:val="center"/>
          </w:tcPr>
          <w:p>
            <w:pPr>
              <w:pStyle w:val="10"/>
            </w:pPr>
            <w:r>
              <w:t>应急事件管理机制健全</w:t>
            </w:r>
          </w:p>
        </w:tc>
        <w:tc>
          <w:tcPr>
            <w:tcW w:w="2654" w:type="dxa"/>
            <w:vAlign w:val="center"/>
          </w:tcPr>
          <w:p>
            <w:pPr>
              <w:pStyle w:val="10"/>
            </w:pPr>
            <w:r>
              <w:t>应急事件管理机制健全</w:t>
            </w:r>
          </w:p>
        </w:tc>
        <w:tc>
          <w:tcPr>
            <w:tcW w:w="1327" w:type="dxa"/>
            <w:vAlign w:val="center"/>
          </w:tcPr>
          <w:p>
            <w:pPr>
              <w:pStyle w:val="10"/>
            </w:pPr>
            <w:r>
              <w:t>健全</w:t>
            </w:r>
          </w:p>
        </w:tc>
        <w:tc>
          <w:tcPr>
            <w:tcW w:w="1327"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3" w:type="dxa"/>
            <w:vAlign w:val="center"/>
          </w:tcPr>
          <w:p>
            <w:pPr>
              <w:pStyle w:val="11"/>
            </w:pPr>
            <w:r>
              <w:t>满意度指标</w:t>
            </w:r>
          </w:p>
        </w:tc>
        <w:tc>
          <w:tcPr>
            <w:tcW w:w="1327" w:type="dxa"/>
            <w:vAlign w:val="center"/>
          </w:tcPr>
          <w:p>
            <w:pPr>
              <w:pStyle w:val="10"/>
            </w:pPr>
            <w:r>
              <w:t>服务对象满意度指标</w:t>
            </w:r>
          </w:p>
        </w:tc>
        <w:tc>
          <w:tcPr>
            <w:tcW w:w="1327" w:type="dxa"/>
            <w:vAlign w:val="center"/>
          </w:tcPr>
          <w:p>
            <w:pPr>
              <w:pStyle w:val="10"/>
            </w:pPr>
            <w:r>
              <w:t>社会公众满意度</w:t>
            </w:r>
          </w:p>
        </w:tc>
        <w:tc>
          <w:tcPr>
            <w:tcW w:w="2654" w:type="dxa"/>
            <w:vAlign w:val="center"/>
          </w:tcPr>
          <w:p>
            <w:pPr>
              <w:pStyle w:val="10"/>
            </w:pPr>
            <w:r>
              <w:t>社会公众满意度</w:t>
            </w:r>
          </w:p>
        </w:tc>
        <w:tc>
          <w:tcPr>
            <w:tcW w:w="1327" w:type="dxa"/>
            <w:vAlign w:val="center"/>
          </w:tcPr>
          <w:p>
            <w:pPr>
              <w:pStyle w:val="10"/>
              <w:rPr>
                <w:lang w:eastAsia="zh-CN"/>
              </w:rPr>
            </w:pPr>
            <w:r>
              <w:t>≥90</w:t>
            </w:r>
            <w:r>
              <w:rPr>
                <w:rFonts w:hint="eastAsia"/>
                <w:lang w:eastAsia="zh-CN"/>
              </w:rPr>
              <w:t>%</w:t>
            </w:r>
          </w:p>
        </w:tc>
        <w:tc>
          <w:tcPr>
            <w:tcW w:w="1327" w:type="dxa"/>
            <w:vAlign w:val="center"/>
          </w:tcPr>
          <w:p>
            <w:pPr>
              <w:pStyle w:val="10"/>
            </w:pPr>
            <w:r>
              <w:t>其他标准</w:t>
            </w:r>
          </w:p>
        </w:tc>
      </w:tr>
    </w:tbl>
    <w:p>
      <w:pPr>
        <w:sectPr>
          <w:pgSz w:w="11900" w:h="16840"/>
          <w:pgMar w:top="1984" w:right="1304" w:bottom="1134" w:left="1304" w:header="720" w:footer="720" w:gutter="0"/>
          <w:pgNumType w:fmt="numberInDash"/>
          <w:cols w:space="720" w:num="1"/>
        </w:sectPr>
      </w:pPr>
    </w:p>
    <w:p>
      <w:pPr>
        <w:jc w:val="center"/>
      </w:pPr>
      <w:r>
        <w:rPr>
          <w:rFonts w:ascii="方正仿宋_GBK" w:hAnsi="方正仿宋_GBK" w:eastAsia="方正仿宋_GBK" w:cs="方正仿宋_GBK"/>
          <w:color w:val="000000"/>
          <w:sz w:val="28"/>
        </w:rPr>
        <w:t xml:space="preserve"> </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801001青岛市水务管理局本级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37020022P550016100080</w:t>
            </w:r>
          </w:p>
        </w:tc>
        <w:tc>
          <w:tcPr>
            <w:tcW w:w="1587" w:type="dxa"/>
            <w:vAlign w:val="center"/>
          </w:tcPr>
          <w:p>
            <w:pPr>
              <w:pStyle w:val="9"/>
            </w:pPr>
            <w:r>
              <w:t>项目名称</w:t>
            </w:r>
          </w:p>
        </w:tc>
        <w:tc>
          <w:tcPr>
            <w:tcW w:w="4422" w:type="dxa"/>
            <w:gridSpan w:val="3"/>
            <w:vAlign w:val="center"/>
          </w:tcPr>
          <w:p>
            <w:pPr>
              <w:pStyle w:val="10"/>
            </w:pPr>
            <w:r>
              <w:t>李村河污水处理厂污水污泥处理运行费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22778.00</w:t>
            </w:r>
          </w:p>
        </w:tc>
        <w:tc>
          <w:tcPr>
            <w:tcW w:w="1587" w:type="dxa"/>
            <w:vAlign w:val="center"/>
          </w:tcPr>
          <w:p>
            <w:pPr>
              <w:pStyle w:val="9"/>
            </w:pPr>
            <w:r>
              <w:t>其中：财政    资金</w:t>
            </w:r>
          </w:p>
        </w:tc>
        <w:tc>
          <w:tcPr>
            <w:tcW w:w="1304" w:type="dxa"/>
            <w:vAlign w:val="center"/>
          </w:tcPr>
          <w:p>
            <w:pPr>
              <w:pStyle w:val="10"/>
            </w:pPr>
            <w:r>
              <w:t>22778.00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2023年污水处理费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11860.00</w:t>
            </w:r>
          </w:p>
        </w:tc>
        <w:tc>
          <w:tcPr>
            <w:tcW w:w="1304" w:type="dxa"/>
            <w:vAlign w:val="center"/>
          </w:tcPr>
          <w:p>
            <w:pPr>
              <w:pStyle w:val="11"/>
            </w:pPr>
            <w:r>
              <w:t>17790.00</w:t>
            </w:r>
          </w:p>
        </w:tc>
        <w:tc>
          <w:tcPr>
            <w:tcW w:w="3118" w:type="dxa"/>
            <w:gridSpan w:val="2"/>
            <w:vAlign w:val="center"/>
          </w:tcPr>
          <w:p>
            <w:pPr>
              <w:pStyle w:val="11"/>
            </w:pPr>
            <w:r>
              <w:t>22778.00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rPr>
                <w:lang w:eastAsia="zh-CN"/>
              </w:rPr>
            </w:pPr>
            <w:r>
              <w:rPr>
                <w:rFonts w:hint="eastAsia"/>
                <w:lang w:eastAsia="zh-CN"/>
              </w:rPr>
              <w:t>通过污水处理，使</w:t>
            </w:r>
            <w:r>
              <w:t>COD、氨氮、总磷、总氮排放浓度</w:t>
            </w:r>
            <w:r>
              <w:rPr>
                <w:rFonts w:hint="eastAsia"/>
                <w:lang w:eastAsia="zh-CN"/>
              </w:rPr>
              <w:t>达标，保障环境安全。</w:t>
            </w:r>
          </w:p>
        </w:tc>
      </w:tr>
    </w:tbl>
    <w:p>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3"/>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83" w:type="dxa"/>
            <w:vAlign w:val="center"/>
          </w:tcPr>
          <w:p>
            <w:pPr>
              <w:pStyle w:val="9"/>
            </w:pPr>
            <w:r>
              <w:t>一级指标</w:t>
            </w:r>
          </w:p>
        </w:tc>
        <w:tc>
          <w:tcPr>
            <w:tcW w:w="1327" w:type="dxa"/>
            <w:vAlign w:val="center"/>
          </w:tcPr>
          <w:p>
            <w:pPr>
              <w:pStyle w:val="9"/>
            </w:pPr>
            <w:r>
              <w:t>二级指标</w:t>
            </w:r>
          </w:p>
        </w:tc>
        <w:tc>
          <w:tcPr>
            <w:tcW w:w="1327" w:type="dxa"/>
            <w:vAlign w:val="center"/>
          </w:tcPr>
          <w:p>
            <w:pPr>
              <w:pStyle w:val="9"/>
            </w:pPr>
            <w:r>
              <w:t>三级指标</w:t>
            </w:r>
          </w:p>
        </w:tc>
        <w:tc>
          <w:tcPr>
            <w:tcW w:w="2654" w:type="dxa"/>
            <w:vAlign w:val="center"/>
          </w:tcPr>
          <w:p>
            <w:pPr>
              <w:pStyle w:val="9"/>
            </w:pPr>
            <w:r>
              <w:t>绩效指标描述</w:t>
            </w:r>
          </w:p>
        </w:tc>
        <w:tc>
          <w:tcPr>
            <w:tcW w:w="1327" w:type="dxa"/>
            <w:vAlign w:val="center"/>
          </w:tcPr>
          <w:p>
            <w:pPr>
              <w:pStyle w:val="9"/>
            </w:pPr>
            <w:r>
              <w:t>指标值</w:t>
            </w:r>
          </w:p>
        </w:tc>
        <w:tc>
          <w:tcPr>
            <w:tcW w:w="1327"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3" w:type="dxa"/>
            <w:vAlign w:val="center"/>
          </w:tcPr>
          <w:p>
            <w:pPr>
              <w:pStyle w:val="11"/>
              <w:rPr>
                <w:lang w:eastAsia="zh-CN"/>
              </w:rPr>
            </w:pPr>
            <w:r>
              <w:rPr>
                <w:rFonts w:hint="eastAsia"/>
                <w:lang w:eastAsia="zh-CN"/>
              </w:rPr>
              <w:t>成本指标</w:t>
            </w:r>
          </w:p>
        </w:tc>
        <w:tc>
          <w:tcPr>
            <w:tcW w:w="1327" w:type="dxa"/>
            <w:vAlign w:val="center"/>
          </w:tcPr>
          <w:p>
            <w:pPr>
              <w:pStyle w:val="10"/>
              <w:rPr>
                <w:lang w:eastAsia="zh-CN"/>
              </w:rPr>
            </w:pPr>
            <w:r>
              <w:rPr>
                <w:rFonts w:hint="eastAsia"/>
                <w:lang w:eastAsia="zh-CN"/>
              </w:rPr>
              <w:t>经济成本指标</w:t>
            </w:r>
          </w:p>
        </w:tc>
        <w:tc>
          <w:tcPr>
            <w:tcW w:w="1327" w:type="dxa"/>
            <w:vAlign w:val="center"/>
          </w:tcPr>
          <w:p>
            <w:pPr>
              <w:pStyle w:val="10"/>
            </w:pPr>
            <w:r>
              <w:t>污水处理费</w:t>
            </w:r>
          </w:p>
        </w:tc>
        <w:tc>
          <w:tcPr>
            <w:tcW w:w="2654" w:type="dxa"/>
            <w:vAlign w:val="center"/>
          </w:tcPr>
          <w:p>
            <w:pPr>
              <w:pStyle w:val="10"/>
            </w:pPr>
            <w:r>
              <w:t>污水处理费</w:t>
            </w:r>
          </w:p>
        </w:tc>
        <w:tc>
          <w:tcPr>
            <w:tcW w:w="1327" w:type="dxa"/>
            <w:vAlign w:val="center"/>
          </w:tcPr>
          <w:p>
            <w:pPr>
              <w:pStyle w:val="10"/>
              <w:rPr>
                <w:lang w:eastAsia="zh-CN"/>
              </w:rPr>
            </w:pPr>
            <w:r>
              <w:rPr>
                <w:rFonts w:ascii="Arial" w:hAnsi="Arial" w:cs="Arial"/>
                <w:lang w:eastAsia="zh-CN"/>
              </w:rPr>
              <w:t>≤</w:t>
            </w:r>
            <w:r>
              <w:rPr>
                <w:rFonts w:hint="eastAsia" w:ascii="Arial" w:hAnsi="Arial" w:cs="Arial"/>
                <w:lang w:eastAsia="zh-CN"/>
              </w:rPr>
              <w:t>2.43</w:t>
            </w:r>
            <w:r>
              <w:rPr>
                <w:rFonts w:hint="eastAsia"/>
                <w:lang w:eastAsia="zh-CN"/>
              </w:rPr>
              <w:t>元/吨</w:t>
            </w:r>
          </w:p>
        </w:tc>
        <w:tc>
          <w:tcPr>
            <w:tcW w:w="1327"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3" w:type="dxa"/>
            <w:vMerge w:val="restart"/>
            <w:vAlign w:val="center"/>
          </w:tcPr>
          <w:p>
            <w:pPr>
              <w:pStyle w:val="11"/>
            </w:pPr>
            <w:r>
              <w:t>产出指标</w:t>
            </w:r>
          </w:p>
        </w:tc>
        <w:tc>
          <w:tcPr>
            <w:tcW w:w="1327" w:type="dxa"/>
            <w:vAlign w:val="center"/>
          </w:tcPr>
          <w:p>
            <w:pPr>
              <w:pStyle w:val="10"/>
              <w:rPr>
                <w:lang w:eastAsia="zh-CN"/>
              </w:rPr>
            </w:pPr>
            <w:r>
              <w:rPr>
                <w:rFonts w:hint="eastAsia"/>
                <w:lang w:eastAsia="zh-CN"/>
              </w:rPr>
              <w:t>数量指标</w:t>
            </w:r>
          </w:p>
        </w:tc>
        <w:tc>
          <w:tcPr>
            <w:tcW w:w="1327" w:type="dxa"/>
            <w:vAlign w:val="center"/>
          </w:tcPr>
          <w:p>
            <w:pPr>
              <w:pStyle w:val="10"/>
            </w:pPr>
            <w:r>
              <w:t>日污水处理量</w:t>
            </w:r>
          </w:p>
        </w:tc>
        <w:tc>
          <w:tcPr>
            <w:tcW w:w="2654" w:type="dxa"/>
            <w:vAlign w:val="center"/>
          </w:tcPr>
          <w:p>
            <w:pPr>
              <w:pStyle w:val="10"/>
            </w:pPr>
            <w:r>
              <w:t>日污水处理量</w:t>
            </w:r>
          </w:p>
        </w:tc>
        <w:tc>
          <w:tcPr>
            <w:tcW w:w="1327" w:type="dxa"/>
            <w:vAlign w:val="center"/>
          </w:tcPr>
          <w:p>
            <w:pPr>
              <w:pStyle w:val="10"/>
            </w:pPr>
            <w:r>
              <w:t>≥25万吨</w:t>
            </w:r>
          </w:p>
        </w:tc>
        <w:tc>
          <w:tcPr>
            <w:tcW w:w="1327"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3" w:type="dxa"/>
            <w:vMerge w:val="continue"/>
            <w:vAlign w:val="center"/>
          </w:tcPr>
          <w:p>
            <w:pPr>
              <w:pStyle w:val="11"/>
            </w:pPr>
          </w:p>
        </w:tc>
        <w:tc>
          <w:tcPr>
            <w:tcW w:w="1327" w:type="dxa"/>
            <w:vAlign w:val="center"/>
          </w:tcPr>
          <w:p>
            <w:pPr>
              <w:pStyle w:val="10"/>
              <w:rPr>
                <w:lang w:eastAsia="zh-CN"/>
              </w:rPr>
            </w:pPr>
            <w:r>
              <w:rPr>
                <w:rFonts w:hint="eastAsia"/>
                <w:lang w:eastAsia="zh-CN"/>
              </w:rPr>
              <w:t>数量指标</w:t>
            </w:r>
          </w:p>
        </w:tc>
        <w:tc>
          <w:tcPr>
            <w:tcW w:w="1327" w:type="dxa"/>
            <w:vAlign w:val="center"/>
          </w:tcPr>
          <w:p>
            <w:pPr>
              <w:pStyle w:val="10"/>
            </w:pPr>
            <w:r>
              <w:rPr>
                <w:rFonts w:hint="eastAsia"/>
                <w:lang w:eastAsia="zh-CN"/>
              </w:rPr>
              <w:t>年</w:t>
            </w:r>
            <w:r>
              <w:t>污水处理量</w:t>
            </w:r>
          </w:p>
        </w:tc>
        <w:tc>
          <w:tcPr>
            <w:tcW w:w="2654" w:type="dxa"/>
            <w:vAlign w:val="center"/>
          </w:tcPr>
          <w:p>
            <w:pPr>
              <w:pStyle w:val="10"/>
            </w:pPr>
            <w:r>
              <w:rPr>
                <w:rFonts w:hint="eastAsia"/>
                <w:lang w:eastAsia="zh-CN"/>
              </w:rPr>
              <w:t>年</w:t>
            </w:r>
            <w:r>
              <w:t>污水处理量</w:t>
            </w:r>
          </w:p>
        </w:tc>
        <w:tc>
          <w:tcPr>
            <w:tcW w:w="1327" w:type="dxa"/>
            <w:vAlign w:val="center"/>
          </w:tcPr>
          <w:p>
            <w:pPr>
              <w:pStyle w:val="10"/>
            </w:pPr>
            <w:r>
              <w:t>≥</w:t>
            </w:r>
            <w:r>
              <w:rPr>
                <w:rFonts w:hint="eastAsia"/>
                <w:lang w:eastAsia="zh-CN"/>
              </w:rPr>
              <w:t>9000</w:t>
            </w:r>
            <w:r>
              <w:t>万吨</w:t>
            </w:r>
          </w:p>
        </w:tc>
        <w:tc>
          <w:tcPr>
            <w:tcW w:w="1327"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3" w:type="dxa"/>
            <w:vMerge w:val="continue"/>
            <w:vAlign w:val="center"/>
          </w:tcPr>
          <w:p>
            <w:pPr>
              <w:pStyle w:val="11"/>
            </w:pPr>
          </w:p>
        </w:tc>
        <w:tc>
          <w:tcPr>
            <w:tcW w:w="1327" w:type="dxa"/>
            <w:vAlign w:val="center"/>
          </w:tcPr>
          <w:p>
            <w:pPr>
              <w:pStyle w:val="10"/>
            </w:pPr>
            <w:r>
              <w:t>质量指标</w:t>
            </w:r>
          </w:p>
        </w:tc>
        <w:tc>
          <w:tcPr>
            <w:tcW w:w="1327" w:type="dxa"/>
            <w:vAlign w:val="center"/>
          </w:tcPr>
          <w:p>
            <w:pPr>
              <w:pStyle w:val="10"/>
              <w:rPr>
                <w:lang w:eastAsia="zh-CN"/>
              </w:rPr>
            </w:pPr>
            <w:r>
              <w:t>出水COD浓度</w:t>
            </w:r>
            <w:r>
              <w:rPr>
                <w:rFonts w:hint="eastAsia"/>
                <w:lang w:eastAsia="zh-CN"/>
              </w:rPr>
              <w:t>达标率</w:t>
            </w:r>
          </w:p>
        </w:tc>
        <w:tc>
          <w:tcPr>
            <w:tcW w:w="2654" w:type="dxa"/>
            <w:vAlign w:val="center"/>
          </w:tcPr>
          <w:p>
            <w:pPr>
              <w:pStyle w:val="10"/>
            </w:pPr>
            <w:r>
              <w:t>出水COD浓度</w:t>
            </w:r>
            <w:r>
              <w:rPr>
                <w:rFonts w:hint="eastAsia"/>
                <w:lang w:eastAsia="zh-CN"/>
              </w:rPr>
              <w:t>达标率</w:t>
            </w:r>
          </w:p>
        </w:tc>
        <w:tc>
          <w:tcPr>
            <w:tcW w:w="1327" w:type="dxa"/>
            <w:vAlign w:val="center"/>
          </w:tcPr>
          <w:p>
            <w:pPr>
              <w:pStyle w:val="10"/>
            </w:pPr>
            <w:r>
              <w:rPr>
                <w:rFonts w:hint="eastAsia"/>
                <w:lang w:eastAsia="zh-CN"/>
              </w:rPr>
              <w:t>100%</w:t>
            </w:r>
          </w:p>
        </w:tc>
        <w:tc>
          <w:tcPr>
            <w:tcW w:w="1327"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3" w:type="dxa"/>
            <w:vMerge w:val="continue"/>
            <w:vAlign w:val="center"/>
          </w:tcPr>
          <w:p/>
        </w:tc>
        <w:tc>
          <w:tcPr>
            <w:tcW w:w="1327" w:type="dxa"/>
            <w:vAlign w:val="center"/>
          </w:tcPr>
          <w:p>
            <w:pPr>
              <w:pStyle w:val="10"/>
            </w:pPr>
            <w:r>
              <w:t>质量指标</w:t>
            </w:r>
          </w:p>
        </w:tc>
        <w:tc>
          <w:tcPr>
            <w:tcW w:w="1327" w:type="dxa"/>
            <w:vAlign w:val="center"/>
          </w:tcPr>
          <w:p>
            <w:pPr>
              <w:pStyle w:val="10"/>
            </w:pPr>
            <w:r>
              <w:t>污水处理设施完好率</w:t>
            </w:r>
          </w:p>
        </w:tc>
        <w:tc>
          <w:tcPr>
            <w:tcW w:w="2654" w:type="dxa"/>
            <w:vAlign w:val="center"/>
          </w:tcPr>
          <w:p>
            <w:pPr>
              <w:pStyle w:val="10"/>
            </w:pPr>
            <w:r>
              <w:t>污水处理设施完好</w:t>
            </w:r>
          </w:p>
        </w:tc>
        <w:tc>
          <w:tcPr>
            <w:tcW w:w="1327" w:type="dxa"/>
            <w:vAlign w:val="center"/>
          </w:tcPr>
          <w:p>
            <w:pPr>
              <w:pStyle w:val="10"/>
              <w:rPr>
                <w:lang w:eastAsia="zh-CN"/>
              </w:rPr>
            </w:pPr>
            <w:r>
              <w:t>≥95</w:t>
            </w:r>
            <w:r>
              <w:rPr>
                <w:rFonts w:hint="eastAsia"/>
                <w:lang w:eastAsia="zh-CN"/>
              </w:rPr>
              <w:t>%</w:t>
            </w:r>
          </w:p>
        </w:tc>
        <w:tc>
          <w:tcPr>
            <w:tcW w:w="1327"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3" w:type="dxa"/>
            <w:vMerge w:val="continue"/>
            <w:vAlign w:val="center"/>
          </w:tcPr>
          <w:p/>
        </w:tc>
        <w:tc>
          <w:tcPr>
            <w:tcW w:w="1327" w:type="dxa"/>
            <w:vAlign w:val="center"/>
          </w:tcPr>
          <w:p>
            <w:pPr>
              <w:pStyle w:val="10"/>
            </w:pPr>
            <w:r>
              <w:rPr>
                <w:rFonts w:hint="eastAsia"/>
                <w:lang w:eastAsia="zh-CN"/>
              </w:rPr>
              <w:t>质量</w:t>
            </w:r>
            <w:r>
              <w:t>指标</w:t>
            </w:r>
          </w:p>
        </w:tc>
        <w:tc>
          <w:tcPr>
            <w:tcW w:w="1327" w:type="dxa"/>
            <w:vAlign w:val="center"/>
          </w:tcPr>
          <w:p>
            <w:pPr>
              <w:pStyle w:val="10"/>
            </w:pPr>
            <w:r>
              <w:t>出水水质达标率</w:t>
            </w:r>
          </w:p>
        </w:tc>
        <w:tc>
          <w:tcPr>
            <w:tcW w:w="2654" w:type="dxa"/>
            <w:vAlign w:val="center"/>
          </w:tcPr>
          <w:p>
            <w:pPr>
              <w:pStyle w:val="10"/>
            </w:pPr>
            <w:r>
              <w:t>出水水质达标</w:t>
            </w:r>
          </w:p>
        </w:tc>
        <w:tc>
          <w:tcPr>
            <w:tcW w:w="1327" w:type="dxa"/>
            <w:vAlign w:val="center"/>
          </w:tcPr>
          <w:p>
            <w:pPr>
              <w:pStyle w:val="10"/>
            </w:pPr>
            <w:r>
              <w:t>≥98</w:t>
            </w:r>
            <w:r>
              <w:rPr>
                <w:rFonts w:hint="eastAsia"/>
                <w:lang w:eastAsia="zh-CN"/>
              </w:rPr>
              <w:t>%</w:t>
            </w:r>
          </w:p>
        </w:tc>
        <w:tc>
          <w:tcPr>
            <w:tcW w:w="1327"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15" w:hRule="atLeast"/>
          <w:jc w:val="center"/>
        </w:trPr>
        <w:tc>
          <w:tcPr>
            <w:tcW w:w="1983" w:type="dxa"/>
            <w:vMerge w:val="continue"/>
            <w:vAlign w:val="center"/>
          </w:tcPr>
          <w:p/>
        </w:tc>
        <w:tc>
          <w:tcPr>
            <w:tcW w:w="1327" w:type="dxa"/>
            <w:vAlign w:val="center"/>
          </w:tcPr>
          <w:p>
            <w:pPr>
              <w:pStyle w:val="10"/>
            </w:pPr>
            <w:r>
              <w:t>时效指标</w:t>
            </w:r>
          </w:p>
        </w:tc>
        <w:tc>
          <w:tcPr>
            <w:tcW w:w="1327" w:type="dxa"/>
            <w:vAlign w:val="center"/>
          </w:tcPr>
          <w:p>
            <w:pPr>
              <w:pStyle w:val="10"/>
              <w:rPr>
                <w:lang w:eastAsia="zh-CN"/>
              </w:rPr>
            </w:pPr>
            <w:r>
              <w:t>污水处理</w:t>
            </w:r>
            <w:r>
              <w:rPr>
                <w:rFonts w:hint="eastAsia"/>
                <w:lang w:eastAsia="zh-CN"/>
              </w:rPr>
              <w:t>设备故障修复及时率</w:t>
            </w:r>
          </w:p>
        </w:tc>
        <w:tc>
          <w:tcPr>
            <w:tcW w:w="2654" w:type="dxa"/>
            <w:vAlign w:val="center"/>
          </w:tcPr>
          <w:p>
            <w:pPr>
              <w:pStyle w:val="10"/>
            </w:pPr>
            <w:r>
              <w:t>污水处理</w:t>
            </w:r>
            <w:r>
              <w:rPr>
                <w:rFonts w:hint="eastAsia"/>
                <w:lang w:eastAsia="zh-CN"/>
              </w:rPr>
              <w:t>设备故障修复及时情况</w:t>
            </w:r>
          </w:p>
        </w:tc>
        <w:tc>
          <w:tcPr>
            <w:tcW w:w="1327" w:type="dxa"/>
            <w:vAlign w:val="center"/>
          </w:tcPr>
          <w:p>
            <w:pPr>
              <w:pStyle w:val="10"/>
            </w:pPr>
            <w:r>
              <w:rPr>
                <w:rFonts w:hint="eastAsia"/>
                <w:lang w:eastAsia="zh-CN"/>
              </w:rPr>
              <w:t>100%</w:t>
            </w:r>
          </w:p>
        </w:tc>
        <w:tc>
          <w:tcPr>
            <w:tcW w:w="1327"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3" w:type="dxa"/>
            <w:vMerge w:val="restart"/>
            <w:vAlign w:val="center"/>
          </w:tcPr>
          <w:p>
            <w:pPr>
              <w:pStyle w:val="11"/>
            </w:pPr>
            <w:r>
              <w:t>效益指标</w:t>
            </w:r>
          </w:p>
        </w:tc>
        <w:tc>
          <w:tcPr>
            <w:tcW w:w="1327" w:type="dxa"/>
            <w:vAlign w:val="center"/>
          </w:tcPr>
          <w:p>
            <w:pPr>
              <w:pStyle w:val="10"/>
            </w:pPr>
            <w:r>
              <w:t>社会效益指标</w:t>
            </w:r>
          </w:p>
        </w:tc>
        <w:tc>
          <w:tcPr>
            <w:tcW w:w="1327" w:type="dxa"/>
            <w:vAlign w:val="center"/>
          </w:tcPr>
          <w:p>
            <w:pPr>
              <w:pStyle w:val="10"/>
            </w:pPr>
            <w:r>
              <w:t>重大安全事故发生数</w:t>
            </w:r>
          </w:p>
        </w:tc>
        <w:tc>
          <w:tcPr>
            <w:tcW w:w="2654" w:type="dxa"/>
            <w:vAlign w:val="center"/>
          </w:tcPr>
          <w:p>
            <w:pPr>
              <w:pStyle w:val="10"/>
            </w:pPr>
            <w:r>
              <w:t>重大安全事故发生数</w:t>
            </w:r>
          </w:p>
        </w:tc>
        <w:tc>
          <w:tcPr>
            <w:tcW w:w="1327" w:type="dxa"/>
            <w:vAlign w:val="center"/>
          </w:tcPr>
          <w:p>
            <w:pPr>
              <w:pStyle w:val="10"/>
            </w:pPr>
            <w:r>
              <w:t>0起</w:t>
            </w:r>
          </w:p>
        </w:tc>
        <w:tc>
          <w:tcPr>
            <w:tcW w:w="1327"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3" w:type="dxa"/>
            <w:vMerge w:val="continue"/>
            <w:vAlign w:val="center"/>
          </w:tcPr>
          <w:p/>
        </w:tc>
        <w:tc>
          <w:tcPr>
            <w:tcW w:w="1327" w:type="dxa"/>
            <w:vAlign w:val="center"/>
          </w:tcPr>
          <w:p>
            <w:pPr>
              <w:pStyle w:val="10"/>
            </w:pPr>
            <w:r>
              <w:t>生态效益指标</w:t>
            </w:r>
          </w:p>
        </w:tc>
        <w:tc>
          <w:tcPr>
            <w:tcW w:w="1327" w:type="dxa"/>
            <w:vAlign w:val="center"/>
          </w:tcPr>
          <w:p>
            <w:pPr>
              <w:pStyle w:val="10"/>
              <w:rPr>
                <w:lang w:eastAsia="zh-CN"/>
              </w:rPr>
            </w:pPr>
            <w:r>
              <w:t>COD、氨氮、总磷、总氮排放浓度</w:t>
            </w:r>
            <w:r>
              <w:rPr>
                <w:rFonts w:hint="eastAsia"/>
                <w:lang w:eastAsia="zh-CN"/>
              </w:rPr>
              <w:t>达标率</w:t>
            </w:r>
          </w:p>
        </w:tc>
        <w:tc>
          <w:tcPr>
            <w:tcW w:w="2654" w:type="dxa"/>
            <w:vAlign w:val="center"/>
          </w:tcPr>
          <w:p>
            <w:pPr>
              <w:pStyle w:val="10"/>
            </w:pPr>
            <w:r>
              <w:t>COD、氨氮、总磷、总氮排放浓度</w:t>
            </w:r>
            <w:r>
              <w:rPr>
                <w:rFonts w:hint="eastAsia"/>
                <w:lang w:eastAsia="zh-CN"/>
              </w:rPr>
              <w:t>达标率</w:t>
            </w:r>
          </w:p>
        </w:tc>
        <w:tc>
          <w:tcPr>
            <w:tcW w:w="1327" w:type="dxa"/>
            <w:vAlign w:val="center"/>
          </w:tcPr>
          <w:p>
            <w:pPr>
              <w:pStyle w:val="10"/>
              <w:rPr>
                <w:lang w:eastAsia="zh-CN"/>
              </w:rPr>
            </w:pPr>
            <w:r>
              <w:rPr>
                <w:rFonts w:hint="eastAsia"/>
                <w:lang w:eastAsia="zh-CN"/>
              </w:rPr>
              <w:t>100%</w:t>
            </w:r>
          </w:p>
        </w:tc>
        <w:tc>
          <w:tcPr>
            <w:tcW w:w="1327"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3" w:type="dxa"/>
            <w:vMerge w:val="continue"/>
            <w:vAlign w:val="center"/>
          </w:tcPr>
          <w:p/>
        </w:tc>
        <w:tc>
          <w:tcPr>
            <w:tcW w:w="1327" w:type="dxa"/>
            <w:vAlign w:val="center"/>
          </w:tcPr>
          <w:p>
            <w:pPr>
              <w:pStyle w:val="10"/>
            </w:pPr>
            <w:r>
              <w:t>可持续影响指标</w:t>
            </w:r>
          </w:p>
        </w:tc>
        <w:tc>
          <w:tcPr>
            <w:tcW w:w="1327" w:type="dxa"/>
            <w:vAlign w:val="center"/>
          </w:tcPr>
          <w:p>
            <w:pPr>
              <w:pStyle w:val="10"/>
            </w:pPr>
            <w:r>
              <w:t>应急事件管理机制健全</w:t>
            </w:r>
          </w:p>
        </w:tc>
        <w:tc>
          <w:tcPr>
            <w:tcW w:w="2654" w:type="dxa"/>
            <w:vAlign w:val="center"/>
          </w:tcPr>
          <w:p>
            <w:pPr>
              <w:pStyle w:val="10"/>
            </w:pPr>
            <w:r>
              <w:t>应急事件管理机制健全</w:t>
            </w:r>
          </w:p>
        </w:tc>
        <w:tc>
          <w:tcPr>
            <w:tcW w:w="1327" w:type="dxa"/>
            <w:vAlign w:val="center"/>
          </w:tcPr>
          <w:p>
            <w:pPr>
              <w:pStyle w:val="10"/>
            </w:pPr>
            <w:r>
              <w:t>健全</w:t>
            </w:r>
          </w:p>
        </w:tc>
        <w:tc>
          <w:tcPr>
            <w:tcW w:w="1327"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83" w:type="dxa"/>
            <w:vAlign w:val="center"/>
          </w:tcPr>
          <w:p>
            <w:pPr>
              <w:pStyle w:val="11"/>
            </w:pPr>
            <w:r>
              <w:t>满意度指标</w:t>
            </w:r>
          </w:p>
        </w:tc>
        <w:tc>
          <w:tcPr>
            <w:tcW w:w="1327" w:type="dxa"/>
            <w:vAlign w:val="center"/>
          </w:tcPr>
          <w:p>
            <w:pPr>
              <w:pStyle w:val="10"/>
            </w:pPr>
            <w:r>
              <w:t>服务对象满意度指标</w:t>
            </w:r>
          </w:p>
        </w:tc>
        <w:tc>
          <w:tcPr>
            <w:tcW w:w="1327" w:type="dxa"/>
            <w:vAlign w:val="center"/>
          </w:tcPr>
          <w:p>
            <w:pPr>
              <w:pStyle w:val="10"/>
            </w:pPr>
            <w:r>
              <w:t>社会公众满意度</w:t>
            </w:r>
          </w:p>
        </w:tc>
        <w:tc>
          <w:tcPr>
            <w:tcW w:w="2654" w:type="dxa"/>
            <w:vAlign w:val="center"/>
          </w:tcPr>
          <w:p>
            <w:pPr>
              <w:pStyle w:val="10"/>
            </w:pPr>
            <w:r>
              <w:t>社会公众满意度</w:t>
            </w:r>
          </w:p>
        </w:tc>
        <w:tc>
          <w:tcPr>
            <w:tcW w:w="1327" w:type="dxa"/>
            <w:vAlign w:val="center"/>
          </w:tcPr>
          <w:p>
            <w:pPr>
              <w:pStyle w:val="10"/>
              <w:rPr>
                <w:lang w:eastAsia="zh-CN"/>
              </w:rPr>
            </w:pPr>
            <w:r>
              <w:t>≥90</w:t>
            </w:r>
            <w:r>
              <w:rPr>
                <w:rFonts w:hint="eastAsia"/>
                <w:lang w:eastAsia="zh-CN"/>
              </w:rPr>
              <w:t>%</w:t>
            </w:r>
          </w:p>
        </w:tc>
        <w:tc>
          <w:tcPr>
            <w:tcW w:w="1327" w:type="dxa"/>
            <w:vAlign w:val="center"/>
          </w:tcPr>
          <w:p>
            <w:pPr>
              <w:pStyle w:val="10"/>
            </w:pPr>
            <w:r>
              <w:t>其他标准</w:t>
            </w:r>
          </w:p>
        </w:tc>
      </w:tr>
    </w:tbl>
    <w:p>
      <w:pPr>
        <w:numPr>
          <w:ilvl w:val="0"/>
          <w:numId w:val="0"/>
        </w:numPr>
        <w:ind w:leftChars="0"/>
        <w:rPr>
          <w:rFonts w:hint="default" w:ascii="黑体" w:hAnsi="黑体" w:eastAsia="黑体" w:cs="黑体"/>
          <w:sz w:val="32"/>
          <w:szCs w:val="32"/>
          <w:lang w:val="en-US" w:eastAsia="zh-CN"/>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801001青岛市水务管理局本级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37020022P55001610003X</w:t>
            </w:r>
          </w:p>
        </w:tc>
        <w:tc>
          <w:tcPr>
            <w:tcW w:w="1587" w:type="dxa"/>
            <w:vAlign w:val="center"/>
          </w:tcPr>
          <w:p>
            <w:pPr>
              <w:pStyle w:val="9"/>
            </w:pPr>
            <w:r>
              <w:t>项目名称</w:t>
            </w:r>
          </w:p>
        </w:tc>
        <w:tc>
          <w:tcPr>
            <w:tcW w:w="4422" w:type="dxa"/>
            <w:gridSpan w:val="3"/>
            <w:vAlign w:val="center"/>
          </w:tcPr>
          <w:p>
            <w:pPr>
              <w:pStyle w:val="10"/>
            </w:pPr>
            <w:r>
              <w:t>娄山河污水处理厂污水污泥处理运行费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13021.00</w:t>
            </w:r>
          </w:p>
        </w:tc>
        <w:tc>
          <w:tcPr>
            <w:tcW w:w="1587" w:type="dxa"/>
            <w:vAlign w:val="center"/>
          </w:tcPr>
          <w:p>
            <w:pPr>
              <w:pStyle w:val="9"/>
            </w:pPr>
            <w:r>
              <w:t>其中：财政    资金</w:t>
            </w:r>
          </w:p>
        </w:tc>
        <w:tc>
          <w:tcPr>
            <w:tcW w:w="1304" w:type="dxa"/>
            <w:vAlign w:val="center"/>
          </w:tcPr>
          <w:p>
            <w:pPr>
              <w:pStyle w:val="10"/>
            </w:pPr>
            <w:r>
              <w:t>13021.00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w:t>
            </w:r>
            <w:r>
              <w:rPr>
                <w:rFonts w:hint="eastAsia"/>
                <w:lang w:eastAsia="zh-CN"/>
              </w:rPr>
              <w:t>3</w:t>
            </w:r>
            <w:r>
              <w:t>年娄山河污水处理费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6510.00</w:t>
            </w:r>
          </w:p>
        </w:tc>
        <w:tc>
          <w:tcPr>
            <w:tcW w:w="1304" w:type="dxa"/>
            <w:vAlign w:val="center"/>
          </w:tcPr>
          <w:p>
            <w:pPr>
              <w:pStyle w:val="11"/>
            </w:pPr>
            <w:r>
              <w:t>9765.00</w:t>
            </w:r>
          </w:p>
        </w:tc>
        <w:tc>
          <w:tcPr>
            <w:tcW w:w="3118" w:type="dxa"/>
            <w:gridSpan w:val="2"/>
            <w:vAlign w:val="center"/>
          </w:tcPr>
          <w:p>
            <w:pPr>
              <w:pStyle w:val="11"/>
            </w:pPr>
            <w:r>
              <w:t>13021.00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rPr>
                <w:rFonts w:hint="eastAsia"/>
                <w:lang w:eastAsia="zh-CN"/>
              </w:rPr>
              <w:t>通过污水处理，使</w:t>
            </w:r>
            <w:r>
              <w:t>COD、氨氮、总磷、总氮排放浓度</w:t>
            </w:r>
            <w:r>
              <w:rPr>
                <w:rFonts w:hint="eastAsia"/>
                <w:lang w:eastAsia="zh-CN"/>
              </w:rPr>
              <w:t>达标，保障环境安全。</w:t>
            </w:r>
          </w:p>
        </w:tc>
      </w:tr>
    </w:tbl>
    <w:p>
      <w:pPr>
        <w:spacing w:line="2" w:lineRule="exact"/>
        <w:jc w:val="center"/>
      </w:pPr>
      <w:r>
        <w:rPr>
          <w:rFonts w:ascii="方正书宋_GBK" w:hAnsi="方正书宋_GBK" w:eastAsia="方正书宋_GBK" w:cs="方正书宋_GBK"/>
          <w:sz w:val="21"/>
        </w:rPr>
        <w:t xml:space="preserve"> </w:t>
      </w:r>
    </w:p>
    <w:tbl>
      <w:tblPr>
        <w:tblStyle w:val="5"/>
        <w:tblW w:w="98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04"/>
        <w:gridCol w:w="1327"/>
        <w:gridCol w:w="1777"/>
        <w:gridCol w:w="220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04" w:type="dxa"/>
            <w:vAlign w:val="center"/>
          </w:tcPr>
          <w:p>
            <w:pPr>
              <w:pStyle w:val="9"/>
            </w:pPr>
            <w:r>
              <w:t>一级指标</w:t>
            </w:r>
          </w:p>
        </w:tc>
        <w:tc>
          <w:tcPr>
            <w:tcW w:w="1327" w:type="dxa"/>
            <w:vAlign w:val="center"/>
          </w:tcPr>
          <w:p>
            <w:pPr>
              <w:pStyle w:val="9"/>
            </w:pPr>
            <w:r>
              <w:t>二级指标</w:t>
            </w:r>
          </w:p>
        </w:tc>
        <w:tc>
          <w:tcPr>
            <w:tcW w:w="1777" w:type="dxa"/>
            <w:vAlign w:val="center"/>
          </w:tcPr>
          <w:p>
            <w:pPr>
              <w:pStyle w:val="9"/>
            </w:pPr>
            <w:r>
              <w:t>三级指标</w:t>
            </w:r>
          </w:p>
        </w:tc>
        <w:tc>
          <w:tcPr>
            <w:tcW w:w="2204" w:type="dxa"/>
            <w:vAlign w:val="center"/>
          </w:tcPr>
          <w:p>
            <w:pPr>
              <w:pStyle w:val="9"/>
            </w:pPr>
            <w:r>
              <w:t>绩效指标描述</w:t>
            </w:r>
          </w:p>
        </w:tc>
        <w:tc>
          <w:tcPr>
            <w:tcW w:w="1327" w:type="dxa"/>
            <w:vAlign w:val="center"/>
          </w:tcPr>
          <w:p>
            <w:pPr>
              <w:pStyle w:val="9"/>
            </w:pPr>
            <w:r>
              <w:t>指标值</w:t>
            </w:r>
          </w:p>
        </w:tc>
        <w:tc>
          <w:tcPr>
            <w:tcW w:w="1327"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4" w:type="dxa"/>
            <w:vAlign w:val="center"/>
          </w:tcPr>
          <w:p>
            <w:pPr>
              <w:pStyle w:val="11"/>
            </w:pPr>
            <w:r>
              <w:t>成本指标</w:t>
            </w:r>
          </w:p>
        </w:tc>
        <w:tc>
          <w:tcPr>
            <w:tcW w:w="1327" w:type="dxa"/>
            <w:vAlign w:val="center"/>
          </w:tcPr>
          <w:p>
            <w:pPr>
              <w:pStyle w:val="10"/>
              <w:rPr>
                <w:lang w:eastAsia="zh-CN"/>
              </w:rPr>
            </w:pPr>
            <w:r>
              <w:rPr>
                <w:rFonts w:hint="eastAsia"/>
                <w:lang w:eastAsia="zh-CN"/>
              </w:rPr>
              <w:t>经济成本指标</w:t>
            </w:r>
          </w:p>
        </w:tc>
        <w:tc>
          <w:tcPr>
            <w:tcW w:w="1777" w:type="dxa"/>
            <w:vAlign w:val="center"/>
          </w:tcPr>
          <w:p>
            <w:pPr>
              <w:pStyle w:val="10"/>
            </w:pPr>
            <w:r>
              <w:rPr>
                <w:rFonts w:hint="eastAsia"/>
                <w:lang w:eastAsia="zh-CN"/>
              </w:rPr>
              <w:t>每</w:t>
            </w:r>
            <w:r>
              <w:t>吨污水处理费</w:t>
            </w:r>
          </w:p>
        </w:tc>
        <w:tc>
          <w:tcPr>
            <w:tcW w:w="2204" w:type="dxa"/>
            <w:vAlign w:val="center"/>
          </w:tcPr>
          <w:p>
            <w:pPr>
              <w:pStyle w:val="10"/>
            </w:pPr>
            <w:r>
              <w:t>政府核定吨处理费</w:t>
            </w:r>
          </w:p>
        </w:tc>
        <w:tc>
          <w:tcPr>
            <w:tcW w:w="1327" w:type="dxa"/>
            <w:vAlign w:val="center"/>
          </w:tcPr>
          <w:p>
            <w:pPr>
              <w:pStyle w:val="10"/>
            </w:pPr>
            <w:r>
              <w:t>≤2.47元/吨</w:t>
            </w:r>
          </w:p>
        </w:tc>
        <w:tc>
          <w:tcPr>
            <w:tcW w:w="1327"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4" w:type="dxa"/>
            <w:vMerge w:val="restart"/>
            <w:vAlign w:val="center"/>
          </w:tcPr>
          <w:p>
            <w:pPr>
              <w:pStyle w:val="11"/>
            </w:pPr>
            <w:r>
              <w:t>产出指标</w:t>
            </w:r>
          </w:p>
        </w:tc>
        <w:tc>
          <w:tcPr>
            <w:tcW w:w="1327" w:type="dxa"/>
            <w:vAlign w:val="center"/>
          </w:tcPr>
          <w:p>
            <w:pPr>
              <w:pStyle w:val="10"/>
            </w:pPr>
            <w:r>
              <w:t>数量指标</w:t>
            </w:r>
          </w:p>
        </w:tc>
        <w:tc>
          <w:tcPr>
            <w:tcW w:w="1777" w:type="dxa"/>
            <w:vAlign w:val="center"/>
          </w:tcPr>
          <w:p>
            <w:pPr>
              <w:pStyle w:val="10"/>
            </w:pPr>
            <w:r>
              <w:t>日污水处理量</w:t>
            </w:r>
          </w:p>
        </w:tc>
        <w:tc>
          <w:tcPr>
            <w:tcW w:w="2204" w:type="dxa"/>
            <w:vAlign w:val="center"/>
          </w:tcPr>
          <w:p>
            <w:pPr>
              <w:pStyle w:val="10"/>
            </w:pPr>
            <w:r>
              <w:t>设计负荷15万吨/日，近三年日均处理水量均平均13.4万吨</w:t>
            </w:r>
          </w:p>
        </w:tc>
        <w:tc>
          <w:tcPr>
            <w:tcW w:w="1327" w:type="dxa"/>
            <w:vAlign w:val="center"/>
          </w:tcPr>
          <w:p>
            <w:pPr>
              <w:pStyle w:val="10"/>
            </w:pPr>
            <w:r>
              <w:t>≥13.4万吨/日</w:t>
            </w:r>
          </w:p>
        </w:tc>
        <w:tc>
          <w:tcPr>
            <w:tcW w:w="1327"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4" w:type="dxa"/>
            <w:vMerge w:val="continue"/>
            <w:vAlign w:val="center"/>
          </w:tcPr>
          <w:p>
            <w:pPr>
              <w:pStyle w:val="11"/>
            </w:pPr>
          </w:p>
        </w:tc>
        <w:tc>
          <w:tcPr>
            <w:tcW w:w="1327" w:type="dxa"/>
            <w:vAlign w:val="center"/>
          </w:tcPr>
          <w:p>
            <w:pPr>
              <w:pStyle w:val="10"/>
            </w:pPr>
            <w:r>
              <w:t>数量指标</w:t>
            </w:r>
          </w:p>
        </w:tc>
        <w:tc>
          <w:tcPr>
            <w:tcW w:w="1777" w:type="dxa"/>
            <w:vAlign w:val="center"/>
          </w:tcPr>
          <w:p>
            <w:pPr>
              <w:pStyle w:val="10"/>
              <w:rPr>
                <w:lang w:eastAsia="zh-CN"/>
              </w:rPr>
            </w:pPr>
            <w:r>
              <w:rPr>
                <w:rFonts w:hint="eastAsia"/>
                <w:lang w:eastAsia="zh-CN"/>
              </w:rPr>
              <w:t>年污水处理量</w:t>
            </w:r>
          </w:p>
        </w:tc>
        <w:tc>
          <w:tcPr>
            <w:tcW w:w="2204" w:type="dxa"/>
            <w:vAlign w:val="center"/>
          </w:tcPr>
          <w:p>
            <w:pPr>
              <w:pStyle w:val="10"/>
            </w:pPr>
            <w:r>
              <w:rPr>
                <w:rFonts w:hint="eastAsia"/>
                <w:lang w:eastAsia="zh-CN"/>
              </w:rPr>
              <w:t>年污水处理量</w:t>
            </w:r>
          </w:p>
        </w:tc>
        <w:tc>
          <w:tcPr>
            <w:tcW w:w="1327" w:type="dxa"/>
            <w:vAlign w:val="center"/>
          </w:tcPr>
          <w:p>
            <w:pPr>
              <w:pStyle w:val="10"/>
            </w:pPr>
            <w:r>
              <w:t>≥</w:t>
            </w:r>
            <w:r>
              <w:rPr>
                <w:rFonts w:hint="eastAsia"/>
                <w:lang w:eastAsia="zh-CN"/>
              </w:rPr>
              <w:t>4824</w:t>
            </w:r>
            <w:r>
              <w:t>万吨</w:t>
            </w:r>
          </w:p>
        </w:tc>
        <w:tc>
          <w:tcPr>
            <w:tcW w:w="1327"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4" w:type="dxa"/>
            <w:vMerge w:val="continue"/>
            <w:vAlign w:val="center"/>
          </w:tcPr>
          <w:p/>
        </w:tc>
        <w:tc>
          <w:tcPr>
            <w:tcW w:w="1327" w:type="dxa"/>
            <w:vAlign w:val="center"/>
          </w:tcPr>
          <w:p>
            <w:pPr>
              <w:pStyle w:val="10"/>
            </w:pPr>
            <w:r>
              <w:rPr>
                <w:rFonts w:hint="eastAsia"/>
                <w:lang w:eastAsia="zh-CN"/>
              </w:rPr>
              <w:t>质量</w:t>
            </w:r>
            <w:r>
              <w:t>指标</w:t>
            </w:r>
          </w:p>
        </w:tc>
        <w:tc>
          <w:tcPr>
            <w:tcW w:w="1777" w:type="dxa"/>
            <w:vAlign w:val="center"/>
          </w:tcPr>
          <w:p>
            <w:pPr>
              <w:pStyle w:val="10"/>
            </w:pPr>
            <w:r>
              <w:t>出水水质达标率</w:t>
            </w:r>
          </w:p>
        </w:tc>
        <w:tc>
          <w:tcPr>
            <w:tcW w:w="2204" w:type="dxa"/>
            <w:vAlign w:val="center"/>
          </w:tcPr>
          <w:p>
            <w:pPr>
              <w:pStyle w:val="10"/>
              <w:rPr>
                <w:lang w:eastAsia="zh-CN"/>
              </w:rPr>
            </w:pPr>
            <w:r>
              <w:t>出水水质</w:t>
            </w:r>
            <w:r>
              <w:rPr>
                <w:rFonts w:hint="eastAsia"/>
                <w:lang w:eastAsia="zh-CN"/>
              </w:rPr>
              <w:t>达标</w:t>
            </w:r>
          </w:p>
        </w:tc>
        <w:tc>
          <w:tcPr>
            <w:tcW w:w="1327" w:type="dxa"/>
            <w:vAlign w:val="center"/>
          </w:tcPr>
          <w:p>
            <w:pPr>
              <w:pStyle w:val="10"/>
              <w:rPr>
                <w:lang w:eastAsia="zh-CN"/>
              </w:rPr>
            </w:pPr>
            <w:r>
              <w:t>≥98</w:t>
            </w:r>
            <w:r>
              <w:rPr>
                <w:rFonts w:hint="eastAsia"/>
                <w:lang w:eastAsia="zh-CN"/>
              </w:rPr>
              <w:t>%</w:t>
            </w:r>
          </w:p>
        </w:tc>
        <w:tc>
          <w:tcPr>
            <w:tcW w:w="1327"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4" w:type="dxa"/>
            <w:vMerge w:val="continue"/>
            <w:vAlign w:val="center"/>
          </w:tcPr>
          <w:p/>
        </w:tc>
        <w:tc>
          <w:tcPr>
            <w:tcW w:w="1327" w:type="dxa"/>
            <w:vAlign w:val="center"/>
          </w:tcPr>
          <w:p>
            <w:pPr>
              <w:pStyle w:val="10"/>
            </w:pPr>
            <w:r>
              <w:t>质量指标</w:t>
            </w:r>
          </w:p>
        </w:tc>
        <w:tc>
          <w:tcPr>
            <w:tcW w:w="1777" w:type="dxa"/>
            <w:vAlign w:val="center"/>
          </w:tcPr>
          <w:p>
            <w:pPr>
              <w:pStyle w:val="10"/>
              <w:rPr>
                <w:lang w:eastAsia="zh-CN"/>
              </w:rPr>
            </w:pPr>
            <w:r>
              <w:t>出水COD浓度</w:t>
            </w:r>
            <w:r>
              <w:rPr>
                <w:rFonts w:hint="eastAsia"/>
                <w:lang w:eastAsia="zh-CN"/>
              </w:rPr>
              <w:t>达标率</w:t>
            </w:r>
          </w:p>
        </w:tc>
        <w:tc>
          <w:tcPr>
            <w:tcW w:w="2204" w:type="dxa"/>
            <w:vAlign w:val="center"/>
          </w:tcPr>
          <w:p>
            <w:pPr>
              <w:pStyle w:val="10"/>
            </w:pPr>
            <w:r>
              <w:t>按出水设计标准</w:t>
            </w:r>
          </w:p>
        </w:tc>
        <w:tc>
          <w:tcPr>
            <w:tcW w:w="1327" w:type="dxa"/>
            <w:vAlign w:val="center"/>
          </w:tcPr>
          <w:p>
            <w:pPr>
              <w:pStyle w:val="10"/>
              <w:rPr>
                <w:lang w:eastAsia="zh-CN"/>
              </w:rPr>
            </w:pPr>
            <w:r>
              <w:rPr>
                <w:rFonts w:hint="eastAsia"/>
                <w:lang w:eastAsia="zh-CN"/>
              </w:rPr>
              <w:t>100%</w:t>
            </w:r>
          </w:p>
        </w:tc>
        <w:tc>
          <w:tcPr>
            <w:tcW w:w="1327"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4" w:type="dxa"/>
            <w:vMerge w:val="continue"/>
            <w:vAlign w:val="center"/>
          </w:tcPr>
          <w:p/>
        </w:tc>
        <w:tc>
          <w:tcPr>
            <w:tcW w:w="1327" w:type="dxa"/>
            <w:vAlign w:val="center"/>
          </w:tcPr>
          <w:p>
            <w:pPr>
              <w:pStyle w:val="10"/>
            </w:pPr>
            <w:r>
              <w:t>质量指标</w:t>
            </w:r>
          </w:p>
        </w:tc>
        <w:tc>
          <w:tcPr>
            <w:tcW w:w="1777" w:type="dxa"/>
            <w:vAlign w:val="center"/>
          </w:tcPr>
          <w:p>
            <w:pPr>
              <w:pStyle w:val="10"/>
            </w:pPr>
            <w:r>
              <w:t>污水处理设施完好率</w:t>
            </w:r>
          </w:p>
        </w:tc>
        <w:tc>
          <w:tcPr>
            <w:tcW w:w="2204" w:type="dxa"/>
            <w:vAlign w:val="center"/>
          </w:tcPr>
          <w:p>
            <w:pPr>
              <w:pStyle w:val="10"/>
            </w:pPr>
            <w:r>
              <w:t>污水处理设施完好</w:t>
            </w:r>
          </w:p>
        </w:tc>
        <w:tc>
          <w:tcPr>
            <w:tcW w:w="1327" w:type="dxa"/>
            <w:vAlign w:val="center"/>
          </w:tcPr>
          <w:p>
            <w:pPr>
              <w:pStyle w:val="10"/>
              <w:rPr>
                <w:lang w:eastAsia="zh-CN"/>
              </w:rPr>
            </w:pPr>
            <w:r>
              <w:t>≥95</w:t>
            </w:r>
            <w:r>
              <w:rPr>
                <w:rFonts w:hint="eastAsia"/>
                <w:lang w:eastAsia="zh-CN"/>
              </w:rPr>
              <w:t>%</w:t>
            </w:r>
          </w:p>
        </w:tc>
        <w:tc>
          <w:tcPr>
            <w:tcW w:w="1327"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4" w:type="dxa"/>
            <w:vMerge w:val="continue"/>
            <w:vAlign w:val="center"/>
          </w:tcPr>
          <w:p/>
        </w:tc>
        <w:tc>
          <w:tcPr>
            <w:tcW w:w="1327" w:type="dxa"/>
            <w:vAlign w:val="center"/>
          </w:tcPr>
          <w:p>
            <w:pPr>
              <w:pStyle w:val="10"/>
            </w:pPr>
            <w:r>
              <w:t>时效指标</w:t>
            </w:r>
          </w:p>
        </w:tc>
        <w:tc>
          <w:tcPr>
            <w:tcW w:w="1777" w:type="dxa"/>
            <w:vAlign w:val="center"/>
          </w:tcPr>
          <w:p>
            <w:pPr>
              <w:pStyle w:val="10"/>
              <w:rPr>
                <w:lang w:eastAsia="zh-CN"/>
              </w:rPr>
            </w:pPr>
            <w:r>
              <w:t>污水处理</w:t>
            </w:r>
            <w:r>
              <w:rPr>
                <w:rFonts w:hint="eastAsia"/>
                <w:lang w:eastAsia="zh-CN"/>
              </w:rPr>
              <w:t>设备故障修复及时率</w:t>
            </w:r>
          </w:p>
        </w:tc>
        <w:tc>
          <w:tcPr>
            <w:tcW w:w="2204" w:type="dxa"/>
            <w:vAlign w:val="center"/>
          </w:tcPr>
          <w:p>
            <w:pPr>
              <w:pStyle w:val="10"/>
            </w:pPr>
            <w:r>
              <w:t>污水处理</w:t>
            </w:r>
            <w:r>
              <w:rPr>
                <w:rFonts w:hint="eastAsia"/>
                <w:lang w:eastAsia="zh-CN"/>
              </w:rPr>
              <w:t>设备故障修复及时情况</w:t>
            </w:r>
          </w:p>
        </w:tc>
        <w:tc>
          <w:tcPr>
            <w:tcW w:w="1327" w:type="dxa"/>
            <w:vAlign w:val="center"/>
          </w:tcPr>
          <w:p>
            <w:pPr>
              <w:pStyle w:val="10"/>
              <w:rPr>
                <w:lang w:eastAsia="zh-CN"/>
              </w:rPr>
            </w:pPr>
            <w:r>
              <w:rPr>
                <w:rFonts w:hint="eastAsia"/>
                <w:lang w:eastAsia="zh-CN"/>
              </w:rPr>
              <w:t>100%</w:t>
            </w:r>
          </w:p>
        </w:tc>
        <w:tc>
          <w:tcPr>
            <w:tcW w:w="1327"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4" w:type="dxa"/>
            <w:vMerge w:val="restart"/>
            <w:vAlign w:val="center"/>
          </w:tcPr>
          <w:p>
            <w:pPr>
              <w:pStyle w:val="11"/>
            </w:pPr>
            <w:r>
              <w:t>效益指标</w:t>
            </w:r>
          </w:p>
        </w:tc>
        <w:tc>
          <w:tcPr>
            <w:tcW w:w="1327" w:type="dxa"/>
            <w:vAlign w:val="center"/>
          </w:tcPr>
          <w:p>
            <w:pPr>
              <w:pStyle w:val="10"/>
              <w:rPr>
                <w:strike/>
              </w:rPr>
            </w:pPr>
            <w:r>
              <w:t>社会效益指标</w:t>
            </w:r>
          </w:p>
        </w:tc>
        <w:tc>
          <w:tcPr>
            <w:tcW w:w="1777" w:type="dxa"/>
            <w:vAlign w:val="center"/>
          </w:tcPr>
          <w:p>
            <w:pPr>
              <w:pStyle w:val="10"/>
              <w:rPr>
                <w:strike/>
              </w:rPr>
            </w:pPr>
            <w:r>
              <w:t>重大安全事故发生数</w:t>
            </w:r>
          </w:p>
        </w:tc>
        <w:tc>
          <w:tcPr>
            <w:tcW w:w="2204" w:type="dxa"/>
            <w:vAlign w:val="center"/>
          </w:tcPr>
          <w:p>
            <w:pPr>
              <w:pStyle w:val="10"/>
              <w:rPr>
                <w:strike/>
              </w:rPr>
            </w:pPr>
            <w:r>
              <w:t>重大安全事故发生数</w:t>
            </w:r>
          </w:p>
        </w:tc>
        <w:tc>
          <w:tcPr>
            <w:tcW w:w="1327" w:type="dxa"/>
            <w:vAlign w:val="center"/>
          </w:tcPr>
          <w:p>
            <w:pPr>
              <w:pStyle w:val="10"/>
              <w:rPr>
                <w:strike/>
                <w:lang w:eastAsia="zh-CN"/>
              </w:rPr>
            </w:pPr>
            <w:r>
              <w:t>0起</w:t>
            </w:r>
          </w:p>
        </w:tc>
        <w:tc>
          <w:tcPr>
            <w:tcW w:w="1327" w:type="dxa"/>
            <w:vAlign w:val="center"/>
          </w:tcPr>
          <w:p>
            <w:pPr>
              <w:pStyle w:val="10"/>
              <w:rPr>
                <w:strike/>
              </w:rPr>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4" w:type="dxa"/>
            <w:vMerge w:val="continue"/>
            <w:vAlign w:val="center"/>
          </w:tcPr>
          <w:p/>
        </w:tc>
        <w:tc>
          <w:tcPr>
            <w:tcW w:w="1327" w:type="dxa"/>
            <w:vAlign w:val="center"/>
          </w:tcPr>
          <w:p>
            <w:pPr>
              <w:pStyle w:val="10"/>
            </w:pPr>
            <w:r>
              <w:t>生态效益指标</w:t>
            </w:r>
          </w:p>
        </w:tc>
        <w:tc>
          <w:tcPr>
            <w:tcW w:w="1777" w:type="dxa"/>
            <w:vAlign w:val="center"/>
          </w:tcPr>
          <w:p>
            <w:pPr>
              <w:pStyle w:val="10"/>
            </w:pPr>
            <w:r>
              <w:t xml:space="preserve"> COD消减量、总磷、总氮去除量</w:t>
            </w:r>
          </w:p>
        </w:tc>
        <w:tc>
          <w:tcPr>
            <w:tcW w:w="2204" w:type="dxa"/>
            <w:vAlign w:val="center"/>
          </w:tcPr>
          <w:p>
            <w:pPr>
              <w:pStyle w:val="10"/>
            </w:pPr>
            <w:r>
              <w:t>COD消减量、总磷、总氮去除量</w:t>
            </w:r>
          </w:p>
        </w:tc>
        <w:tc>
          <w:tcPr>
            <w:tcW w:w="1327" w:type="dxa"/>
            <w:vAlign w:val="center"/>
          </w:tcPr>
          <w:p>
            <w:pPr>
              <w:pStyle w:val="10"/>
              <w:rPr>
                <w:lang w:eastAsia="zh-CN"/>
              </w:rPr>
            </w:pPr>
            <w:r>
              <w:t>同比增长</w:t>
            </w:r>
          </w:p>
        </w:tc>
        <w:tc>
          <w:tcPr>
            <w:tcW w:w="1327"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4" w:type="dxa"/>
            <w:vMerge w:val="continue"/>
            <w:vAlign w:val="center"/>
          </w:tcPr>
          <w:p/>
        </w:tc>
        <w:tc>
          <w:tcPr>
            <w:tcW w:w="1327" w:type="dxa"/>
            <w:vAlign w:val="center"/>
          </w:tcPr>
          <w:p>
            <w:pPr>
              <w:pStyle w:val="10"/>
            </w:pPr>
            <w:r>
              <w:t>可持续影响指标</w:t>
            </w:r>
          </w:p>
        </w:tc>
        <w:tc>
          <w:tcPr>
            <w:tcW w:w="1777" w:type="dxa"/>
            <w:vAlign w:val="center"/>
          </w:tcPr>
          <w:p>
            <w:pPr>
              <w:pStyle w:val="10"/>
            </w:pPr>
            <w:r>
              <w:t>应急事件管理机制健全</w:t>
            </w:r>
          </w:p>
        </w:tc>
        <w:tc>
          <w:tcPr>
            <w:tcW w:w="2204" w:type="dxa"/>
            <w:vAlign w:val="center"/>
          </w:tcPr>
          <w:p>
            <w:pPr>
              <w:pStyle w:val="10"/>
            </w:pPr>
            <w:r>
              <w:t>应急事件管理机制健全</w:t>
            </w:r>
          </w:p>
        </w:tc>
        <w:tc>
          <w:tcPr>
            <w:tcW w:w="1327" w:type="dxa"/>
            <w:vAlign w:val="center"/>
          </w:tcPr>
          <w:p>
            <w:pPr>
              <w:pStyle w:val="10"/>
            </w:pPr>
            <w:r>
              <w:t>健全</w:t>
            </w:r>
          </w:p>
        </w:tc>
        <w:tc>
          <w:tcPr>
            <w:tcW w:w="1327"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04" w:type="dxa"/>
            <w:vAlign w:val="center"/>
          </w:tcPr>
          <w:p>
            <w:pPr>
              <w:pStyle w:val="11"/>
            </w:pPr>
            <w:r>
              <w:t>满意度指标</w:t>
            </w:r>
          </w:p>
        </w:tc>
        <w:tc>
          <w:tcPr>
            <w:tcW w:w="1327" w:type="dxa"/>
            <w:vAlign w:val="center"/>
          </w:tcPr>
          <w:p>
            <w:pPr>
              <w:pStyle w:val="10"/>
            </w:pPr>
            <w:r>
              <w:t>服务对象满意度指标</w:t>
            </w:r>
          </w:p>
        </w:tc>
        <w:tc>
          <w:tcPr>
            <w:tcW w:w="1777" w:type="dxa"/>
            <w:vAlign w:val="center"/>
          </w:tcPr>
          <w:p>
            <w:pPr>
              <w:pStyle w:val="10"/>
            </w:pPr>
            <w:r>
              <w:t>社会公众满意度</w:t>
            </w:r>
          </w:p>
        </w:tc>
        <w:tc>
          <w:tcPr>
            <w:tcW w:w="2204" w:type="dxa"/>
            <w:vAlign w:val="center"/>
          </w:tcPr>
          <w:p>
            <w:pPr>
              <w:pStyle w:val="10"/>
            </w:pPr>
            <w:r>
              <w:t>社会公众满意度</w:t>
            </w:r>
          </w:p>
        </w:tc>
        <w:tc>
          <w:tcPr>
            <w:tcW w:w="1327" w:type="dxa"/>
            <w:vAlign w:val="center"/>
          </w:tcPr>
          <w:p>
            <w:pPr>
              <w:pStyle w:val="10"/>
              <w:rPr>
                <w:lang w:eastAsia="zh-CN"/>
              </w:rPr>
            </w:pPr>
            <w:r>
              <w:t>≥90</w:t>
            </w:r>
            <w:r>
              <w:rPr>
                <w:rFonts w:hint="eastAsia"/>
                <w:lang w:eastAsia="zh-CN"/>
              </w:rPr>
              <w:t>%</w:t>
            </w:r>
          </w:p>
        </w:tc>
        <w:tc>
          <w:tcPr>
            <w:tcW w:w="1327" w:type="dxa"/>
            <w:vAlign w:val="center"/>
          </w:tcPr>
          <w:p>
            <w:pPr>
              <w:pStyle w:val="10"/>
            </w:pPr>
            <w:r>
              <w:t>其他标准</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rPr>
          <w:rFonts w:hint="eastAsia"/>
          <w:lang w:val="en-US" w:eastAsia="zh-CN"/>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801001青岛市水务管理局本级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37020022P55001610006Q</w:t>
            </w:r>
          </w:p>
        </w:tc>
        <w:tc>
          <w:tcPr>
            <w:tcW w:w="1587" w:type="dxa"/>
            <w:vAlign w:val="center"/>
          </w:tcPr>
          <w:p>
            <w:pPr>
              <w:pStyle w:val="9"/>
            </w:pPr>
            <w:r>
              <w:t>项目名称</w:t>
            </w:r>
          </w:p>
        </w:tc>
        <w:tc>
          <w:tcPr>
            <w:tcW w:w="4422" w:type="dxa"/>
            <w:gridSpan w:val="3"/>
            <w:vAlign w:val="center"/>
          </w:tcPr>
          <w:p>
            <w:pPr>
              <w:pStyle w:val="10"/>
            </w:pPr>
            <w:r>
              <w:t>水务集团海泊河污水处理厂污水污泥处理运行费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20049.00</w:t>
            </w:r>
          </w:p>
        </w:tc>
        <w:tc>
          <w:tcPr>
            <w:tcW w:w="1587" w:type="dxa"/>
            <w:vAlign w:val="center"/>
          </w:tcPr>
          <w:p>
            <w:pPr>
              <w:pStyle w:val="9"/>
            </w:pPr>
            <w:r>
              <w:t>其中：财政    资金</w:t>
            </w:r>
          </w:p>
        </w:tc>
        <w:tc>
          <w:tcPr>
            <w:tcW w:w="1304" w:type="dxa"/>
            <w:vAlign w:val="center"/>
          </w:tcPr>
          <w:p>
            <w:pPr>
              <w:pStyle w:val="10"/>
            </w:pPr>
            <w:r>
              <w:t>20049.00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2023年污水处理费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5000.00</w:t>
            </w:r>
          </w:p>
        </w:tc>
        <w:tc>
          <w:tcPr>
            <w:tcW w:w="1587" w:type="dxa"/>
            <w:vAlign w:val="center"/>
          </w:tcPr>
          <w:p>
            <w:pPr>
              <w:pStyle w:val="11"/>
            </w:pPr>
            <w:r>
              <w:t>100</w:t>
            </w:r>
            <w:r>
              <w:rPr>
                <w:rFonts w:hint="eastAsia"/>
                <w:lang w:eastAsia="zh-CN"/>
              </w:rPr>
              <w:t>0</w:t>
            </w:r>
            <w:r>
              <w:t>0.00</w:t>
            </w:r>
          </w:p>
        </w:tc>
        <w:tc>
          <w:tcPr>
            <w:tcW w:w="1304" w:type="dxa"/>
            <w:vAlign w:val="center"/>
          </w:tcPr>
          <w:p>
            <w:pPr>
              <w:pStyle w:val="11"/>
            </w:pPr>
            <w:r>
              <w:t>15000.00</w:t>
            </w:r>
          </w:p>
        </w:tc>
        <w:tc>
          <w:tcPr>
            <w:tcW w:w="3118" w:type="dxa"/>
            <w:gridSpan w:val="2"/>
            <w:vAlign w:val="center"/>
          </w:tcPr>
          <w:p>
            <w:pPr>
              <w:pStyle w:val="11"/>
            </w:pPr>
            <w:r>
              <w:t>20049.00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rPr>
                <w:lang w:eastAsia="zh-CN"/>
              </w:rPr>
            </w:pPr>
            <w:r>
              <w:rPr>
                <w:rFonts w:hint="eastAsia"/>
                <w:lang w:eastAsia="zh-CN"/>
              </w:rPr>
              <w:t>通过污水处理，</w:t>
            </w:r>
            <w:r>
              <w:t>COD、氨氮、总磷、总氮排放浓度</w:t>
            </w:r>
            <w:r>
              <w:rPr>
                <w:rFonts w:hint="eastAsia"/>
                <w:lang w:eastAsia="zh-CN"/>
              </w:rPr>
              <w:t>减少，保障环境安全。</w:t>
            </w:r>
          </w:p>
        </w:tc>
      </w:tr>
    </w:tbl>
    <w:p>
      <w:pPr>
        <w:spacing w:line="2" w:lineRule="exact"/>
        <w:jc w:val="center"/>
      </w:pPr>
      <w:r>
        <w:rPr>
          <w:rFonts w:ascii="方正书宋_GBK" w:hAnsi="方正书宋_GBK" w:eastAsia="方正书宋_GBK" w:cs="方正书宋_GBK"/>
          <w:sz w:val="21"/>
        </w:rPr>
        <w:t xml:space="preserve"> </w:t>
      </w:r>
    </w:p>
    <w:tbl>
      <w:tblPr>
        <w:tblStyle w:val="5"/>
        <w:tblW w:w="98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8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9"/>
            </w:pPr>
            <w:r>
              <w:t>一级指标</w:t>
            </w:r>
          </w:p>
        </w:tc>
        <w:tc>
          <w:tcPr>
            <w:tcW w:w="1327" w:type="dxa"/>
            <w:vAlign w:val="center"/>
          </w:tcPr>
          <w:p>
            <w:pPr>
              <w:pStyle w:val="9"/>
            </w:pPr>
            <w:r>
              <w:t>二级指标</w:t>
            </w:r>
          </w:p>
        </w:tc>
        <w:tc>
          <w:tcPr>
            <w:tcW w:w="1327" w:type="dxa"/>
            <w:vAlign w:val="center"/>
          </w:tcPr>
          <w:p>
            <w:pPr>
              <w:pStyle w:val="9"/>
            </w:pPr>
            <w:r>
              <w:t>三级指标</w:t>
            </w:r>
          </w:p>
        </w:tc>
        <w:tc>
          <w:tcPr>
            <w:tcW w:w="2654" w:type="dxa"/>
            <w:vAlign w:val="center"/>
          </w:tcPr>
          <w:p>
            <w:pPr>
              <w:pStyle w:val="9"/>
            </w:pPr>
            <w:r>
              <w:t>绩效指标描述</w:t>
            </w:r>
          </w:p>
        </w:tc>
        <w:tc>
          <w:tcPr>
            <w:tcW w:w="1327" w:type="dxa"/>
            <w:vAlign w:val="center"/>
          </w:tcPr>
          <w:p>
            <w:pPr>
              <w:pStyle w:val="9"/>
            </w:pPr>
            <w:r>
              <w:t>指标值</w:t>
            </w:r>
          </w:p>
        </w:tc>
        <w:tc>
          <w:tcPr>
            <w:tcW w:w="1897"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1"/>
              <w:rPr>
                <w:lang w:eastAsia="zh-CN"/>
              </w:rPr>
            </w:pPr>
            <w:r>
              <w:rPr>
                <w:rFonts w:hint="eastAsia"/>
                <w:lang w:eastAsia="zh-CN"/>
              </w:rPr>
              <w:t>成本指标</w:t>
            </w:r>
          </w:p>
        </w:tc>
        <w:tc>
          <w:tcPr>
            <w:tcW w:w="1327" w:type="dxa"/>
            <w:vAlign w:val="center"/>
          </w:tcPr>
          <w:p>
            <w:pPr>
              <w:pStyle w:val="10"/>
              <w:rPr>
                <w:lang w:eastAsia="zh-CN"/>
              </w:rPr>
            </w:pPr>
            <w:r>
              <w:rPr>
                <w:rFonts w:hint="eastAsia"/>
                <w:lang w:eastAsia="zh-CN"/>
              </w:rPr>
              <w:t>经济成本指标</w:t>
            </w:r>
          </w:p>
        </w:tc>
        <w:tc>
          <w:tcPr>
            <w:tcW w:w="1327" w:type="dxa"/>
            <w:vAlign w:val="center"/>
          </w:tcPr>
          <w:p>
            <w:pPr>
              <w:pStyle w:val="10"/>
            </w:pPr>
            <w:r>
              <w:rPr>
                <w:rFonts w:hint="eastAsia"/>
                <w:lang w:eastAsia="zh-CN"/>
              </w:rPr>
              <w:t>每</w:t>
            </w:r>
            <w:r>
              <w:t>吨污水处理费</w:t>
            </w:r>
          </w:p>
        </w:tc>
        <w:tc>
          <w:tcPr>
            <w:tcW w:w="2654" w:type="dxa"/>
            <w:vAlign w:val="center"/>
          </w:tcPr>
          <w:p>
            <w:pPr>
              <w:pStyle w:val="10"/>
            </w:pPr>
            <w:r>
              <w:t>政府核定吨处理费</w:t>
            </w:r>
          </w:p>
        </w:tc>
        <w:tc>
          <w:tcPr>
            <w:tcW w:w="1327" w:type="dxa"/>
            <w:vAlign w:val="center"/>
          </w:tcPr>
          <w:p>
            <w:pPr>
              <w:pStyle w:val="10"/>
            </w:pPr>
            <w:r>
              <w:t>≤2.75元/吨</w:t>
            </w:r>
          </w:p>
        </w:tc>
        <w:tc>
          <w:tcPr>
            <w:tcW w:w="1897"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1"/>
            </w:pPr>
            <w:r>
              <w:t>产出指标</w:t>
            </w:r>
          </w:p>
        </w:tc>
        <w:tc>
          <w:tcPr>
            <w:tcW w:w="1327" w:type="dxa"/>
            <w:vAlign w:val="center"/>
          </w:tcPr>
          <w:p>
            <w:pPr>
              <w:pStyle w:val="10"/>
            </w:pPr>
            <w:r>
              <w:t>数量指标</w:t>
            </w:r>
          </w:p>
        </w:tc>
        <w:tc>
          <w:tcPr>
            <w:tcW w:w="1327" w:type="dxa"/>
            <w:vAlign w:val="center"/>
          </w:tcPr>
          <w:p>
            <w:pPr>
              <w:pStyle w:val="10"/>
            </w:pPr>
            <w:r>
              <w:rPr>
                <w:rFonts w:hint="eastAsia"/>
                <w:lang w:eastAsia="zh-CN"/>
              </w:rPr>
              <w:t>年</w:t>
            </w:r>
            <w:r>
              <w:t>污水处理量</w:t>
            </w:r>
          </w:p>
        </w:tc>
        <w:tc>
          <w:tcPr>
            <w:tcW w:w="2654" w:type="dxa"/>
            <w:vAlign w:val="center"/>
          </w:tcPr>
          <w:p>
            <w:pPr>
              <w:pStyle w:val="10"/>
            </w:pPr>
            <w:r>
              <w:rPr>
                <w:rFonts w:hint="eastAsia"/>
                <w:lang w:eastAsia="zh-CN"/>
              </w:rPr>
              <w:t>年</w:t>
            </w:r>
            <w:r>
              <w:t>污水处理量</w:t>
            </w:r>
          </w:p>
        </w:tc>
        <w:tc>
          <w:tcPr>
            <w:tcW w:w="1327" w:type="dxa"/>
            <w:vAlign w:val="center"/>
          </w:tcPr>
          <w:p>
            <w:pPr>
              <w:pStyle w:val="10"/>
            </w:pPr>
            <w:r>
              <w:t>≥</w:t>
            </w:r>
            <w:r>
              <w:rPr>
                <w:rFonts w:hint="eastAsia"/>
                <w:lang w:eastAsia="zh-CN"/>
              </w:rPr>
              <w:t>5760</w:t>
            </w:r>
            <w:r>
              <w:t>万吨</w:t>
            </w:r>
          </w:p>
        </w:tc>
        <w:tc>
          <w:tcPr>
            <w:tcW w:w="1897"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pStyle w:val="11"/>
            </w:pPr>
          </w:p>
        </w:tc>
        <w:tc>
          <w:tcPr>
            <w:tcW w:w="1327" w:type="dxa"/>
            <w:vAlign w:val="center"/>
          </w:tcPr>
          <w:p>
            <w:pPr>
              <w:pStyle w:val="10"/>
            </w:pPr>
            <w:r>
              <w:t>数量指标</w:t>
            </w:r>
          </w:p>
        </w:tc>
        <w:tc>
          <w:tcPr>
            <w:tcW w:w="1327" w:type="dxa"/>
            <w:vAlign w:val="center"/>
          </w:tcPr>
          <w:p>
            <w:pPr>
              <w:pStyle w:val="10"/>
            </w:pPr>
            <w:r>
              <w:t>日污水处理量</w:t>
            </w:r>
          </w:p>
        </w:tc>
        <w:tc>
          <w:tcPr>
            <w:tcW w:w="2654" w:type="dxa"/>
            <w:vAlign w:val="center"/>
          </w:tcPr>
          <w:p>
            <w:pPr>
              <w:pStyle w:val="10"/>
            </w:pPr>
            <w:r>
              <w:t>日污水处理量</w:t>
            </w:r>
          </w:p>
        </w:tc>
        <w:tc>
          <w:tcPr>
            <w:tcW w:w="1327" w:type="dxa"/>
            <w:vAlign w:val="center"/>
          </w:tcPr>
          <w:p>
            <w:pPr>
              <w:pStyle w:val="10"/>
            </w:pPr>
            <w:r>
              <w:t>≥16万吨</w:t>
            </w:r>
          </w:p>
        </w:tc>
        <w:tc>
          <w:tcPr>
            <w:tcW w:w="1897"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0"/>
            </w:pPr>
            <w:r>
              <w:t>质量指标</w:t>
            </w:r>
          </w:p>
        </w:tc>
        <w:tc>
          <w:tcPr>
            <w:tcW w:w="1327" w:type="dxa"/>
            <w:vAlign w:val="center"/>
          </w:tcPr>
          <w:p>
            <w:pPr>
              <w:pStyle w:val="10"/>
              <w:rPr>
                <w:lang w:eastAsia="zh-CN"/>
              </w:rPr>
            </w:pPr>
            <w:r>
              <w:t>出水COD浓度</w:t>
            </w:r>
            <w:r>
              <w:rPr>
                <w:rFonts w:hint="eastAsia"/>
                <w:lang w:eastAsia="zh-CN"/>
              </w:rPr>
              <w:t>达标率</w:t>
            </w:r>
          </w:p>
        </w:tc>
        <w:tc>
          <w:tcPr>
            <w:tcW w:w="2654" w:type="dxa"/>
            <w:vAlign w:val="center"/>
          </w:tcPr>
          <w:p>
            <w:pPr>
              <w:pStyle w:val="10"/>
            </w:pPr>
            <w:r>
              <w:t>按出水设计标准</w:t>
            </w:r>
          </w:p>
        </w:tc>
        <w:tc>
          <w:tcPr>
            <w:tcW w:w="1327" w:type="dxa"/>
            <w:vAlign w:val="center"/>
          </w:tcPr>
          <w:p>
            <w:pPr>
              <w:pStyle w:val="10"/>
              <w:rPr>
                <w:lang w:eastAsia="zh-CN"/>
              </w:rPr>
            </w:pPr>
            <w:r>
              <w:rPr>
                <w:rFonts w:hint="eastAsia"/>
                <w:lang w:eastAsia="zh-CN"/>
              </w:rPr>
              <w:t>100%</w:t>
            </w:r>
          </w:p>
        </w:tc>
        <w:tc>
          <w:tcPr>
            <w:tcW w:w="1897"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0"/>
            </w:pPr>
            <w:r>
              <w:rPr>
                <w:rFonts w:hint="eastAsia"/>
                <w:lang w:eastAsia="zh-CN"/>
              </w:rPr>
              <w:t>质量</w:t>
            </w:r>
            <w:r>
              <w:t>指标</w:t>
            </w:r>
          </w:p>
        </w:tc>
        <w:tc>
          <w:tcPr>
            <w:tcW w:w="1327" w:type="dxa"/>
            <w:vAlign w:val="center"/>
          </w:tcPr>
          <w:p>
            <w:pPr>
              <w:pStyle w:val="10"/>
            </w:pPr>
            <w:r>
              <w:t>出水水质达标率</w:t>
            </w:r>
          </w:p>
        </w:tc>
        <w:tc>
          <w:tcPr>
            <w:tcW w:w="2654" w:type="dxa"/>
            <w:vAlign w:val="center"/>
          </w:tcPr>
          <w:p>
            <w:pPr>
              <w:pStyle w:val="10"/>
              <w:rPr>
                <w:lang w:eastAsia="zh-CN"/>
              </w:rPr>
            </w:pPr>
            <w:r>
              <w:t>出水水质</w:t>
            </w:r>
            <w:r>
              <w:rPr>
                <w:rFonts w:hint="eastAsia"/>
                <w:lang w:eastAsia="zh-CN"/>
              </w:rPr>
              <w:t>达标</w:t>
            </w:r>
          </w:p>
        </w:tc>
        <w:tc>
          <w:tcPr>
            <w:tcW w:w="1327" w:type="dxa"/>
            <w:vAlign w:val="center"/>
          </w:tcPr>
          <w:p>
            <w:pPr>
              <w:pStyle w:val="10"/>
              <w:rPr>
                <w:lang w:eastAsia="zh-CN"/>
              </w:rPr>
            </w:pPr>
            <w:r>
              <w:t>≥98</w:t>
            </w:r>
            <w:r>
              <w:rPr>
                <w:rFonts w:hint="eastAsia"/>
                <w:lang w:eastAsia="zh-CN"/>
              </w:rPr>
              <w:t>%</w:t>
            </w:r>
          </w:p>
        </w:tc>
        <w:tc>
          <w:tcPr>
            <w:tcW w:w="1897"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0"/>
            </w:pPr>
            <w:r>
              <w:t>质量指标</w:t>
            </w:r>
          </w:p>
        </w:tc>
        <w:tc>
          <w:tcPr>
            <w:tcW w:w="1327" w:type="dxa"/>
            <w:vAlign w:val="center"/>
          </w:tcPr>
          <w:p>
            <w:pPr>
              <w:pStyle w:val="10"/>
            </w:pPr>
            <w:r>
              <w:t>污水处理设施完好率</w:t>
            </w:r>
          </w:p>
        </w:tc>
        <w:tc>
          <w:tcPr>
            <w:tcW w:w="2654" w:type="dxa"/>
            <w:vAlign w:val="center"/>
          </w:tcPr>
          <w:p>
            <w:pPr>
              <w:pStyle w:val="10"/>
            </w:pPr>
            <w:r>
              <w:t>污水处理设施完好</w:t>
            </w:r>
          </w:p>
        </w:tc>
        <w:tc>
          <w:tcPr>
            <w:tcW w:w="1327" w:type="dxa"/>
            <w:vAlign w:val="center"/>
          </w:tcPr>
          <w:p>
            <w:pPr>
              <w:pStyle w:val="10"/>
              <w:rPr>
                <w:lang w:eastAsia="zh-CN"/>
              </w:rPr>
            </w:pPr>
            <w:r>
              <w:t>≥95</w:t>
            </w:r>
            <w:r>
              <w:rPr>
                <w:rFonts w:hint="eastAsia"/>
                <w:lang w:eastAsia="zh-CN"/>
              </w:rPr>
              <w:t>%</w:t>
            </w:r>
          </w:p>
        </w:tc>
        <w:tc>
          <w:tcPr>
            <w:tcW w:w="1897"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0"/>
            </w:pPr>
            <w:r>
              <w:t>时效指标</w:t>
            </w:r>
          </w:p>
        </w:tc>
        <w:tc>
          <w:tcPr>
            <w:tcW w:w="1327" w:type="dxa"/>
            <w:vAlign w:val="center"/>
          </w:tcPr>
          <w:p>
            <w:pPr>
              <w:pStyle w:val="10"/>
              <w:rPr>
                <w:lang w:eastAsia="zh-CN"/>
              </w:rPr>
            </w:pPr>
            <w:r>
              <w:t>污水处理</w:t>
            </w:r>
            <w:r>
              <w:rPr>
                <w:rFonts w:hint="eastAsia"/>
                <w:lang w:eastAsia="zh-CN"/>
              </w:rPr>
              <w:t>设备故障修复及时率</w:t>
            </w:r>
          </w:p>
        </w:tc>
        <w:tc>
          <w:tcPr>
            <w:tcW w:w="2654" w:type="dxa"/>
            <w:vAlign w:val="center"/>
          </w:tcPr>
          <w:p>
            <w:pPr>
              <w:pStyle w:val="10"/>
            </w:pPr>
            <w:r>
              <w:t>污水处理</w:t>
            </w:r>
            <w:r>
              <w:rPr>
                <w:rFonts w:hint="eastAsia"/>
                <w:lang w:eastAsia="zh-CN"/>
              </w:rPr>
              <w:t>设备故障修复及时情况</w:t>
            </w:r>
          </w:p>
        </w:tc>
        <w:tc>
          <w:tcPr>
            <w:tcW w:w="1327" w:type="dxa"/>
            <w:vAlign w:val="center"/>
          </w:tcPr>
          <w:p>
            <w:pPr>
              <w:pStyle w:val="10"/>
              <w:rPr>
                <w:lang w:eastAsia="zh-CN"/>
              </w:rPr>
            </w:pPr>
            <w:r>
              <w:rPr>
                <w:rFonts w:hint="eastAsia"/>
                <w:lang w:eastAsia="zh-CN"/>
              </w:rPr>
              <w:t>100%</w:t>
            </w:r>
          </w:p>
        </w:tc>
        <w:tc>
          <w:tcPr>
            <w:tcW w:w="1897"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1"/>
            </w:pPr>
            <w:r>
              <w:t>效益指标</w:t>
            </w:r>
          </w:p>
        </w:tc>
        <w:tc>
          <w:tcPr>
            <w:tcW w:w="1327" w:type="dxa"/>
            <w:vAlign w:val="center"/>
          </w:tcPr>
          <w:p>
            <w:pPr>
              <w:pStyle w:val="10"/>
            </w:pPr>
            <w:r>
              <w:t>社会效益指标</w:t>
            </w:r>
          </w:p>
        </w:tc>
        <w:tc>
          <w:tcPr>
            <w:tcW w:w="1327" w:type="dxa"/>
            <w:vAlign w:val="center"/>
          </w:tcPr>
          <w:p>
            <w:pPr>
              <w:pStyle w:val="10"/>
            </w:pPr>
            <w:r>
              <w:t>重大安全事故发生数</w:t>
            </w:r>
          </w:p>
        </w:tc>
        <w:tc>
          <w:tcPr>
            <w:tcW w:w="2654" w:type="dxa"/>
            <w:vAlign w:val="center"/>
          </w:tcPr>
          <w:p>
            <w:pPr>
              <w:pStyle w:val="10"/>
            </w:pPr>
            <w:r>
              <w:t>重大安全事故发生数</w:t>
            </w:r>
          </w:p>
        </w:tc>
        <w:tc>
          <w:tcPr>
            <w:tcW w:w="1327" w:type="dxa"/>
            <w:vAlign w:val="center"/>
          </w:tcPr>
          <w:p>
            <w:pPr>
              <w:pStyle w:val="10"/>
            </w:pPr>
            <w:r>
              <w:t>0起</w:t>
            </w:r>
          </w:p>
        </w:tc>
        <w:tc>
          <w:tcPr>
            <w:tcW w:w="1897"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0"/>
            </w:pPr>
            <w:r>
              <w:t>生态效益指标</w:t>
            </w:r>
          </w:p>
        </w:tc>
        <w:tc>
          <w:tcPr>
            <w:tcW w:w="1327" w:type="dxa"/>
            <w:vAlign w:val="center"/>
          </w:tcPr>
          <w:p>
            <w:pPr>
              <w:pStyle w:val="10"/>
              <w:rPr>
                <w:lang w:eastAsia="zh-CN"/>
              </w:rPr>
            </w:pPr>
            <w:r>
              <w:t>COD、氨氮、总磷、总氮排放浓度</w:t>
            </w:r>
            <w:r>
              <w:rPr>
                <w:rFonts w:hint="eastAsia"/>
                <w:lang w:eastAsia="zh-CN"/>
              </w:rPr>
              <w:t>达标率</w:t>
            </w:r>
          </w:p>
        </w:tc>
        <w:tc>
          <w:tcPr>
            <w:tcW w:w="2654" w:type="dxa"/>
            <w:vAlign w:val="center"/>
          </w:tcPr>
          <w:p>
            <w:pPr>
              <w:pStyle w:val="10"/>
            </w:pPr>
            <w:r>
              <w:t>COD、氨氮、总磷、总氮排放浓度</w:t>
            </w:r>
            <w:r>
              <w:rPr>
                <w:rFonts w:hint="eastAsia"/>
                <w:lang w:eastAsia="zh-CN"/>
              </w:rPr>
              <w:t>达标率</w:t>
            </w:r>
          </w:p>
        </w:tc>
        <w:tc>
          <w:tcPr>
            <w:tcW w:w="1327" w:type="dxa"/>
            <w:vAlign w:val="center"/>
          </w:tcPr>
          <w:p>
            <w:pPr>
              <w:pStyle w:val="10"/>
              <w:rPr>
                <w:lang w:eastAsia="zh-CN"/>
              </w:rPr>
            </w:pPr>
            <w:r>
              <w:rPr>
                <w:rFonts w:hint="eastAsia"/>
                <w:lang w:eastAsia="zh-CN"/>
              </w:rPr>
              <w:t>100%</w:t>
            </w:r>
          </w:p>
        </w:tc>
        <w:tc>
          <w:tcPr>
            <w:tcW w:w="1897"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0"/>
            </w:pPr>
            <w:r>
              <w:t>可持续影响指标</w:t>
            </w:r>
          </w:p>
        </w:tc>
        <w:tc>
          <w:tcPr>
            <w:tcW w:w="1327" w:type="dxa"/>
            <w:vAlign w:val="center"/>
          </w:tcPr>
          <w:p>
            <w:pPr>
              <w:pStyle w:val="10"/>
            </w:pPr>
            <w:r>
              <w:t>应急事件管理机制健全</w:t>
            </w:r>
          </w:p>
        </w:tc>
        <w:tc>
          <w:tcPr>
            <w:tcW w:w="2654" w:type="dxa"/>
            <w:vAlign w:val="center"/>
          </w:tcPr>
          <w:p>
            <w:pPr>
              <w:pStyle w:val="10"/>
            </w:pPr>
            <w:r>
              <w:t>应急事件管理机制健全</w:t>
            </w:r>
          </w:p>
        </w:tc>
        <w:tc>
          <w:tcPr>
            <w:tcW w:w="1327" w:type="dxa"/>
            <w:vAlign w:val="center"/>
          </w:tcPr>
          <w:p>
            <w:pPr>
              <w:pStyle w:val="10"/>
            </w:pPr>
            <w:r>
              <w:t>健全</w:t>
            </w:r>
          </w:p>
        </w:tc>
        <w:tc>
          <w:tcPr>
            <w:tcW w:w="1897"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1"/>
            </w:pPr>
            <w:r>
              <w:t>满意度指标</w:t>
            </w:r>
          </w:p>
        </w:tc>
        <w:tc>
          <w:tcPr>
            <w:tcW w:w="1327" w:type="dxa"/>
            <w:vAlign w:val="center"/>
          </w:tcPr>
          <w:p>
            <w:pPr>
              <w:pStyle w:val="10"/>
            </w:pPr>
            <w:r>
              <w:t>服务对象满意度指标</w:t>
            </w:r>
          </w:p>
        </w:tc>
        <w:tc>
          <w:tcPr>
            <w:tcW w:w="1327" w:type="dxa"/>
            <w:vAlign w:val="center"/>
          </w:tcPr>
          <w:p>
            <w:pPr>
              <w:pStyle w:val="10"/>
            </w:pPr>
            <w:r>
              <w:t>社会公众满意度</w:t>
            </w:r>
          </w:p>
        </w:tc>
        <w:tc>
          <w:tcPr>
            <w:tcW w:w="2654" w:type="dxa"/>
            <w:vAlign w:val="center"/>
          </w:tcPr>
          <w:p>
            <w:pPr>
              <w:pStyle w:val="10"/>
            </w:pPr>
            <w:r>
              <w:t>社会公众满意度</w:t>
            </w:r>
          </w:p>
        </w:tc>
        <w:tc>
          <w:tcPr>
            <w:tcW w:w="1327" w:type="dxa"/>
            <w:vAlign w:val="center"/>
          </w:tcPr>
          <w:p>
            <w:pPr>
              <w:pStyle w:val="10"/>
              <w:rPr>
                <w:lang w:eastAsia="zh-CN"/>
              </w:rPr>
            </w:pPr>
            <w:r>
              <w:t>≥90</w:t>
            </w:r>
            <w:r>
              <w:rPr>
                <w:rFonts w:hint="eastAsia"/>
                <w:lang w:eastAsia="zh-CN"/>
              </w:rPr>
              <w:t>%</w:t>
            </w:r>
          </w:p>
        </w:tc>
        <w:tc>
          <w:tcPr>
            <w:tcW w:w="1897" w:type="dxa"/>
            <w:vAlign w:val="center"/>
          </w:tcPr>
          <w:p>
            <w:pPr>
              <w:pStyle w:val="10"/>
            </w:pPr>
            <w:r>
              <w:t>其他标准</w:t>
            </w:r>
          </w:p>
        </w:tc>
      </w:tr>
    </w:tbl>
    <w:p>
      <w:pPr>
        <w:rPr>
          <w:rFonts w:hint="eastAsia"/>
          <w:lang w:val="en-US" w:eastAsia="zh-CN"/>
        </w:rPr>
      </w:pPr>
    </w:p>
    <w:p>
      <w:pPr>
        <w:rPr>
          <w:rFonts w:hint="eastAsia"/>
          <w:lang w:val="en-US" w:eastAsia="zh-CN"/>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801001青岛市水务管理局本级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37020022P550016100055</w:t>
            </w:r>
          </w:p>
        </w:tc>
        <w:tc>
          <w:tcPr>
            <w:tcW w:w="1587" w:type="dxa"/>
            <w:vAlign w:val="center"/>
          </w:tcPr>
          <w:p>
            <w:pPr>
              <w:pStyle w:val="9"/>
            </w:pPr>
            <w:r>
              <w:t>项目名称</w:t>
            </w:r>
          </w:p>
        </w:tc>
        <w:tc>
          <w:tcPr>
            <w:tcW w:w="4422" w:type="dxa"/>
            <w:gridSpan w:val="3"/>
            <w:vAlign w:val="center"/>
          </w:tcPr>
          <w:p>
            <w:pPr>
              <w:pStyle w:val="10"/>
            </w:pPr>
            <w:r>
              <w:t>团岛污水处理厂污水污泥处理运行费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10033.00</w:t>
            </w:r>
          </w:p>
        </w:tc>
        <w:tc>
          <w:tcPr>
            <w:tcW w:w="1587" w:type="dxa"/>
            <w:vAlign w:val="center"/>
          </w:tcPr>
          <w:p>
            <w:pPr>
              <w:pStyle w:val="9"/>
            </w:pPr>
            <w:r>
              <w:t>其中：财政    资金</w:t>
            </w:r>
          </w:p>
        </w:tc>
        <w:tc>
          <w:tcPr>
            <w:tcW w:w="1304" w:type="dxa"/>
            <w:vAlign w:val="center"/>
          </w:tcPr>
          <w:p>
            <w:pPr>
              <w:pStyle w:val="10"/>
            </w:pPr>
            <w:r>
              <w:t>10033.00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w:t>
            </w:r>
            <w:r>
              <w:rPr>
                <w:rFonts w:hint="eastAsia"/>
                <w:lang w:eastAsia="zh-CN"/>
              </w:rPr>
              <w:t>3</w:t>
            </w:r>
            <w:r>
              <w:t>年污水处理费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2508.00</w:t>
            </w:r>
          </w:p>
        </w:tc>
        <w:tc>
          <w:tcPr>
            <w:tcW w:w="1587" w:type="dxa"/>
            <w:vAlign w:val="center"/>
          </w:tcPr>
          <w:p>
            <w:pPr>
              <w:pStyle w:val="11"/>
            </w:pPr>
            <w:r>
              <w:t>5016.00</w:t>
            </w:r>
          </w:p>
        </w:tc>
        <w:tc>
          <w:tcPr>
            <w:tcW w:w="1304" w:type="dxa"/>
            <w:vAlign w:val="center"/>
          </w:tcPr>
          <w:p>
            <w:pPr>
              <w:pStyle w:val="11"/>
            </w:pPr>
            <w:r>
              <w:t>7518.00</w:t>
            </w:r>
          </w:p>
        </w:tc>
        <w:tc>
          <w:tcPr>
            <w:tcW w:w="3118" w:type="dxa"/>
            <w:gridSpan w:val="2"/>
            <w:vAlign w:val="center"/>
          </w:tcPr>
          <w:p>
            <w:pPr>
              <w:pStyle w:val="11"/>
            </w:pPr>
            <w:r>
              <w:t>10033.00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保证污水处理设施运转正常，202</w:t>
            </w:r>
            <w:r>
              <w:rPr>
                <w:rFonts w:hint="eastAsia"/>
                <w:lang w:eastAsia="zh-CN"/>
              </w:rPr>
              <w:t>3</w:t>
            </w:r>
            <w:r>
              <w:t>年污水处理资金涉及团岛污水处理厂污水处理费污水雨水设施设备运行维护费、污泥处置费、排水设施和污水处理设施更新改造专项支出。在确保以上项目安全生产的前提下，保证经处理后的出水水质达到《城镇污水处理厂污染物排放标准》的一级A标准。</w:t>
            </w:r>
          </w:p>
        </w:tc>
      </w:tr>
    </w:tbl>
    <w:p>
      <w:pPr>
        <w:spacing w:line="2" w:lineRule="exact"/>
        <w:jc w:val="center"/>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9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897" w:type="dxa"/>
            <w:vAlign w:val="center"/>
          </w:tcPr>
          <w:p>
            <w:pPr>
              <w:pStyle w:val="9"/>
            </w:pPr>
            <w:r>
              <w:t>一级指标</w:t>
            </w:r>
          </w:p>
        </w:tc>
        <w:tc>
          <w:tcPr>
            <w:tcW w:w="1327" w:type="dxa"/>
            <w:vAlign w:val="center"/>
          </w:tcPr>
          <w:p>
            <w:pPr>
              <w:pStyle w:val="9"/>
            </w:pPr>
            <w:r>
              <w:t>二级指标</w:t>
            </w:r>
          </w:p>
        </w:tc>
        <w:tc>
          <w:tcPr>
            <w:tcW w:w="1327" w:type="dxa"/>
            <w:vAlign w:val="center"/>
          </w:tcPr>
          <w:p>
            <w:pPr>
              <w:pStyle w:val="9"/>
            </w:pPr>
            <w:r>
              <w:t>三级指标</w:t>
            </w:r>
          </w:p>
        </w:tc>
        <w:tc>
          <w:tcPr>
            <w:tcW w:w="2654" w:type="dxa"/>
            <w:vAlign w:val="center"/>
          </w:tcPr>
          <w:p>
            <w:pPr>
              <w:pStyle w:val="9"/>
            </w:pPr>
            <w:r>
              <w:t>绩效指标描述</w:t>
            </w:r>
          </w:p>
        </w:tc>
        <w:tc>
          <w:tcPr>
            <w:tcW w:w="1327" w:type="dxa"/>
            <w:vAlign w:val="center"/>
          </w:tcPr>
          <w:p>
            <w:pPr>
              <w:pStyle w:val="9"/>
            </w:pPr>
            <w:r>
              <w:t>指标值</w:t>
            </w:r>
          </w:p>
        </w:tc>
        <w:tc>
          <w:tcPr>
            <w:tcW w:w="1327"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7" w:type="dxa"/>
            <w:vAlign w:val="center"/>
          </w:tcPr>
          <w:p>
            <w:pPr>
              <w:pStyle w:val="11"/>
              <w:rPr>
                <w:lang w:eastAsia="zh-CN"/>
              </w:rPr>
            </w:pPr>
            <w:r>
              <w:rPr>
                <w:rFonts w:hint="eastAsia"/>
                <w:lang w:eastAsia="zh-CN"/>
              </w:rPr>
              <w:t>成本指标</w:t>
            </w:r>
          </w:p>
        </w:tc>
        <w:tc>
          <w:tcPr>
            <w:tcW w:w="1327" w:type="dxa"/>
            <w:vAlign w:val="center"/>
          </w:tcPr>
          <w:p>
            <w:pPr>
              <w:pStyle w:val="10"/>
              <w:rPr>
                <w:lang w:eastAsia="zh-CN"/>
              </w:rPr>
            </w:pPr>
            <w:r>
              <w:rPr>
                <w:rFonts w:hint="eastAsia"/>
                <w:lang w:eastAsia="zh-CN"/>
              </w:rPr>
              <w:t>经济成本指标</w:t>
            </w:r>
          </w:p>
        </w:tc>
        <w:tc>
          <w:tcPr>
            <w:tcW w:w="1327" w:type="dxa"/>
            <w:vAlign w:val="center"/>
          </w:tcPr>
          <w:p>
            <w:pPr>
              <w:pStyle w:val="10"/>
            </w:pPr>
            <w:r>
              <w:rPr>
                <w:rFonts w:hint="eastAsia"/>
                <w:lang w:eastAsia="zh-CN"/>
              </w:rPr>
              <w:t>每</w:t>
            </w:r>
            <w:r>
              <w:t>吨污水处理费</w:t>
            </w:r>
          </w:p>
        </w:tc>
        <w:tc>
          <w:tcPr>
            <w:tcW w:w="2654" w:type="dxa"/>
            <w:vAlign w:val="center"/>
          </w:tcPr>
          <w:p>
            <w:pPr>
              <w:pStyle w:val="10"/>
            </w:pPr>
            <w:r>
              <w:t>政府核定</w:t>
            </w:r>
            <w:r>
              <w:rPr>
                <w:rFonts w:hint="eastAsia"/>
                <w:lang w:eastAsia="zh-CN"/>
              </w:rPr>
              <w:t>每</w:t>
            </w:r>
            <w:r>
              <w:t>吨处理费</w:t>
            </w:r>
          </w:p>
        </w:tc>
        <w:tc>
          <w:tcPr>
            <w:tcW w:w="1327" w:type="dxa"/>
            <w:vAlign w:val="center"/>
          </w:tcPr>
          <w:p>
            <w:pPr>
              <w:pStyle w:val="10"/>
            </w:pPr>
            <w:r>
              <w:t>≤2.56元/吨</w:t>
            </w:r>
          </w:p>
        </w:tc>
        <w:tc>
          <w:tcPr>
            <w:tcW w:w="1327"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7" w:type="dxa"/>
            <w:vMerge w:val="restart"/>
            <w:vAlign w:val="center"/>
          </w:tcPr>
          <w:p>
            <w:pPr>
              <w:pStyle w:val="11"/>
            </w:pPr>
            <w:r>
              <w:t>产出指标</w:t>
            </w:r>
          </w:p>
        </w:tc>
        <w:tc>
          <w:tcPr>
            <w:tcW w:w="1327" w:type="dxa"/>
            <w:vAlign w:val="center"/>
          </w:tcPr>
          <w:p>
            <w:pPr>
              <w:pStyle w:val="10"/>
            </w:pPr>
            <w:r>
              <w:t>数量指标</w:t>
            </w:r>
          </w:p>
        </w:tc>
        <w:tc>
          <w:tcPr>
            <w:tcW w:w="1327" w:type="dxa"/>
            <w:vAlign w:val="center"/>
          </w:tcPr>
          <w:p>
            <w:pPr>
              <w:pStyle w:val="10"/>
            </w:pPr>
            <w:r>
              <w:t>日污水处理量</w:t>
            </w:r>
          </w:p>
        </w:tc>
        <w:tc>
          <w:tcPr>
            <w:tcW w:w="2654" w:type="dxa"/>
            <w:vAlign w:val="center"/>
          </w:tcPr>
          <w:p>
            <w:pPr>
              <w:pStyle w:val="10"/>
            </w:pPr>
            <w:r>
              <w:t>日污水处理量</w:t>
            </w:r>
          </w:p>
        </w:tc>
        <w:tc>
          <w:tcPr>
            <w:tcW w:w="1327" w:type="dxa"/>
            <w:vAlign w:val="center"/>
          </w:tcPr>
          <w:p>
            <w:pPr>
              <w:pStyle w:val="10"/>
            </w:pPr>
            <w:r>
              <w:t>≥9万吨</w:t>
            </w:r>
          </w:p>
        </w:tc>
        <w:tc>
          <w:tcPr>
            <w:tcW w:w="1327"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7" w:type="dxa"/>
            <w:vMerge w:val="continue"/>
            <w:vAlign w:val="center"/>
          </w:tcPr>
          <w:p>
            <w:pPr>
              <w:pStyle w:val="11"/>
            </w:pPr>
          </w:p>
        </w:tc>
        <w:tc>
          <w:tcPr>
            <w:tcW w:w="1327" w:type="dxa"/>
            <w:vAlign w:val="center"/>
          </w:tcPr>
          <w:p>
            <w:pPr>
              <w:pStyle w:val="10"/>
            </w:pPr>
            <w:r>
              <w:t>数量指标</w:t>
            </w:r>
          </w:p>
        </w:tc>
        <w:tc>
          <w:tcPr>
            <w:tcW w:w="1327" w:type="dxa"/>
            <w:vAlign w:val="center"/>
          </w:tcPr>
          <w:p>
            <w:pPr>
              <w:pStyle w:val="10"/>
            </w:pPr>
            <w:r>
              <w:rPr>
                <w:rFonts w:hint="eastAsia"/>
                <w:lang w:eastAsia="zh-CN"/>
              </w:rPr>
              <w:t>年</w:t>
            </w:r>
            <w:r>
              <w:t>污水处理量</w:t>
            </w:r>
          </w:p>
        </w:tc>
        <w:tc>
          <w:tcPr>
            <w:tcW w:w="2654" w:type="dxa"/>
            <w:vAlign w:val="center"/>
          </w:tcPr>
          <w:p>
            <w:pPr>
              <w:pStyle w:val="10"/>
            </w:pPr>
            <w:r>
              <w:rPr>
                <w:rFonts w:hint="eastAsia"/>
                <w:lang w:eastAsia="zh-CN"/>
              </w:rPr>
              <w:t>年</w:t>
            </w:r>
            <w:r>
              <w:t>污水处理量</w:t>
            </w:r>
          </w:p>
        </w:tc>
        <w:tc>
          <w:tcPr>
            <w:tcW w:w="1327" w:type="dxa"/>
            <w:vAlign w:val="center"/>
          </w:tcPr>
          <w:p>
            <w:pPr>
              <w:pStyle w:val="10"/>
            </w:pPr>
            <w:r>
              <w:t>≥</w:t>
            </w:r>
            <w:r>
              <w:rPr>
                <w:rFonts w:hint="eastAsia"/>
                <w:lang w:eastAsia="zh-CN"/>
              </w:rPr>
              <w:t>3240</w:t>
            </w:r>
            <w:r>
              <w:t>万吨</w:t>
            </w:r>
          </w:p>
        </w:tc>
        <w:tc>
          <w:tcPr>
            <w:tcW w:w="1327"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7" w:type="dxa"/>
            <w:vMerge w:val="continue"/>
            <w:vAlign w:val="center"/>
          </w:tcPr>
          <w:p/>
        </w:tc>
        <w:tc>
          <w:tcPr>
            <w:tcW w:w="1327" w:type="dxa"/>
            <w:vAlign w:val="center"/>
          </w:tcPr>
          <w:p>
            <w:pPr>
              <w:pStyle w:val="10"/>
            </w:pPr>
            <w:r>
              <w:rPr>
                <w:rFonts w:hint="eastAsia"/>
                <w:lang w:eastAsia="zh-CN"/>
              </w:rPr>
              <w:t>质量</w:t>
            </w:r>
            <w:r>
              <w:t>指标</w:t>
            </w:r>
          </w:p>
        </w:tc>
        <w:tc>
          <w:tcPr>
            <w:tcW w:w="1327" w:type="dxa"/>
            <w:vAlign w:val="center"/>
          </w:tcPr>
          <w:p>
            <w:pPr>
              <w:pStyle w:val="10"/>
            </w:pPr>
            <w:r>
              <w:t>出水水质达标率</w:t>
            </w:r>
          </w:p>
        </w:tc>
        <w:tc>
          <w:tcPr>
            <w:tcW w:w="2654" w:type="dxa"/>
            <w:vAlign w:val="center"/>
          </w:tcPr>
          <w:p>
            <w:pPr>
              <w:pStyle w:val="10"/>
              <w:rPr>
                <w:lang w:eastAsia="zh-CN"/>
              </w:rPr>
            </w:pPr>
            <w:r>
              <w:t>出水水质</w:t>
            </w:r>
            <w:r>
              <w:rPr>
                <w:rFonts w:hint="eastAsia"/>
                <w:lang w:eastAsia="zh-CN"/>
              </w:rPr>
              <w:t>达标</w:t>
            </w:r>
          </w:p>
        </w:tc>
        <w:tc>
          <w:tcPr>
            <w:tcW w:w="1327" w:type="dxa"/>
            <w:vAlign w:val="center"/>
          </w:tcPr>
          <w:p>
            <w:pPr>
              <w:pStyle w:val="10"/>
              <w:rPr>
                <w:lang w:eastAsia="zh-CN"/>
              </w:rPr>
            </w:pPr>
            <w:r>
              <w:t>≥98</w:t>
            </w:r>
            <w:r>
              <w:rPr>
                <w:rFonts w:hint="eastAsia"/>
                <w:lang w:eastAsia="zh-CN"/>
              </w:rPr>
              <w:t>%</w:t>
            </w:r>
          </w:p>
        </w:tc>
        <w:tc>
          <w:tcPr>
            <w:tcW w:w="1327"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7" w:type="dxa"/>
            <w:vMerge w:val="continue"/>
            <w:vAlign w:val="center"/>
          </w:tcPr>
          <w:p/>
        </w:tc>
        <w:tc>
          <w:tcPr>
            <w:tcW w:w="1327" w:type="dxa"/>
            <w:vAlign w:val="center"/>
          </w:tcPr>
          <w:p>
            <w:pPr>
              <w:pStyle w:val="10"/>
            </w:pPr>
            <w:r>
              <w:t>质量指标</w:t>
            </w:r>
          </w:p>
        </w:tc>
        <w:tc>
          <w:tcPr>
            <w:tcW w:w="1327" w:type="dxa"/>
            <w:vAlign w:val="center"/>
          </w:tcPr>
          <w:p>
            <w:pPr>
              <w:pStyle w:val="10"/>
              <w:rPr>
                <w:lang w:eastAsia="zh-CN"/>
              </w:rPr>
            </w:pPr>
            <w:r>
              <w:t>出水COD浓度</w:t>
            </w:r>
            <w:r>
              <w:rPr>
                <w:rFonts w:hint="eastAsia"/>
                <w:lang w:eastAsia="zh-CN"/>
              </w:rPr>
              <w:t>达标率</w:t>
            </w:r>
          </w:p>
        </w:tc>
        <w:tc>
          <w:tcPr>
            <w:tcW w:w="2654" w:type="dxa"/>
            <w:vAlign w:val="center"/>
          </w:tcPr>
          <w:p>
            <w:pPr>
              <w:pStyle w:val="10"/>
            </w:pPr>
            <w:r>
              <w:t>按出水设计标准</w:t>
            </w:r>
          </w:p>
        </w:tc>
        <w:tc>
          <w:tcPr>
            <w:tcW w:w="1327" w:type="dxa"/>
            <w:vAlign w:val="center"/>
          </w:tcPr>
          <w:p>
            <w:pPr>
              <w:pStyle w:val="10"/>
              <w:rPr>
                <w:lang w:eastAsia="zh-CN"/>
              </w:rPr>
            </w:pPr>
            <w:r>
              <w:rPr>
                <w:rFonts w:hint="eastAsia"/>
                <w:lang w:eastAsia="zh-CN"/>
              </w:rPr>
              <w:t>100%</w:t>
            </w:r>
          </w:p>
        </w:tc>
        <w:tc>
          <w:tcPr>
            <w:tcW w:w="1327"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7" w:type="dxa"/>
            <w:vMerge w:val="continue"/>
            <w:vAlign w:val="center"/>
          </w:tcPr>
          <w:p/>
        </w:tc>
        <w:tc>
          <w:tcPr>
            <w:tcW w:w="1327" w:type="dxa"/>
            <w:vAlign w:val="center"/>
          </w:tcPr>
          <w:p>
            <w:pPr>
              <w:pStyle w:val="10"/>
            </w:pPr>
            <w:r>
              <w:t>质量指标</w:t>
            </w:r>
          </w:p>
        </w:tc>
        <w:tc>
          <w:tcPr>
            <w:tcW w:w="1327" w:type="dxa"/>
            <w:vAlign w:val="center"/>
          </w:tcPr>
          <w:p>
            <w:pPr>
              <w:pStyle w:val="10"/>
            </w:pPr>
            <w:r>
              <w:t>污水处理设施完好率</w:t>
            </w:r>
          </w:p>
        </w:tc>
        <w:tc>
          <w:tcPr>
            <w:tcW w:w="2654" w:type="dxa"/>
            <w:vAlign w:val="center"/>
          </w:tcPr>
          <w:p>
            <w:pPr>
              <w:pStyle w:val="10"/>
            </w:pPr>
            <w:r>
              <w:t>污水处理设施完好</w:t>
            </w:r>
          </w:p>
        </w:tc>
        <w:tc>
          <w:tcPr>
            <w:tcW w:w="1327" w:type="dxa"/>
            <w:vAlign w:val="center"/>
          </w:tcPr>
          <w:p>
            <w:pPr>
              <w:pStyle w:val="10"/>
              <w:rPr>
                <w:lang w:eastAsia="zh-CN"/>
              </w:rPr>
            </w:pPr>
            <w:r>
              <w:t>≥98</w:t>
            </w:r>
            <w:r>
              <w:rPr>
                <w:rFonts w:hint="eastAsia"/>
                <w:lang w:eastAsia="zh-CN"/>
              </w:rPr>
              <w:t>%</w:t>
            </w:r>
          </w:p>
        </w:tc>
        <w:tc>
          <w:tcPr>
            <w:tcW w:w="1327"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7" w:type="dxa"/>
            <w:vMerge w:val="continue"/>
            <w:vAlign w:val="center"/>
          </w:tcPr>
          <w:p/>
        </w:tc>
        <w:tc>
          <w:tcPr>
            <w:tcW w:w="1327" w:type="dxa"/>
            <w:vAlign w:val="center"/>
          </w:tcPr>
          <w:p>
            <w:pPr>
              <w:pStyle w:val="10"/>
            </w:pPr>
            <w:r>
              <w:t>时效指标</w:t>
            </w:r>
          </w:p>
        </w:tc>
        <w:tc>
          <w:tcPr>
            <w:tcW w:w="1327" w:type="dxa"/>
            <w:vAlign w:val="center"/>
          </w:tcPr>
          <w:p>
            <w:pPr>
              <w:pStyle w:val="10"/>
              <w:rPr>
                <w:lang w:eastAsia="zh-CN"/>
              </w:rPr>
            </w:pPr>
            <w:r>
              <w:t>污水处理</w:t>
            </w:r>
            <w:r>
              <w:rPr>
                <w:rFonts w:hint="eastAsia"/>
                <w:lang w:eastAsia="zh-CN"/>
              </w:rPr>
              <w:t>故障修复及时率</w:t>
            </w:r>
          </w:p>
        </w:tc>
        <w:tc>
          <w:tcPr>
            <w:tcW w:w="2654" w:type="dxa"/>
            <w:vAlign w:val="center"/>
          </w:tcPr>
          <w:p>
            <w:pPr>
              <w:pStyle w:val="10"/>
            </w:pPr>
            <w:r>
              <w:t>污水处理</w:t>
            </w:r>
            <w:r>
              <w:rPr>
                <w:rFonts w:hint="eastAsia"/>
                <w:lang w:eastAsia="zh-CN"/>
              </w:rPr>
              <w:t>故障修复及时情况</w:t>
            </w:r>
          </w:p>
        </w:tc>
        <w:tc>
          <w:tcPr>
            <w:tcW w:w="1327" w:type="dxa"/>
            <w:vAlign w:val="center"/>
          </w:tcPr>
          <w:p>
            <w:pPr>
              <w:pStyle w:val="10"/>
              <w:rPr>
                <w:lang w:eastAsia="zh-CN"/>
              </w:rPr>
            </w:pPr>
            <w:r>
              <w:rPr>
                <w:rFonts w:hint="eastAsia"/>
                <w:lang w:eastAsia="zh-CN"/>
              </w:rPr>
              <w:t>100%</w:t>
            </w:r>
          </w:p>
        </w:tc>
        <w:tc>
          <w:tcPr>
            <w:tcW w:w="1327"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7" w:type="dxa"/>
            <w:vMerge w:val="restart"/>
            <w:vAlign w:val="center"/>
          </w:tcPr>
          <w:p>
            <w:pPr>
              <w:pStyle w:val="11"/>
            </w:pPr>
            <w:r>
              <w:t>效益指标</w:t>
            </w:r>
          </w:p>
        </w:tc>
        <w:tc>
          <w:tcPr>
            <w:tcW w:w="1327" w:type="dxa"/>
            <w:vAlign w:val="center"/>
          </w:tcPr>
          <w:p>
            <w:pPr>
              <w:pStyle w:val="10"/>
              <w:rPr>
                <w:strike/>
              </w:rPr>
            </w:pPr>
            <w:r>
              <w:rPr>
                <w:rFonts w:hint="eastAsia"/>
                <w:lang w:eastAsia="zh-CN"/>
              </w:rPr>
              <w:t>生态</w:t>
            </w:r>
            <w:r>
              <w:t>效益指标</w:t>
            </w:r>
          </w:p>
        </w:tc>
        <w:tc>
          <w:tcPr>
            <w:tcW w:w="1327" w:type="dxa"/>
            <w:vAlign w:val="center"/>
          </w:tcPr>
          <w:p>
            <w:pPr>
              <w:pStyle w:val="10"/>
              <w:rPr>
                <w:strike/>
              </w:rPr>
            </w:pPr>
            <w:r>
              <w:t>附近水域水质改善</w:t>
            </w:r>
          </w:p>
        </w:tc>
        <w:tc>
          <w:tcPr>
            <w:tcW w:w="2654" w:type="dxa"/>
            <w:vAlign w:val="center"/>
          </w:tcPr>
          <w:p>
            <w:pPr>
              <w:pStyle w:val="10"/>
              <w:rPr>
                <w:strike/>
              </w:rPr>
            </w:pPr>
            <w:r>
              <w:t>附近水域水质改善</w:t>
            </w:r>
          </w:p>
        </w:tc>
        <w:tc>
          <w:tcPr>
            <w:tcW w:w="1327" w:type="dxa"/>
            <w:vAlign w:val="center"/>
          </w:tcPr>
          <w:p>
            <w:pPr>
              <w:pStyle w:val="10"/>
              <w:rPr>
                <w:strike/>
                <w:lang w:eastAsia="zh-CN"/>
              </w:rPr>
            </w:pPr>
            <w:r>
              <w:rPr>
                <w:rFonts w:hint="eastAsia"/>
                <w:lang w:eastAsia="zh-CN"/>
              </w:rPr>
              <w:t>效果明显</w:t>
            </w:r>
          </w:p>
        </w:tc>
        <w:tc>
          <w:tcPr>
            <w:tcW w:w="1327" w:type="dxa"/>
            <w:vAlign w:val="center"/>
          </w:tcPr>
          <w:p>
            <w:pPr>
              <w:pStyle w:val="10"/>
              <w:rPr>
                <w:strike/>
              </w:rPr>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7" w:type="dxa"/>
            <w:vMerge w:val="continue"/>
            <w:vAlign w:val="center"/>
          </w:tcPr>
          <w:p/>
        </w:tc>
        <w:tc>
          <w:tcPr>
            <w:tcW w:w="1327" w:type="dxa"/>
            <w:vAlign w:val="center"/>
          </w:tcPr>
          <w:p>
            <w:pPr>
              <w:pStyle w:val="10"/>
            </w:pPr>
            <w:r>
              <w:t>生态效益指标</w:t>
            </w:r>
          </w:p>
        </w:tc>
        <w:tc>
          <w:tcPr>
            <w:tcW w:w="1327" w:type="dxa"/>
            <w:vAlign w:val="center"/>
          </w:tcPr>
          <w:p>
            <w:pPr>
              <w:pStyle w:val="10"/>
            </w:pPr>
            <w:r>
              <w:t>COD消减量、总磷、总氮去除量</w:t>
            </w:r>
          </w:p>
        </w:tc>
        <w:tc>
          <w:tcPr>
            <w:tcW w:w="2654" w:type="dxa"/>
            <w:vAlign w:val="center"/>
          </w:tcPr>
          <w:p>
            <w:pPr>
              <w:pStyle w:val="10"/>
            </w:pPr>
            <w:r>
              <w:t>COD消减量、总磷、总氮去除量</w:t>
            </w:r>
          </w:p>
        </w:tc>
        <w:tc>
          <w:tcPr>
            <w:tcW w:w="1327" w:type="dxa"/>
            <w:vAlign w:val="center"/>
          </w:tcPr>
          <w:p>
            <w:pPr>
              <w:pStyle w:val="10"/>
            </w:pPr>
            <w:r>
              <w:t>同比增长</w:t>
            </w:r>
          </w:p>
        </w:tc>
        <w:tc>
          <w:tcPr>
            <w:tcW w:w="1327"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7" w:type="dxa"/>
            <w:vMerge w:val="continue"/>
            <w:vAlign w:val="center"/>
          </w:tcPr>
          <w:p/>
        </w:tc>
        <w:tc>
          <w:tcPr>
            <w:tcW w:w="1327" w:type="dxa"/>
            <w:vAlign w:val="center"/>
          </w:tcPr>
          <w:p>
            <w:pPr>
              <w:pStyle w:val="10"/>
            </w:pPr>
            <w:r>
              <w:t>可持续影响指标</w:t>
            </w:r>
          </w:p>
        </w:tc>
        <w:tc>
          <w:tcPr>
            <w:tcW w:w="1327" w:type="dxa"/>
            <w:vAlign w:val="center"/>
          </w:tcPr>
          <w:p>
            <w:pPr>
              <w:pStyle w:val="10"/>
            </w:pPr>
            <w:r>
              <w:t>应急事件管理机制健全</w:t>
            </w:r>
          </w:p>
        </w:tc>
        <w:tc>
          <w:tcPr>
            <w:tcW w:w="2654" w:type="dxa"/>
            <w:vAlign w:val="center"/>
          </w:tcPr>
          <w:p>
            <w:pPr>
              <w:pStyle w:val="10"/>
            </w:pPr>
            <w:r>
              <w:t>应急事件管理机制健全</w:t>
            </w:r>
          </w:p>
        </w:tc>
        <w:tc>
          <w:tcPr>
            <w:tcW w:w="1327" w:type="dxa"/>
            <w:vAlign w:val="center"/>
          </w:tcPr>
          <w:p>
            <w:pPr>
              <w:pStyle w:val="10"/>
            </w:pPr>
            <w:r>
              <w:t>健全</w:t>
            </w:r>
          </w:p>
        </w:tc>
        <w:tc>
          <w:tcPr>
            <w:tcW w:w="1327"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7" w:type="dxa"/>
            <w:vAlign w:val="center"/>
          </w:tcPr>
          <w:p>
            <w:pPr>
              <w:pStyle w:val="11"/>
            </w:pPr>
            <w:r>
              <w:t>满意度指标</w:t>
            </w:r>
          </w:p>
        </w:tc>
        <w:tc>
          <w:tcPr>
            <w:tcW w:w="1327" w:type="dxa"/>
            <w:vAlign w:val="center"/>
          </w:tcPr>
          <w:p>
            <w:pPr>
              <w:pStyle w:val="10"/>
            </w:pPr>
            <w:r>
              <w:t>服务对象满意度指标</w:t>
            </w:r>
          </w:p>
        </w:tc>
        <w:tc>
          <w:tcPr>
            <w:tcW w:w="1327" w:type="dxa"/>
            <w:vAlign w:val="center"/>
          </w:tcPr>
          <w:p>
            <w:pPr>
              <w:pStyle w:val="10"/>
            </w:pPr>
            <w:r>
              <w:t>社会公众满意度</w:t>
            </w:r>
          </w:p>
        </w:tc>
        <w:tc>
          <w:tcPr>
            <w:tcW w:w="2654" w:type="dxa"/>
            <w:vAlign w:val="center"/>
          </w:tcPr>
          <w:p>
            <w:pPr>
              <w:pStyle w:val="10"/>
            </w:pPr>
            <w:r>
              <w:t>社会公众满意度</w:t>
            </w:r>
          </w:p>
        </w:tc>
        <w:tc>
          <w:tcPr>
            <w:tcW w:w="1327" w:type="dxa"/>
            <w:vAlign w:val="center"/>
          </w:tcPr>
          <w:p>
            <w:pPr>
              <w:pStyle w:val="10"/>
              <w:rPr>
                <w:lang w:eastAsia="zh-CN"/>
              </w:rPr>
            </w:pPr>
            <w:r>
              <w:t>≥90</w:t>
            </w:r>
            <w:r>
              <w:rPr>
                <w:rFonts w:hint="eastAsia"/>
                <w:lang w:eastAsia="zh-CN"/>
              </w:rPr>
              <w:t>%</w:t>
            </w:r>
          </w:p>
        </w:tc>
        <w:tc>
          <w:tcPr>
            <w:tcW w:w="1327" w:type="dxa"/>
            <w:vAlign w:val="center"/>
          </w:tcPr>
          <w:p>
            <w:pPr>
              <w:pStyle w:val="10"/>
            </w:pPr>
            <w:r>
              <w:t>其他标准</w:t>
            </w:r>
          </w:p>
        </w:tc>
      </w:tr>
    </w:tbl>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4.垃圾处理资金</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603001青岛市城市管理局本级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37020023P60000910010A</w:t>
            </w:r>
          </w:p>
        </w:tc>
        <w:tc>
          <w:tcPr>
            <w:tcW w:w="1587" w:type="dxa"/>
            <w:vAlign w:val="center"/>
          </w:tcPr>
          <w:p>
            <w:pPr>
              <w:pStyle w:val="9"/>
            </w:pPr>
            <w:r>
              <w:t>项目名称</w:t>
            </w:r>
          </w:p>
        </w:tc>
        <w:tc>
          <w:tcPr>
            <w:tcW w:w="4422" w:type="dxa"/>
            <w:gridSpan w:val="3"/>
            <w:vAlign w:val="center"/>
          </w:tcPr>
          <w:p>
            <w:pPr>
              <w:pStyle w:val="10"/>
            </w:pPr>
            <w:r>
              <w:t>餐厨垃圾处理费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1041.00</w:t>
            </w:r>
          </w:p>
        </w:tc>
        <w:tc>
          <w:tcPr>
            <w:tcW w:w="1587" w:type="dxa"/>
            <w:vAlign w:val="center"/>
          </w:tcPr>
          <w:p>
            <w:pPr>
              <w:pStyle w:val="9"/>
            </w:pPr>
            <w:r>
              <w:t>其中：财政    资金</w:t>
            </w:r>
          </w:p>
        </w:tc>
        <w:tc>
          <w:tcPr>
            <w:tcW w:w="1304" w:type="dxa"/>
            <w:vAlign w:val="center"/>
          </w:tcPr>
          <w:p>
            <w:pPr>
              <w:pStyle w:val="10"/>
            </w:pPr>
            <w:r>
              <w:t>1041.00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餐厨垃圾处理费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1041.00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实施餐厨垃圾集中处理，处理达标率100%，打造良好城市环境卫生面貌。</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餐厨垃圾处理费</w:t>
            </w:r>
            <w:r>
              <w:rPr>
                <w:rFonts w:hint="eastAsia"/>
                <w:lang w:eastAsia="zh-CN"/>
              </w:rPr>
              <w:t>成本控制</w:t>
            </w:r>
          </w:p>
        </w:tc>
        <w:tc>
          <w:tcPr>
            <w:tcW w:w="2891" w:type="dxa"/>
            <w:vAlign w:val="center"/>
          </w:tcPr>
          <w:p>
            <w:pPr>
              <w:pStyle w:val="10"/>
            </w:pPr>
            <w:r>
              <w:t>餐厨垃圾处理费</w:t>
            </w:r>
            <w:r>
              <w:rPr>
                <w:rFonts w:hint="eastAsia"/>
                <w:lang w:eastAsia="zh-CN"/>
              </w:rPr>
              <w:t>成本控制</w:t>
            </w:r>
          </w:p>
        </w:tc>
        <w:tc>
          <w:tcPr>
            <w:tcW w:w="1276" w:type="dxa"/>
            <w:vAlign w:val="center"/>
          </w:tcPr>
          <w:p>
            <w:pPr>
              <w:pStyle w:val="10"/>
            </w:pPr>
            <w:r>
              <w:t>≤1041万元</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餐厨垃圾日处理量</w:t>
            </w:r>
          </w:p>
        </w:tc>
        <w:tc>
          <w:tcPr>
            <w:tcW w:w="2891" w:type="dxa"/>
            <w:vAlign w:val="center"/>
          </w:tcPr>
          <w:p>
            <w:pPr>
              <w:pStyle w:val="10"/>
            </w:pPr>
            <w:r>
              <w:t>考察餐厨垃圾日处理量</w:t>
            </w:r>
          </w:p>
        </w:tc>
        <w:tc>
          <w:tcPr>
            <w:tcW w:w="1276" w:type="dxa"/>
            <w:vAlign w:val="center"/>
          </w:tcPr>
          <w:p>
            <w:pPr>
              <w:pStyle w:val="10"/>
            </w:pPr>
            <w:r>
              <w:t>≥300吨</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餐厨垃圾处理量</w:t>
            </w:r>
          </w:p>
          <w:p>
            <w:pPr>
              <w:pStyle w:val="10"/>
            </w:pPr>
          </w:p>
        </w:tc>
        <w:tc>
          <w:tcPr>
            <w:tcW w:w="2891" w:type="dxa"/>
            <w:vAlign w:val="center"/>
          </w:tcPr>
          <w:p>
            <w:pPr>
              <w:pStyle w:val="10"/>
            </w:pPr>
            <w:r>
              <w:t>考察餐厨垃圾处理量</w:t>
            </w:r>
          </w:p>
        </w:tc>
        <w:tc>
          <w:tcPr>
            <w:tcW w:w="1276" w:type="dxa"/>
            <w:vAlign w:val="center"/>
          </w:tcPr>
          <w:p>
            <w:pPr>
              <w:pStyle w:val="10"/>
            </w:pPr>
            <w:r>
              <w:t>≥10.95万吨</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产出废油脂合格率</w:t>
            </w:r>
          </w:p>
        </w:tc>
        <w:tc>
          <w:tcPr>
            <w:tcW w:w="2891" w:type="dxa"/>
            <w:vAlign w:val="center"/>
          </w:tcPr>
          <w:p>
            <w:pPr>
              <w:pStyle w:val="10"/>
            </w:pPr>
            <w:r>
              <w:t>产出废油脂合格情况</w:t>
            </w:r>
          </w:p>
        </w:tc>
        <w:tc>
          <w:tcPr>
            <w:tcW w:w="1276" w:type="dxa"/>
            <w:vAlign w:val="center"/>
          </w:tcPr>
          <w:p>
            <w:pPr>
              <w:pStyle w:val="10"/>
            </w:pPr>
            <w:r>
              <w:t>≥100%</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餐厨垃圾处理质量达标率</w:t>
            </w:r>
          </w:p>
        </w:tc>
        <w:tc>
          <w:tcPr>
            <w:tcW w:w="2891" w:type="dxa"/>
            <w:vAlign w:val="center"/>
          </w:tcPr>
          <w:p>
            <w:pPr>
              <w:pStyle w:val="10"/>
            </w:pPr>
            <w:r>
              <w:t>餐厨垃圾处理质量达标情况</w:t>
            </w:r>
          </w:p>
        </w:tc>
        <w:tc>
          <w:tcPr>
            <w:tcW w:w="1276" w:type="dxa"/>
            <w:vAlign w:val="center"/>
          </w:tcPr>
          <w:p>
            <w:pPr>
              <w:pStyle w:val="10"/>
            </w:pPr>
            <w:r>
              <w:t>100%</w:t>
            </w:r>
          </w:p>
        </w:tc>
        <w:tc>
          <w:tcPr>
            <w:tcW w:w="1843"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按时间进度完成任务</w:t>
            </w:r>
          </w:p>
        </w:tc>
        <w:tc>
          <w:tcPr>
            <w:tcW w:w="2891" w:type="dxa"/>
            <w:vAlign w:val="center"/>
          </w:tcPr>
          <w:p>
            <w:pPr>
              <w:pStyle w:val="10"/>
            </w:pPr>
            <w:r>
              <w:t>按时间进度完成任务</w:t>
            </w:r>
          </w:p>
        </w:tc>
        <w:tc>
          <w:tcPr>
            <w:tcW w:w="1276" w:type="dxa"/>
            <w:vAlign w:val="center"/>
          </w:tcPr>
          <w:p>
            <w:pPr>
              <w:pStyle w:val="10"/>
            </w:pPr>
            <w:r>
              <w:t>2023年11月</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改善居民生活环境</w:t>
            </w:r>
          </w:p>
        </w:tc>
        <w:tc>
          <w:tcPr>
            <w:tcW w:w="2891" w:type="dxa"/>
            <w:vAlign w:val="center"/>
          </w:tcPr>
          <w:p>
            <w:pPr>
              <w:pStyle w:val="10"/>
            </w:pPr>
            <w:r>
              <w:t>改善居民生活环境</w:t>
            </w:r>
          </w:p>
        </w:tc>
        <w:tc>
          <w:tcPr>
            <w:tcW w:w="1276" w:type="dxa"/>
            <w:vAlign w:val="center"/>
          </w:tcPr>
          <w:p>
            <w:pPr>
              <w:pStyle w:val="10"/>
            </w:pPr>
            <w:r>
              <w:t>效果明显</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污染物排放达标率</w:t>
            </w:r>
          </w:p>
        </w:tc>
        <w:tc>
          <w:tcPr>
            <w:tcW w:w="2891" w:type="dxa"/>
            <w:vAlign w:val="center"/>
          </w:tcPr>
          <w:p>
            <w:pPr>
              <w:pStyle w:val="10"/>
            </w:pPr>
            <w:r>
              <w:t>考察项目污染物排放达标情况</w:t>
            </w:r>
          </w:p>
        </w:tc>
        <w:tc>
          <w:tcPr>
            <w:tcW w:w="1276" w:type="dxa"/>
            <w:vAlign w:val="center"/>
          </w:tcPr>
          <w:p>
            <w:pPr>
              <w:pStyle w:val="10"/>
            </w:pPr>
            <w:r>
              <w:t>100%</w:t>
            </w:r>
          </w:p>
        </w:tc>
        <w:tc>
          <w:tcPr>
            <w:tcW w:w="1843"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考察服务对象满意度情况</w:t>
            </w:r>
          </w:p>
        </w:tc>
        <w:tc>
          <w:tcPr>
            <w:tcW w:w="1276" w:type="dxa"/>
            <w:vAlign w:val="center"/>
          </w:tcPr>
          <w:p>
            <w:pPr>
              <w:pStyle w:val="10"/>
            </w:pPr>
            <w:r>
              <w:t>≥95%</w:t>
            </w:r>
          </w:p>
        </w:tc>
        <w:tc>
          <w:tcPr>
            <w:tcW w:w="1843" w:type="dxa"/>
            <w:vAlign w:val="center"/>
          </w:tcPr>
          <w:p>
            <w:pPr>
              <w:pStyle w:val="10"/>
            </w:pPr>
            <w:r>
              <w:t>其他标准</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603001青岛市城市管理局本级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37020023P60000910011X</w:t>
            </w:r>
          </w:p>
        </w:tc>
        <w:tc>
          <w:tcPr>
            <w:tcW w:w="1587" w:type="dxa"/>
            <w:vAlign w:val="center"/>
          </w:tcPr>
          <w:p>
            <w:pPr>
              <w:pStyle w:val="9"/>
            </w:pPr>
            <w:r>
              <w:t>项目名称</w:t>
            </w:r>
          </w:p>
        </w:tc>
        <w:tc>
          <w:tcPr>
            <w:tcW w:w="4422" w:type="dxa"/>
            <w:gridSpan w:val="3"/>
            <w:vAlign w:val="center"/>
          </w:tcPr>
          <w:p>
            <w:pPr>
              <w:pStyle w:val="10"/>
            </w:pPr>
            <w:r>
              <w:t>垃圾焚烧一期运行经费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2238.00</w:t>
            </w:r>
          </w:p>
        </w:tc>
        <w:tc>
          <w:tcPr>
            <w:tcW w:w="1587" w:type="dxa"/>
            <w:vAlign w:val="center"/>
          </w:tcPr>
          <w:p>
            <w:pPr>
              <w:pStyle w:val="9"/>
            </w:pPr>
            <w:r>
              <w:t>其中：财政    资金</w:t>
            </w:r>
          </w:p>
        </w:tc>
        <w:tc>
          <w:tcPr>
            <w:tcW w:w="1304" w:type="dxa"/>
            <w:vAlign w:val="center"/>
          </w:tcPr>
          <w:p>
            <w:pPr>
              <w:pStyle w:val="10"/>
            </w:pPr>
            <w:r>
              <w:t>2238.00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用于垃圾焚烧一期运行经费支出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2238.00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实施生活垃圾焚烧处置，垃圾焚烧达标率100%，全面提高我市垃圾处置能力，打造良好城市环境卫生面貌。</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垃圾焚烧处理服务费</w:t>
            </w:r>
            <w:r>
              <w:rPr>
                <w:rFonts w:hint="eastAsia"/>
                <w:lang w:eastAsia="zh-CN"/>
              </w:rPr>
              <w:t>成本控制数</w:t>
            </w:r>
          </w:p>
        </w:tc>
        <w:tc>
          <w:tcPr>
            <w:tcW w:w="2891" w:type="dxa"/>
            <w:vAlign w:val="center"/>
          </w:tcPr>
          <w:p>
            <w:pPr>
              <w:pStyle w:val="10"/>
            </w:pPr>
            <w:r>
              <w:t>垃圾焚烧处理服务费</w:t>
            </w:r>
            <w:r>
              <w:rPr>
                <w:rFonts w:hint="eastAsia"/>
                <w:lang w:eastAsia="zh-CN"/>
              </w:rPr>
              <w:t>成本控制数</w:t>
            </w:r>
          </w:p>
        </w:tc>
        <w:tc>
          <w:tcPr>
            <w:tcW w:w="1276" w:type="dxa"/>
            <w:vAlign w:val="center"/>
          </w:tcPr>
          <w:p>
            <w:pPr>
              <w:pStyle w:val="10"/>
            </w:pPr>
            <w:r>
              <w:t>≤2238万元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时效指标</w:t>
            </w:r>
          </w:p>
        </w:tc>
        <w:tc>
          <w:tcPr>
            <w:tcW w:w="1332" w:type="dxa"/>
            <w:vAlign w:val="center"/>
          </w:tcPr>
          <w:p>
            <w:pPr>
              <w:pStyle w:val="10"/>
            </w:pPr>
            <w:r>
              <w:t>项目年度完成天数</w:t>
            </w:r>
          </w:p>
        </w:tc>
        <w:tc>
          <w:tcPr>
            <w:tcW w:w="2891" w:type="dxa"/>
            <w:vAlign w:val="center"/>
          </w:tcPr>
          <w:p>
            <w:pPr>
              <w:pStyle w:val="10"/>
            </w:pPr>
            <w:r>
              <w:t>年度焚烧处理垃圾天数</w:t>
            </w:r>
          </w:p>
        </w:tc>
        <w:tc>
          <w:tcPr>
            <w:tcW w:w="1276" w:type="dxa"/>
            <w:vAlign w:val="center"/>
          </w:tcPr>
          <w:p>
            <w:pPr>
              <w:pStyle w:val="10"/>
            </w:pPr>
            <w:r>
              <w:t>≥330天</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垃圾焚烧日处理量</w:t>
            </w:r>
          </w:p>
        </w:tc>
        <w:tc>
          <w:tcPr>
            <w:tcW w:w="2891" w:type="dxa"/>
            <w:vAlign w:val="center"/>
          </w:tcPr>
          <w:p>
            <w:pPr>
              <w:pStyle w:val="10"/>
            </w:pPr>
            <w:r>
              <w:t>考察垃圾焚烧日处理完成情况</w:t>
            </w:r>
          </w:p>
        </w:tc>
        <w:tc>
          <w:tcPr>
            <w:tcW w:w="1276" w:type="dxa"/>
            <w:vAlign w:val="center"/>
          </w:tcPr>
          <w:p>
            <w:pPr>
              <w:pStyle w:val="10"/>
            </w:pPr>
            <w:r>
              <w:t>≥1500吨</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协议内垃圾焚烧处理量</w:t>
            </w:r>
          </w:p>
        </w:tc>
        <w:tc>
          <w:tcPr>
            <w:tcW w:w="2891" w:type="dxa"/>
            <w:vAlign w:val="center"/>
          </w:tcPr>
          <w:p>
            <w:pPr>
              <w:pStyle w:val="10"/>
            </w:pPr>
            <w:r>
              <w:t>考察协议内垃圾焚烧处理量</w:t>
            </w:r>
          </w:p>
        </w:tc>
        <w:tc>
          <w:tcPr>
            <w:tcW w:w="1276" w:type="dxa"/>
            <w:vAlign w:val="center"/>
          </w:tcPr>
          <w:p>
            <w:pPr>
              <w:pStyle w:val="10"/>
            </w:pPr>
            <w:r>
              <w:t>≥56.1万吨</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垃圾焚烧烟气排放达标率</w:t>
            </w:r>
          </w:p>
        </w:tc>
        <w:tc>
          <w:tcPr>
            <w:tcW w:w="2891" w:type="dxa"/>
            <w:vAlign w:val="center"/>
          </w:tcPr>
          <w:p>
            <w:pPr>
              <w:pStyle w:val="10"/>
            </w:pPr>
            <w:r>
              <w:t>考察垃圾焚烧烟气排放符合要求情况</w:t>
            </w:r>
          </w:p>
        </w:tc>
        <w:tc>
          <w:tcPr>
            <w:tcW w:w="1276" w:type="dxa"/>
            <w:vAlign w:val="center"/>
          </w:tcPr>
          <w:p>
            <w:pPr>
              <w:pStyle w:val="10"/>
            </w:pPr>
            <w:r>
              <w:t>100%</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垃圾焚烧炉渣达标率</w:t>
            </w:r>
          </w:p>
        </w:tc>
        <w:tc>
          <w:tcPr>
            <w:tcW w:w="2891" w:type="dxa"/>
            <w:vAlign w:val="center"/>
          </w:tcPr>
          <w:p>
            <w:pPr>
              <w:pStyle w:val="10"/>
            </w:pPr>
            <w:r>
              <w:t>考察垃圾焚烧炉渣符合要求情况</w:t>
            </w:r>
          </w:p>
        </w:tc>
        <w:tc>
          <w:tcPr>
            <w:tcW w:w="1276" w:type="dxa"/>
            <w:vAlign w:val="center"/>
          </w:tcPr>
          <w:p>
            <w:pPr>
              <w:pStyle w:val="10"/>
            </w:pPr>
            <w:r>
              <w:t>100%</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项目垃圾处置能力提升</w:t>
            </w:r>
          </w:p>
        </w:tc>
        <w:tc>
          <w:tcPr>
            <w:tcW w:w="2891" w:type="dxa"/>
            <w:vAlign w:val="center"/>
          </w:tcPr>
          <w:p>
            <w:pPr>
              <w:pStyle w:val="10"/>
            </w:pPr>
            <w:r>
              <w:t>项目垃圾处置能力情况</w:t>
            </w:r>
          </w:p>
        </w:tc>
        <w:tc>
          <w:tcPr>
            <w:tcW w:w="1276" w:type="dxa"/>
            <w:vAlign w:val="center"/>
          </w:tcPr>
          <w:p>
            <w:pPr>
              <w:pStyle w:val="10"/>
            </w:pPr>
            <w:r>
              <w:t>提升</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污染物排放达标率</w:t>
            </w:r>
          </w:p>
        </w:tc>
        <w:tc>
          <w:tcPr>
            <w:tcW w:w="2891" w:type="dxa"/>
            <w:vAlign w:val="center"/>
          </w:tcPr>
          <w:p>
            <w:pPr>
              <w:pStyle w:val="10"/>
            </w:pPr>
            <w:r>
              <w:t>考察项目污染物排放达标情况</w:t>
            </w:r>
          </w:p>
        </w:tc>
        <w:tc>
          <w:tcPr>
            <w:tcW w:w="1276" w:type="dxa"/>
            <w:vAlign w:val="center"/>
          </w:tcPr>
          <w:p>
            <w:pPr>
              <w:pStyle w:val="10"/>
            </w:pPr>
            <w:r>
              <w:t>100%</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考察服务对象满意情况</w:t>
            </w:r>
          </w:p>
        </w:tc>
        <w:tc>
          <w:tcPr>
            <w:tcW w:w="1276" w:type="dxa"/>
            <w:vAlign w:val="center"/>
          </w:tcPr>
          <w:p>
            <w:pPr>
              <w:pStyle w:val="10"/>
            </w:pPr>
            <w:r>
              <w:t>≥95%</w:t>
            </w:r>
          </w:p>
        </w:tc>
        <w:tc>
          <w:tcPr>
            <w:tcW w:w="1843" w:type="dxa"/>
            <w:vAlign w:val="center"/>
          </w:tcPr>
          <w:p>
            <w:pPr>
              <w:pStyle w:val="10"/>
            </w:pPr>
            <w:r>
              <w:t>其他标准</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603001青岛市城市管理局本级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37020023P60000910012H</w:t>
            </w:r>
          </w:p>
        </w:tc>
        <w:tc>
          <w:tcPr>
            <w:tcW w:w="1587" w:type="dxa"/>
            <w:vAlign w:val="center"/>
          </w:tcPr>
          <w:p>
            <w:pPr>
              <w:pStyle w:val="9"/>
            </w:pPr>
            <w:r>
              <w:t>项目名称</w:t>
            </w:r>
          </w:p>
        </w:tc>
        <w:tc>
          <w:tcPr>
            <w:tcW w:w="4422" w:type="dxa"/>
            <w:gridSpan w:val="3"/>
            <w:vAlign w:val="center"/>
          </w:tcPr>
          <w:p>
            <w:pPr>
              <w:pStyle w:val="10"/>
            </w:pPr>
            <w:r>
              <w:t>垃圾焚烧二期运行经费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1810.00</w:t>
            </w:r>
          </w:p>
        </w:tc>
        <w:tc>
          <w:tcPr>
            <w:tcW w:w="1587" w:type="dxa"/>
            <w:vAlign w:val="center"/>
          </w:tcPr>
          <w:p>
            <w:pPr>
              <w:pStyle w:val="9"/>
            </w:pPr>
            <w:r>
              <w:t>其中：财政    资金</w:t>
            </w:r>
          </w:p>
        </w:tc>
        <w:tc>
          <w:tcPr>
            <w:tcW w:w="1304" w:type="dxa"/>
            <w:vAlign w:val="center"/>
          </w:tcPr>
          <w:p>
            <w:pPr>
              <w:pStyle w:val="10"/>
            </w:pPr>
            <w:r>
              <w:t>1810.00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垃圾焚烧二期运行经费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1810.00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实施生活垃圾焚烧处置，垃圾焚烧达标率100%，全面提高我市垃圾处置能力，打造良好城市环境卫生面貌。</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rPr>
                <w:rFonts w:asciiTheme="minorHAnsi" w:hAnsiTheme="minorHAnsi"/>
                <w:lang w:val="uk-UA"/>
              </w:rPr>
            </w:pPr>
            <w:r>
              <w:t>垃圾焚烧处理费</w:t>
            </w:r>
            <w:r>
              <w:rPr>
                <w:rFonts w:hint="eastAsia"/>
                <w:lang w:eastAsia="zh-CN"/>
              </w:rPr>
              <w:t>成本控制数</w:t>
            </w:r>
          </w:p>
        </w:tc>
        <w:tc>
          <w:tcPr>
            <w:tcW w:w="2891" w:type="dxa"/>
            <w:vAlign w:val="center"/>
          </w:tcPr>
          <w:p>
            <w:pPr>
              <w:pStyle w:val="10"/>
            </w:pPr>
            <w:r>
              <w:t>垃圾焚烧处理费</w:t>
            </w:r>
            <w:r>
              <w:rPr>
                <w:rFonts w:hint="eastAsia"/>
                <w:lang w:eastAsia="zh-CN"/>
              </w:rPr>
              <w:t>成本控制数</w:t>
            </w:r>
          </w:p>
        </w:tc>
        <w:tc>
          <w:tcPr>
            <w:tcW w:w="1276" w:type="dxa"/>
            <w:vAlign w:val="center"/>
          </w:tcPr>
          <w:p>
            <w:pPr>
              <w:pStyle w:val="10"/>
            </w:pPr>
            <w:r>
              <w:t>≤1810万元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时效指标</w:t>
            </w:r>
          </w:p>
        </w:tc>
        <w:tc>
          <w:tcPr>
            <w:tcW w:w="1332" w:type="dxa"/>
            <w:vAlign w:val="center"/>
          </w:tcPr>
          <w:p>
            <w:pPr>
              <w:pStyle w:val="10"/>
            </w:pPr>
            <w:r>
              <w:t>项目年度完成天数</w:t>
            </w:r>
          </w:p>
        </w:tc>
        <w:tc>
          <w:tcPr>
            <w:tcW w:w="2891" w:type="dxa"/>
            <w:vAlign w:val="center"/>
          </w:tcPr>
          <w:p>
            <w:pPr>
              <w:pStyle w:val="10"/>
            </w:pPr>
            <w:r>
              <w:t>年度焚烧处理垃圾天数</w:t>
            </w:r>
          </w:p>
        </w:tc>
        <w:tc>
          <w:tcPr>
            <w:tcW w:w="1276" w:type="dxa"/>
            <w:vAlign w:val="center"/>
          </w:tcPr>
          <w:p>
            <w:pPr>
              <w:pStyle w:val="10"/>
            </w:pPr>
            <w:r>
              <w:t>≥330天</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垃圾焚烧日处理量</w:t>
            </w:r>
          </w:p>
        </w:tc>
        <w:tc>
          <w:tcPr>
            <w:tcW w:w="2891" w:type="dxa"/>
            <w:vAlign w:val="center"/>
          </w:tcPr>
          <w:p>
            <w:pPr>
              <w:pStyle w:val="10"/>
            </w:pPr>
            <w:r>
              <w:t>考察垃圾焚烧厂垃圾焚烧量完成情况</w:t>
            </w:r>
          </w:p>
        </w:tc>
        <w:tc>
          <w:tcPr>
            <w:tcW w:w="1276" w:type="dxa"/>
            <w:vAlign w:val="center"/>
          </w:tcPr>
          <w:p>
            <w:pPr>
              <w:pStyle w:val="10"/>
            </w:pPr>
            <w:r>
              <w:t>≥550吨</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垃圾焚烧处理量</w:t>
            </w:r>
          </w:p>
        </w:tc>
        <w:tc>
          <w:tcPr>
            <w:tcW w:w="2891" w:type="dxa"/>
            <w:vAlign w:val="center"/>
          </w:tcPr>
          <w:p>
            <w:pPr>
              <w:pStyle w:val="10"/>
            </w:pPr>
            <w:r>
              <w:t>考察垃圾焚烧厂垃圾焚烧量完成情况</w:t>
            </w:r>
          </w:p>
        </w:tc>
        <w:tc>
          <w:tcPr>
            <w:tcW w:w="1276" w:type="dxa"/>
            <w:vAlign w:val="center"/>
          </w:tcPr>
          <w:p>
            <w:pPr>
              <w:pStyle w:val="10"/>
            </w:pPr>
            <w:r>
              <w:t>≥20万吨</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垃圾处理烟气排放达标率</w:t>
            </w:r>
          </w:p>
        </w:tc>
        <w:tc>
          <w:tcPr>
            <w:tcW w:w="2891" w:type="dxa"/>
            <w:vAlign w:val="center"/>
          </w:tcPr>
          <w:p>
            <w:pPr>
              <w:pStyle w:val="10"/>
            </w:pPr>
            <w:r>
              <w:t>考察垃圾处理烟气排放达标情况</w:t>
            </w:r>
          </w:p>
        </w:tc>
        <w:tc>
          <w:tcPr>
            <w:tcW w:w="1276" w:type="dxa"/>
            <w:vAlign w:val="center"/>
          </w:tcPr>
          <w:p>
            <w:pPr>
              <w:pStyle w:val="10"/>
            </w:pPr>
            <w:r>
              <w:t>100%</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垃圾处理炉渣达标率</w:t>
            </w:r>
          </w:p>
        </w:tc>
        <w:tc>
          <w:tcPr>
            <w:tcW w:w="2891" w:type="dxa"/>
            <w:vAlign w:val="center"/>
          </w:tcPr>
          <w:p>
            <w:pPr>
              <w:pStyle w:val="10"/>
            </w:pPr>
            <w:r>
              <w:t>考察垃圾处理炉渣达标情况</w:t>
            </w:r>
          </w:p>
        </w:tc>
        <w:tc>
          <w:tcPr>
            <w:tcW w:w="1276" w:type="dxa"/>
            <w:vAlign w:val="center"/>
          </w:tcPr>
          <w:p>
            <w:pPr>
              <w:pStyle w:val="10"/>
            </w:pPr>
            <w:r>
              <w:t>100%</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垃圾处置能力提升</w:t>
            </w:r>
          </w:p>
        </w:tc>
        <w:tc>
          <w:tcPr>
            <w:tcW w:w="2891" w:type="dxa"/>
            <w:vAlign w:val="center"/>
          </w:tcPr>
          <w:p>
            <w:pPr>
              <w:pStyle w:val="10"/>
              <w:rPr>
                <w:rFonts w:asciiTheme="minorHAnsi" w:hAnsiTheme="minorHAnsi"/>
                <w:lang w:val="uk-UA"/>
              </w:rPr>
            </w:pPr>
            <w:r>
              <w:t>垃圾处置能力</w:t>
            </w:r>
          </w:p>
        </w:tc>
        <w:tc>
          <w:tcPr>
            <w:tcW w:w="1276" w:type="dxa"/>
            <w:vAlign w:val="center"/>
          </w:tcPr>
          <w:p>
            <w:pPr>
              <w:pStyle w:val="10"/>
            </w:pPr>
            <w:r>
              <w:t>提升</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考察项目服务对象满意情况</w:t>
            </w:r>
          </w:p>
        </w:tc>
        <w:tc>
          <w:tcPr>
            <w:tcW w:w="1276" w:type="dxa"/>
            <w:vAlign w:val="center"/>
          </w:tcPr>
          <w:p>
            <w:pPr>
              <w:pStyle w:val="10"/>
            </w:pPr>
            <w:r>
              <w:t>≥95%</w:t>
            </w:r>
          </w:p>
        </w:tc>
        <w:tc>
          <w:tcPr>
            <w:tcW w:w="1843" w:type="dxa"/>
            <w:vAlign w:val="center"/>
          </w:tcPr>
          <w:p>
            <w:pPr>
              <w:pStyle w:val="10"/>
            </w:pPr>
            <w:r>
              <w:t>其他标准</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603001青岛市城市管理局本级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37020023P600009100135</w:t>
            </w:r>
          </w:p>
        </w:tc>
        <w:tc>
          <w:tcPr>
            <w:tcW w:w="1587" w:type="dxa"/>
            <w:vAlign w:val="center"/>
          </w:tcPr>
          <w:p>
            <w:pPr>
              <w:pStyle w:val="9"/>
            </w:pPr>
            <w:r>
              <w:t>项目名称</w:t>
            </w:r>
          </w:p>
        </w:tc>
        <w:tc>
          <w:tcPr>
            <w:tcW w:w="4422" w:type="dxa"/>
            <w:gridSpan w:val="3"/>
            <w:vAlign w:val="center"/>
          </w:tcPr>
          <w:p>
            <w:pPr>
              <w:pStyle w:val="10"/>
            </w:pPr>
            <w:r>
              <w:t>渗滤液一期运行经费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2853.00</w:t>
            </w:r>
          </w:p>
        </w:tc>
        <w:tc>
          <w:tcPr>
            <w:tcW w:w="1587" w:type="dxa"/>
            <w:vAlign w:val="center"/>
          </w:tcPr>
          <w:p>
            <w:pPr>
              <w:pStyle w:val="9"/>
            </w:pPr>
            <w:r>
              <w:t>其中：财政    资金</w:t>
            </w:r>
          </w:p>
        </w:tc>
        <w:tc>
          <w:tcPr>
            <w:tcW w:w="1304" w:type="dxa"/>
            <w:vAlign w:val="center"/>
          </w:tcPr>
          <w:p>
            <w:pPr>
              <w:pStyle w:val="10"/>
            </w:pPr>
            <w:r>
              <w:t>2853.00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用于渗滤液一期运行经费支出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2853.00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集中处理渗滤液和浓缩液，出水达到《山东省半岛流域水污染综合排放标准》（DB37/676-2007）一级标准，同时满足《生活垃圾填埋污染控制标准》（GB16889-2008）一般地区水污染控制要求。</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渗沥液处理费</w:t>
            </w:r>
            <w:r>
              <w:rPr>
                <w:rFonts w:hint="eastAsia"/>
                <w:lang w:eastAsia="zh-CN"/>
              </w:rPr>
              <w:t>成本控制数</w:t>
            </w:r>
          </w:p>
        </w:tc>
        <w:tc>
          <w:tcPr>
            <w:tcW w:w="2891" w:type="dxa"/>
            <w:vAlign w:val="center"/>
          </w:tcPr>
          <w:p>
            <w:pPr>
              <w:pStyle w:val="10"/>
            </w:pPr>
            <w:r>
              <w:t>渗沥液处理费</w:t>
            </w:r>
            <w:r>
              <w:rPr>
                <w:rFonts w:hint="eastAsia"/>
                <w:lang w:eastAsia="zh-CN"/>
              </w:rPr>
              <w:t>成本控制数</w:t>
            </w:r>
          </w:p>
        </w:tc>
        <w:tc>
          <w:tcPr>
            <w:tcW w:w="1276" w:type="dxa"/>
            <w:vAlign w:val="center"/>
          </w:tcPr>
          <w:p>
            <w:pPr>
              <w:pStyle w:val="10"/>
            </w:pPr>
            <w:r>
              <w:t>≤2853万元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时效指标</w:t>
            </w:r>
          </w:p>
        </w:tc>
        <w:tc>
          <w:tcPr>
            <w:tcW w:w="1332" w:type="dxa"/>
            <w:vAlign w:val="center"/>
          </w:tcPr>
          <w:p>
            <w:pPr>
              <w:pStyle w:val="10"/>
            </w:pPr>
            <w:r>
              <w:t>项目年度完成天数</w:t>
            </w:r>
          </w:p>
        </w:tc>
        <w:tc>
          <w:tcPr>
            <w:tcW w:w="2891" w:type="dxa"/>
            <w:vAlign w:val="center"/>
          </w:tcPr>
          <w:p>
            <w:pPr>
              <w:pStyle w:val="10"/>
            </w:pPr>
            <w:r>
              <w:t>年度渗沥液处理天数</w:t>
            </w:r>
          </w:p>
        </w:tc>
        <w:tc>
          <w:tcPr>
            <w:tcW w:w="1276" w:type="dxa"/>
            <w:vAlign w:val="center"/>
          </w:tcPr>
          <w:p>
            <w:pPr>
              <w:pStyle w:val="10"/>
            </w:pPr>
            <w:r>
              <w:t>≥330天</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渗滤液处理量</w:t>
            </w:r>
          </w:p>
        </w:tc>
        <w:tc>
          <w:tcPr>
            <w:tcW w:w="2891" w:type="dxa"/>
            <w:vAlign w:val="center"/>
          </w:tcPr>
          <w:p>
            <w:pPr>
              <w:pStyle w:val="10"/>
            </w:pPr>
            <w:r>
              <w:t>渗滤液处理量</w:t>
            </w:r>
          </w:p>
        </w:tc>
        <w:tc>
          <w:tcPr>
            <w:tcW w:w="1276" w:type="dxa"/>
            <w:vAlign w:val="center"/>
          </w:tcPr>
          <w:p>
            <w:pPr>
              <w:pStyle w:val="10"/>
            </w:pPr>
            <w:r>
              <w:t>≥24.82万吨</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渗滤液日处理量</w:t>
            </w:r>
          </w:p>
        </w:tc>
        <w:tc>
          <w:tcPr>
            <w:tcW w:w="2891" w:type="dxa"/>
            <w:vAlign w:val="center"/>
          </w:tcPr>
          <w:p>
            <w:pPr>
              <w:pStyle w:val="10"/>
            </w:pPr>
            <w:r>
              <w:t>渗滤液日处理量</w:t>
            </w:r>
          </w:p>
        </w:tc>
        <w:tc>
          <w:tcPr>
            <w:tcW w:w="1276" w:type="dxa"/>
            <w:vAlign w:val="center"/>
          </w:tcPr>
          <w:p>
            <w:pPr>
              <w:pStyle w:val="10"/>
            </w:pPr>
            <w:r>
              <w:t>≥680吨</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渗滤液处理合格率</w:t>
            </w:r>
          </w:p>
        </w:tc>
        <w:tc>
          <w:tcPr>
            <w:tcW w:w="2891" w:type="dxa"/>
            <w:vAlign w:val="center"/>
          </w:tcPr>
          <w:p>
            <w:pPr>
              <w:pStyle w:val="10"/>
            </w:pPr>
            <w:r>
              <w:t>渗滤液处理合格情况</w:t>
            </w:r>
          </w:p>
        </w:tc>
        <w:tc>
          <w:tcPr>
            <w:tcW w:w="1276" w:type="dxa"/>
            <w:vAlign w:val="center"/>
          </w:tcPr>
          <w:p>
            <w:pPr>
              <w:pStyle w:val="10"/>
            </w:pPr>
            <w:r>
              <w:t>100%</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出水水质达标率</w:t>
            </w:r>
          </w:p>
        </w:tc>
        <w:tc>
          <w:tcPr>
            <w:tcW w:w="2891" w:type="dxa"/>
            <w:vAlign w:val="center"/>
          </w:tcPr>
          <w:p>
            <w:pPr>
              <w:pStyle w:val="10"/>
            </w:pPr>
            <w:r>
              <w:t>出水水质达标情况</w:t>
            </w:r>
          </w:p>
        </w:tc>
        <w:tc>
          <w:tcPr>
            <w:tcW w:w="1276" w:type="dxa"/>
            <w:vAlign w:val="center"/>
          </w:tcPr>
          <w:p>
            <w:pPr>
              <w:pStyle w:val="10"/>
            </w:pPr>
            <w:r>
              <w:t>100%</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渗滤液处理能力提升</w:t>
            </w:r>
          </w:p>
        </w:tc>
        <w:tc>
          <w:tcPr>
            <w:tcW w:w="2891" w:type="dxa"/>
            <w:vAlign w:val="center"/>
          </w:tcPr>
          <w:p>
            <w:pPr>
              <w:pStyle w:val="10"/>
            </w:pPr>
            <w:r>
              <w:t>渗滤液处理能力提升</w:t>
            </w:r>
          </w:p>
        </w:tc>
        <w:tc>
          <w:tcPr>
            <w:tcW w:w="1276" w:type="dxa"/>
            <w:vAlign w:val="center"/>
          </w:tcPr>
          <w:p>
            <w:pPr>
              <w:pStyle w:val="10"/>
            </w:pPr>
            <w:r>
              <w:t>提升</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污染物排放达标率</w:t>
            </w:r>
          </w:p>
        </w:tc>
        <w:tc>
          <w:tcPr>
            <w:tcW w:w="2891" w:type="dxa"/>
            <w:vAlign w:val="center"/>
          </w:tcPr>
          <w:p>
            <w:pPr>
              <w:pStyle w:val="10"/>
            </w:pPr>
            <w:r>
              <w:t>考察项目污染物排放达标情况</w:t>
            </w:r>
          </w:p>
        </w:tc>
        <w:tc>
          <w:tcPr>
            <w:tcW w:w="1276" w:type="dxa"/>
            <w:vAlign w:val="center"/>
          </w:tcPr>
          <w:p>
            <w:pPr>
              <w:pStyle w:val="10"/>
            </w:pPr>
            <w:r>
              <w:t>100%</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考察服务对象满意情况</w:t>
            </w:r>
          </w:p>
        </w:tc>
        <w:tc>
          <w:tcPr>
            <w:tcW w:w="1276" w:type="dxa"/>
            <w:vAlign w:val="center"/>
          </w:tcPr>
          <w:p>
            <w:pPr>
              <w:pStyle w:val="10"/>
            </w:pPr>
            <w:r>
              <w:t>≥95%</w:t>
            </w:r>
          </w:p>
        </w:tc>
        <w:tc>
          <w:tcPr>
            <w:tcW w:w="1843" w:type="dxa"/>
            <w:vAlign w:val="center"/>
          </w:tcPr>
          <w:p>
            <w:pPr>
              <w:pStyle w:val="10"/>
            </w:pPr>
            <w:r>
              <w:t>其他标准</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603001青岛市城市管理局本级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37020023P60000910014Q</w:t>
            </w:r>
          </w:p>
        </w:tc>
        <w:tc>
          <w:tcPr>
            <w:tcW w:w="1587" w:type="dxa"/>
            <w:vAlign w:val="center"/>
          </w:tcPr>
          <w:p>
            <w:pPr>
              <w:pStyle w:val="9"/>
            </w:pPr>
            <w:r>
              <w:t>项目名称</w:t>
            </w:r>
          </w:p>
        </w:tc>
        <w:tc>
          <w:tcPr>
            <w:tcW w:w="4422" w:type="dxa"/>
            <w:gridSpan w:val="3"/>
            <w:vAlign w:val="center"/>
          </w:tcPr>
          <w:p>
            <w:pPr>
              <w:pStyle w:val="10"/>
            </w:pPr>
            <w:r>
              <w:t>渗滤液二期运行经费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5747.00</w:t>
            </w:r>
          </w:p>
        </w:tc>
        <w:tc>
          <w:tcPr>
            <w:tcW w:w="1587" w:type="dxa"/>
            <w:vAlign w:val="center"/>
          </w:tcPr>
          <w:p>
            <w:pPr>
              <w:pStyle w:val="9"/>
            </w:pPr>
            <w:r>
              <w:t>其中：财政    资金</w:t>
            </w:r>
          </w:p>
        </w:tc>
        <w:tc>
          <w:tcPr>
            <w:tcW w:w="1304" w:type="dxa"/>
            <w:vAlign w:val="center"/>
          </w:tcPr>
          <w:p>
            <w:pPr>
              <w:pStyle w:val="10"/>
            </w:pPr>
            <w:r>
              <w:t>5747.00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用于渗滤液二期运行经费。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5747.00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集中处理渗滤液和浓缩液，出水达到《山东省半岛流域水污染综合排放标准》（DB37/676-2007）一级标准，同时满足《生活垃圾填埋污染控制标准》（GB16889-2008）一般地区水污染控制要求。</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渗沥液处理费</w:t>
            </w:r>
            <w:r>
              <w:rPr>
                <w:rFonts w:hint="eastAsia"/>
                <w:lang w:eastAsia="zh-CN"/>
              </w:rPr>
              <w:t>成本控制数</w:t>
            </w:r>
          </w:p>
        </w:tc>
        <w:tc>
          <w:tcPr>
            <w:tcW w:w="2891" w:type="dxa"/>
            <w:vAlign w:val="center"/>
          </w:tcPr>
          <w:p>
            <w:pPr>
              <w:pStyle w:val="10"/>
              <w:rPr>
                <w:i/>
              </w:rPr>
            </w:pPr>
            <w:r>
              <w:t>渗沥液处理费</w:t>
            </w:r>
            <w:r>
              <w:rPr>
                <w:rFonts w:hint="eastAsia"/>
                <w:lang w:eastAsia="zh-CN"/>
              </w:rPr>
              <w:t>成本控制数</w:t>
            </w:r>
          </w:p>
        </w:tc>
        <w:tc>
          <w:tcPr>
            <w:tcW w:w="1276" w:type="dxa"/>
            <w:vAlign w:val="center"/>
          </w:tcPr>
          <w:p>
            <w:pPr>
              <w:pStyle w:val="10"/>
            </w:pPr>
            <w:r>
              <w:t>≤5747万元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渗滤液处理量</w:t>
            </w:r>
          </w:p>
        </w:tc>
        <w:tc>
          <w:tcPr>
            <w:tcW w:w="2891" w:type="dxa"/>
            <w:vAlign w:val="center"/>
          </w:tcPr>
          <w:p>
            <w:pPr>
              <w:pStyle w:val="10"/>
            </w:pPr>
            <w:r>
              <w:t>渗滤液处理量</w:t>
            </w:r>
          </w:p>
        </w:tc>
        <w:tc>
          <w:tcPr>
            <w:tcW w:w="1276" w:type="dxa"/>
            <w:vAlign w:val="center"/>
          </w:tcPr>
          <w:p>
            <w:pPr>
              <w:pStyle w:val="10"/>
            </w:pPr>
            <w:r>
              <w:t>≥27万吨</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浓缩液处理量</w:t>
            </w:r>
          </w:p>
        </w:tc>
        <w:tc>
          <w:tcPr>
            <w:tcW w:w="2891" w:type="dxa"/>
            <w:vAlign w:val="center"/>
          </w:tcPr>
          <w:p>
            <w:pPr>
              <w:pStyle w:val="10"/>
            </w:pPr>
            <w:r>
              <w:t>浓缩液处理量</w:t>
            </w:r>
          </w:p>
        </w:tc>
        <w:tc>
          <w:tcPr>
            <w:tcW w:w="1276" w:type="dxa"/>
            <w:vAlign w:val="center"/>
          </w:tcPr>
          <w:p>
            <w:pPr>
              <w:pStyle w:val="10"/>
            </w:pPr>
            <w:r>
              <w:t>≥16.79万吨</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渗滤液处理达标率</w:t>
            </w:r>
          </w:p>
        </w:tc>
        <w:tc>
          <w:tcPr>
            <w:tcW w:w="2891" w:type="dxa"/>
            <w:vAlign w:val="center"/>
          </w:tcPr>
          <w:p>
            <w:pPr>
              <w:pStyle w:val="10"/>
            </w:pPr>
            <w:r>
              <w:t>渗滤液处理达标情况</w:t>
            </w:r>
          </w:p>
        </w:tc>
        <w:tc>
          <w:tcPr>
            <w:tcW w:w="1276" w:type="dxa"/>
            <w:vAlign w:val="center"/>
          </w:tcPr>
          <w:p>
            <w:pPr>
              <w:pStyle w:val="10"/>
            </w:pPr>
            <w:r>
              <w:t>100%</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浓缩液处理达标率</w:t>
            </w:r>
          </w:p>
        </w:tc>
        <w:tc>
          <w:tcPr>
            <w:tcW w:w="2891" w:type="dxa"/>
            <w:vAlign w:val="center"/>
          </w:tcPr>
          <w:p>
            <w:pPr>
              <w:pStyle w:val="10"/>
            </w:pPr>
            <w:r>
              <w:t>浓缩液处理达标情况</w:t>
            </w:r>
          </w:p>
        </w:tc>
        <w:tc>
          <w:tcPr>
            <w:tcW w:w="1276" w:type="dxa"/>
            <w:vAlign w:val="center"/>
          </w:tcPr>
          <w:p>
            <w:pPr>
              <w:pStyle w:val="10"/>
            </w:pPr>
            <w:r>
              <w:t>100%</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项目年度完成天数</w:t>
            </w:r>
          </w:p>
        </w:tc>
        <w:tc>
          <w:tcPr>
            <w:tcW w:w="2891" w:type="dxa"/>
            <w:vAlign w:val="center"/>
          </w:tcPr>
          <w:p>
            <w:pPr>
              <w:pStyle w:val="10"/>
            </w:pPr>
            <w:r>
              <w:t>年度渗沥液处理天数</w:t>
            </w:r>
          </w:p>
        </w:tc>
        <w:tc>
          <w:tcPr>
            <w:tcW w:w="1276" w:type="dxa"/>
            <w:vAlign w:val="center"/>
          </w:tcPr>
          <w:p>
            <w:pPr>
              <w:pStyle w:val="10"/>
            </w:pPr>
            <w:r>
              <w:t>≥330天</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项目处理能力提升</w:t>
            </w:r>
          </w:p>
        </w:tc>
        <w:tc>
          <w:tcPr>
            <w:tcW w:w="2891" w:type="dxa"/>
            <w:vAlign w:val="center"/>
          </w:tcPr>
          <w:p>
            <w:pPr>
              <w:pStyle w:val="10"/>
            </w:pPr>
            <w:r>
              <w:t>项目处理能力提升</w:t>
            </w:r>
          </w:p>
        </w:tc>
        <w:tc>
          <w:tcPr>
            <w:tcW w:w="1276" w:type="dxa"/>
            <w:vAlign w:val="center"/>
          </w:tcPr>
          <w:p>
            <w:pPr>
              <w:pStyle w:val="10"/>
            </w:pPr>
            <w:r>
              <w:t>提升</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污染物排放达标率</w:t>
            </w:r>
          </w:p>
        </w:tc>
        <w:tc>
          <w:tcPr>
            <w:tcW w:w="2891" w:type="dxa"/>
            <w:vAlign w:val="center"/>
          </w:tcPr>
          <w:p>
            <w:pPr>
              <w:pStyle w:val="10"/>
            </w:pPr>
            <w:r>
              <w:t>考察污染物排放达标情况</w:t>
            </w:r>
          </w:p>
        </w:tc>
        <w:tc>
          <w:tcPr>
            <w:tcW w:w="1276" w:type="dxa"/>
            <w:vAlign w:val="center"/>
          </w:tcPr>
          <w:p>
            <w:pPr>
              <w:pStyle w:val="10"/>
            </w:pPr>
            <w:r>
              <w:t>100%</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考察服务对象满意程度</w:t>
            </w:r>
          </w:p>
        </w:tc>
        <w:tc>
          <w:tcPr>
            <w:tcW w:w="1276" w:type="dxa"/>
            <w:vAlign w:val="center"/>
          </w:tcPr>
          <w:p>
            <w:pPr>
              <w:pStyle w:val="10"/>
            </w:pPr>
            <w:r>
              <w:t>≥95%</w:t>
            </w:r>
          </w:p>
        </w:tc>
        <w:tc>
          <w:tcPr>
            <w:tcW w:w="1843" w:type="dxa"/>
            <w:vAlign w:val="center"/>
          </w:tcPr>
          <w:p>
            <w:pPr>
              <w:pStyle w:val="10"/>
            </w:pPr>
            <w:r>
              <w:t>其他标准</w:t>
            </w:r>
          </w:p>
        </w:tc>
      </w:tr>
    </w:tbl>
    <w:p>
      <w:pPr>
        <w:sectPr>
          <w:pgSz w:w="11900" w:h="16840"/>
          <w:pgMar w:top="1984" w:right="1304" w:bottom="1134" w:left="1304" w:header="720" w:footer="720" w:gutter="0"/>
          <w:pgNumType w:fmt="numberInDash"/>
          <w:cols w:space="720" w:num="1"/>
        </w:sectPr>
      </w:pPr>
    </w:p>
    <w:p>
      <w:pPr>
        <w:numPr>
          <w:ilvl w:val="0"/>
          <w:numId w:val="0"/>
        </w:numPr>
        <w:ind w:leftChars="0"/>
        <w:rPr>
          <w:rFonts w:hint="default" w:ascii="黑体" w:hAnsi="黑体" w:eastAsia="黑体" w:cs="黑体"/>
          <w:sz w:val="32"/>
          <w:szCs w:val="32"/>
          <w:lang w:val="en-US" w:eastAsia="zh-CN"/>
        </w:r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603001青岛市城市管理局本级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37020023P60000910015C</w:t>
            </w:r>
          </w:p>
        </w:tc>
        <w:tc>
          <w:tcPr>
            <w:tcW w:w="1587" w:type="dxa"/>
            <w:vAlign w:val="center"/>
          </w:tcPr>
          <w:p>
            <w:pPr>
              <w:pStyle w:val="9"/>
            </w:pPr>
            <w:r>
              <w:t>项目名称</w:t>
            </w:r>
          </w:p>
        </w:tc>
        <w:tc>
          <w:tcPr>
            <w:tcW w:w="4422" w:type="dxa"/>
            <w:gridSpan w:val="3"/>
            <w:vAlign w:val="center"/>
          </w:tcPr>
          <w:p>
            <w:pPr>
              <w:pStyle w:val="10"/>
            </w:pPr>
            <w:r>
              <w:t>小涧西固体废弃物综合处置场运行经费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1490.00</w:t>
            </w:r>
          </w:p>
        </w:tc>
        <w:tc>
          <w:tcPr>
            <w:tcW w:w="1587" w:type="dxa"/>
            <w:vAlign w:val="center"/>
          </w:tcPr>
          <w:p>
            <w:pPr>
              <w:pStyle w:val="9"/>
            </w:pPr>
            <w:r>
              <w:t>其中：财政    资金</w:t>
            </w:r>
          </w:p>
        </w:tc>
        <w:tc>
          <w:tcPr>
            <w:tcW w:w="1304" w:type="dxa"/>
            <w:vAlign w:val="center"/>
          </w:tcPr>
          <w:p>
            <w:pPr>
              <w:pStyle w:val="10"/>
            </w:pPr>
            <w:r>
              <w:t>1490.00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用于小涧西固体废弃物综合处置场运行经费支出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1490.00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确保填埋一期、二期工程原生垃圾零填埋后需工作达到安全环保要求，继续做好填埋一期、二期工程的沼气收集、除臭、渗沥液导排、边坡封场以及绿化维护等安全保障工作。</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小涧西固体废弃物综合处置场运行经费</w:t>
            </w:r>
            <w:r>
              <w:rPr>
                <w:rFonts w:hint="eastAsia"/>
                <w:lang w:eastAsia="zh-CN"/>
              </w:rPr>
              <w:t>成本控制数</w:t>
            </w:r>
          </w:p>
        </w:tc>
        <w:tc>
          <w:tcPr>
            <w:tcW w:w="2891" w:type="dxa"/>
            <w:vAlign w:val="center"/>
          </w:tcPr>
          <w:p>
            <w:pPr>
              <w:pStyle w:val="10"/>
            </w:pPr>
            <w:r>
              <w:t>小涧西固体废弃物综合处置场运行经费</w:t>
            </w:r>
            <w:r>
              <w:rPr>
                <w:rFonts w:hint="eastAsia"/>
                <w:lang w:eastAsia="zh-CN"/>
              </w:rPr>
              <w:t>成本控制数</w:t>
            </w:r>
          </w:p>
        </w:tc>
        <w:tc>
          <w:tcPr>
            <w:tcW w:w="1276" w:type="dxa"/>
            <w:vAlign w:val="center"/>
          </w:tcPr>
          <w:p>
            <w:pPr>
              <w:pStyle w:val="10"/>
            </w:pPr>
            <w:r>
              <w:t>≤1490万元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垃圾堆体维护数量</w:t>
            </w:r>
          </w:p>
        </w:tc>
        <w:tc>
          <w:tcPr>
            <w:tcW w:w="2891" w:type="dxa"/>
            <w:vAlign w:val="center"/>
          </w:tcPr>
          <w:p>
            <w:pPr>
              <w:pStyle w:val="10"/>
            </w:pPr>
            <w:r>
              <w:t>垃圾堆体维护数量</w:t>
            </w:r>
          </w:p>
        </w:tc>
        <w:tc>
          <w:tcPr>
            <w:tcW w:w="1276" w:type="dxa"/>
            <w:vAlign w:val="center"/>
          </w:tcPr>
          <w:p>
            <w:pPr>
              <w:pStyle w:val="10"/>
            </w:pPr>
            <w:r>
              <w:t>≥2个</w:t>
            </w:r>
          </w:p>
        </w:tc>
        <w:tc>
          <w:tcPr>
            <w:tcW w:w="1843" w:type="dxa"/>
            <w:vAlign w:val="center"/>
          </w:tcPr>
          <w:p>
            <w:pPr>
              <w:pStyle w:val="10"/>
            </w:pPr>
            <w:r>
              <w:rPr>
                <w:rFonts w:hint="eastAsia"/>
                <w:lang w:eastAsia="zh-CN"/>
              </w:rPr>
              <w:t>历史</w:t>
            </w:r>
            <w:r>
              <w:t>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飞灰填埋堆体维护数量</w:t>
            </w:r>
          </w:p>
        </w:tc>
        <w:tc>
          <w:tcPr>
            <w:tcW w:w="2891" w:type="dxa"/>
            <w:vAlign w:val="center"/>
          </w:tcPr>
          <w:p>
            <w:pPr>
              <w:pStyle w:val="10"/>
            </w:pPr>
            <w:r>
              <w:t>飞灰填埋堆体维护数量</w:t>
            </w:r>
          </w:p>
        </w:tc>
        <w:tc>
          <w:tcPr>
            <w:tcW w:w="1276" w:type="dxa"/>
            <w:vAlign w:val="center"/>
          </w:tcPr>
          <w:p>
            <w:pPr>
              <w:pStyle w:val="10"/>
            </w:pPr>
            <w:r>
              <w:t>≥1个</w:t>
            </w:r>
          </w:p>
        </w:tc>
        <w:tc>
          <w:tcPr>
            <w:tcW w:w="1843" w:type="dxa"/>
            <w:vAlign w:val="center"/>
          </w:tcPr>
          <w:p>
            <w:pPr>
              <w:pStyle w:val="10"/>
            </w:pPr>
            <w:r>
              <w:rPr>
                <w:rFonts w:hint="eastAsia"/>
                <w:lang w:eastAsia="zh-CN"/>
              </w:rPr>
              <w:t>历史</w:t>
            </w:r>
            <w:r>
              <w:t>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堆体安全事故发生率</w:t>
            </w:r>
          </w:p>
        </w:tc>
        <w:tc>
          <w:tcPr>
            <w:tcW w:w="2891" w:type="dxa"/>
            <w:vAlign w:val="center"/>
          </w:tcPr>
          <w:p>
            <w:pPr>
              <w:pStyle w:val="10"/>
            </w:pPr>
            <w:r>
              <w:t>堆体安全事故发生情况</w:t>
            </w:r>
          </w:p>
        </w:tc>
        <w:tc>
          <w:tcPr>
            <w:tcW w:w="1276" w:type="dxa"/>
            <w:vAlign w:val="center"/>
          </w:tcPr>
          <w:p>
            <w:pPr>
              <w:pStyle w:val="10"/>
            </w:pPr>
            <w:r>
              <w:t>≤1%</w:t>
            </w:r>
          </w:p>
        </w:tc>
        <w:tc>
          <w:tcPr>
            <w:tcW w:w="1843" w:type="dxa"/>
            <w:vAlign w:val="center"/>
          </w:tcPr>
          <w:p>
            <w:pPr>
              <w:pStyle w:val="10"/>
            </w:pPr>
            <w:r>
              <w:rPr>
                <w:rFonts w:hint="eastAsia"/>
                <w:lang w:eastAsia="zh-CN"/>
              </w:rPr>
              <w:t>历史</w:t>
            </w:r>
            <w:r>
              <w:t>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飞灰填埋质量安全率</w:t>
            </w:r>
          </w:p>
        </w:tc>
        <w:tc>
          <w:tcPr>
            <w:tcW w:w="2891" w:type="dxa"/>
            <w:vAlign w:val="center"/>
          </w:tcPr>
          <w:p>
            <w:pPr>
              <w:pStyle w:val="10"/>
            </w:pPr>
            <w:r>
              <w:t>飞灰填埋质量安全情况</w:t>
            </w:r>
          </w:p>
        </w:tc>
        <w:tc>
          <w:tcPr>
            <w:tcW w:w="1276" w:type="dxa"/>
            <w:vAlign w:val="center"/>
          </w:tcPr>
          <w:p>
            <w:pPr>
              <w:pStyle w:val="10"/>
            </w:pPr>
            <w:r>
              <w:t>≥100%</w:t>
            </w:r>
          </w:p>
        </w:tc>
        <w:tc>
          <w:tcPr>
            <w:tcW w:w="1843" w:type="dxa"/>
            <w:vAlign w:val="center"/>
          </w:tcPr>
          <w:p>
            <w:pPr>
              <w:pStyle w:val="10"/>
            </w:pPr>
            <w:r>
              <w:rPr>
                <w:rFonts w:hint="eastAsia"/>
                <w:lang w:eastAsia="zh-CN"/>
              </w:rPr>
              <w:t>历史</w:t>
            </w:r>
            <w:r>
              <w:t>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飞灰填埋年度完成天数</w:t>
            </w:r>
          </w:p>
        </w:tc>
        <w:tc>
          <w:tcPr>
            <w:tcW w:w="2891" w:type="dxa"/>
            <w:vAlign w:val="center"/>
          </w:tcPr>
          <w:p>
            <w:pPr>
              <w:pStyle w:val="10"/>
            </w:pPr>
            <w:r>
              <w:t>飞灰填埋年度完成天数</w:t>
            </w:r>
          </w:p>
        </w:tc>
        <w:tc>
          <w:tcPr>
            <w:tcW w:w="1276" w:type="dxa"/>
            <w:vAlign w:val="center"/>
          </w:tcPr>
          <w:p>
            <w:pPr>
              <w:pStyle w:val="10"/>
            </w:pPr>
            <w:r>
              <w:t>≥330天</w:t>
            </w:r>
          </w:p>
        </w:tc>
        <w:tc>
          <w:tcPr>
            <w:tcW w:w="1843" w:type="dxa"/>
            <w:vAlign w:val="center"/>
          </w:tcPr>
          <w:p>
            <w:pPr>
              <w:pStyle w:val="10"/>
            </w:pPr>
            <w:r>
              <w:rPr>
                <w:rFonts w:hint="eastAsia"/>
                <w:lang w:eastAsia="zh-CN"/>
              </w:rPr>
              <w:t>历史</w:t>
            </w:r>
            <w:r>
              <w:t>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改善居民生活环境</w:t>
            </w:r>
          </w:p>
        </w:tc>
        <w:tc>
          <w:tcPr>
            <w:tcW w:w="2891" w:type="dxa"/>
            <w:vAlign w:val="center"/>
          </w:tcPr>
          <w:p>
            <w:pPr>
              <w:pStyle w:val="10"/>
            </w:pPr>
            <w:r>
              <w:t>改善居民生活环境</w:t>
            </w:r>
          </w:p>
        </w:tc>
        <w:tc>
          <w:tcPr>
            <w:tcW w:w="1276" w:type="dxa"/>
            <w:vAlign w:val="center"/>
          </w:tcPr>
          <w:p>
            <w:pPr>
              <w:pStyle w:val="10"/>
            </w:pPr>
            <w:r>
              <w:t>效果明显</w:t>
            </w:r>
          </w:p>
        </w:tc>
        <w:tc>
          <w:tcPr>
            <w:tcW w:w="1843" w:type="dxa"/>
            <w:vAlign w:val="center"/>
          </w:tcPr>
          <w:p>
            <w:pPr>
              <w:pStyle w:val="10"/>
            </w:pPr>
            <w:r>
              <w:rPr>
                <w:rFonts w:hint="eastAsia"/>
                <w:lang w:eastAsia="zh-CN"/>
              </w:rPr>
              <w:t>历史</w:t>
            </w:r>
            <w:r>
              <w:t>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改善周边环境</w:t>
            </w:r>
          </w:p>
        </w:tc>
        <w:tc>
          <w:tcPr>
            <w:tcW w:w="2891" w:type="dxa"/>
            <w:vAlign w:val="center"/>
          </w:tcPr>
          <w:p>
            <w:pPr>
              <w:pStyle w:val="10"/>
            </w:pPr>
            <w:r>
              <w:t>改善周边环境</w:t>
            </w:r>
          </w:p>
        </w:tc>
        <w:tc>
          <w:tcPr>
            <w:tcW w:w="1276" w:type="dxa"/>
            <w:vAlign w:val="center"/>
          </w:tcPr>
          <w:p>
            <w:pPr>
              <w:pStyle w:val="10"/>
            </w:pPr>
            <w:r>
              <w:t>效果明显</w:t>
            </w:r>
          </w:p>
        </w:tc>
        <w:tc>
          <w:tcPr>
            <w:tcW w:w="1843" w:type="dxa"/>
            <w:vAlign w:val="center"/>
          </w:tcPr>
          <w:p>
            <w:pPr>
              <w:pStyle w:val="10"/>
            </w:pPr>
            <w:r>
              <w:rPr>
                <w:rFonts w:hint="eastAsia"/>
                <w:lang w:eastAsia="zh-CN"/>
              </w:rPr>
              <w:t>历史</w:t>
            </w:r>
            <w:r>
              <w:t>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社会公众满意度</w:t>
            </w:r>
          </w:p>
        </w:tc>
        <w:tc>
          <w:tcPr>
            <w:tcW w:w="2891" w:type="dxa"/>
            <w:vAlign w:val="center"/>
          </w:tcPr>
          <w:p>
            <w:pPr>
              <w:pStyle w:val="10"/>
            </w:pPr>
            <w:r>
              <w:t>考察受益对象满意程度</w:t>
            </w:r>
          </w:p>
        </w:tc>
        <w:tc>
          <w:tcPr>
            <w:tcW w:w="1276" w:type="dxa"/>
            <w:vAlign w:val="center"/>
          </w:tcPr>
          <w:p>
            <w:pPr>
              <w:pStyle w:val="10"/>
            </w:pPr>
            <w:r>
              <w:t>≥95%</w:t>
            </w:r>
          </w:p>
        </w:tc>
        <w:tc>
          <w:tcPr>
            <w:tcW w:w="1843" w:type="dxa"/>
            <w:vAlign w:val="center"/>
          </w:tcPr>
          <w:p>
            <w:pPr>
              <w:pStyle w:val="10"/>
            </w:pPr>
            <w:r>
              <w:rPr>
                <w:rFonts w:hint="eastAsia"/>
                <w:lang w:eastAsia="zh-CN"/>
              </w:rPr>
              <w:t>历史</w:t>
            </w:r>
            <w:r>
              <w:t>标准</w:t>
            </w:r>
          </w:p>
        </w:tc>
      </w:tr>
    </w:tbl>
    <w:p>
      <w:pPr>
        <w:sectPr>
          <w:pgSz w:w="11900" w:h="16840"/>
          <w:pgMar w:top="1984" w:right="1304" w:bottom="1134" w:left="1304" w:header="720" w:footer="720" w:gutter="0"/>
          <w:pgNumType w:fmt="numberInDash"/>
          <w:cols w:space="720" w:num="1"/>
        </w:sect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5.公共事业运营补贴资金</w:t>
            </w:r>
          </w:p>
          <w:p>
            <w:pPr>
              <w:pStyle w:val="7"/>
            </w:pPr>
            <w:r>
              <w:t>603001青岛市城市管理局本级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37020023P65000510003H</w:t>
            </w:r>
          </w:p>
        </w:tc>
        <w:tc>
          <w:tcPr>
            <w:tcW w:w="1587" w:type="dxa"/>
            <w:vAlign w:val="center"/>
          </w:tcPr>
          <w:p>
            <w:pPr>
              <w:pStyle w:val="9"/>
            </w:pPr>
            <w:r>
              <w:t>项目名称</w:t>
            </w:r>
          </w:p>
        </w:tc>
        <w:tc>
          <w:tcPr>
            <w:tcW w:w="4422" w:type="dxa"/>
            <w:gridSpan w:val="3"/>
            <w:vAlign w:val="center"/>
          </w:tcPr>
          <w:p>
            <w:pPr>
              <w:pStyle w:val="10"/>
            </w:pPr>
            <w:r>
              <w:t>居民集中供热补贴资金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7000.00</w:t>
            </w:r>
          </w:p>
        </w:tc>
        <w:tc>
          <w:tcPr>
            <w:tcW w:w="1587" w:type="dxa"/>
            <w:vAlign w:val="center"/>
          </w:tcPr>
          <w:p>
            <w:pPr>
              <w:pStyle w:val="9"/>
            </w:pPr>
            <w:r>
              <w:t>其中：财政    资金</w:t>
            </w:r>
          </w:p>
        </w:tc>
        <w:tc>
          <w:tcPr>
            <w:tcW w:w="1304" w:type="dxa"/>
            <w:vAlign w:val="center"/>
          </w:tcPr>
          <w:p>
            <w:pPr>
              <w:pStyle w:val="10"/>
            </w:pPr>
            <w:r>
              <w:t>7000.00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居民集中供热补贴资金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7000.00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对2021-2022年度居民供热成本与价格倒挂亏损进行补贴，确保供热企业按照标准要求连续稳定供热，保障居民温暖过冬。</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居民集中供热补贴资金预算控制数</w:t>
            </w:r>
          </w:p>
        </w:tc>
        <w:tc>
          <w:tcPr>
            <w:tcW w:w="2891" w:type="dxa"/>
            <w:vAlign w:val="center"/>
          </w:tcPr>
          <w:p>
            <w:pPr>
              <w:pStyle w:val="10"/>
            </w:pPr>
            <w:r>
              <w:t>居民集中供热补贴资金预算控制数</w:t>
            </w:r>
          </w:p>
        </w:tc>
        <w:tc>
          <w:tcPr>
            <w:tcW w:w="1276" w:type="dxa"/>
            <w:vAlign w:val="center"/>
          </w:tcPr>
          <w:p>
            <w:pPr>
              <w:pStyle w:val="10"/>
            </w:pPr>
            <w:r>
              <w:t>≤7000万元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供热补贴计划完成数量</w:t>
            </w:r>
          </w:p>
        </w:tc>
        <w:tc>
          <w:tcPr>
            <w:tcW w:w="2891" w:type="dxa"/>
            <w:vAlign w:val="center"/>
          </w:tcPr>
          <w:p>
            <w:pPr>
              <w:pStyle w:val="10"/>
            </w:pPr>
            <w:r>
              <w:t>供热补贴计划完成数量</w:t>
            </w:r>
          </w:p>
        </w:tc>
        <w:tc>
          <w:tcPr>
            <w:tcW w:w="1276" w:type="dxa"/>
            <w:vAlign w:val="center"/>
          </w:tcPr>
          <w:p>
            <w:pPr>
              <w:pStyle w:val="10"/>
            </w:pPr>
            <w:r>
              <w:t>3个</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采暖期居民供热天数</w:t>
            </w:r>
          </w:p>
        </w:tc>
        <w:tc>
          <w:tcPr>
            <w:tcW w:w="2891" w:type="dxa"/>
            <w:vAlign w:val="center"/>
          </w:tcPr>
          <w:p>
            <w:pPr>
              <w:pStyle w:val="10"/>
            </w:pPr>
            <w:r>
              <w:t>采暖期居民供热天数</w:t>
            </w:r>
          </w:p>
        </w:tc>
        <w:tc>
          <w:tcPr>
            <w:tcW w:w="1276" w:type="dxa"/>
            <w:vAlign w:val="center"/>
          </w:tcPr>
          <w:p>
            <w:pPr>
              <w:pStyle w:val="10"/>
            </w:pPr>
            <w:r>
              <w:t>≥141天</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供热连续稳定运行时间比率</w:t>
            </w:r>
          </w:p>
        </w:tc>
        <w:tc>
          <w:tcPr>
            <w:tcW w:w="2891" w:type="dxa"/>
            <w:vAlign w:val="center"/>
          </w:tcPr>
          <w:p>
            <w:pPr>
              <w:pStyle w:val="10"/>
            </w:pPr>
            <w:r>
              <w:t>供热连续稳定运行时间比率</w:t>
            </w:r>
          </w:p>
        </w:tc>
        <w:tc>
          <w:tcPr>
            <w:tcW w:w="1276" w:type="dxa"/>
            <w:vAlign w:val="center"/>
          </w:tcPr>
          <w:p>
            <w:pPr>
              <w:pStyle w:val="10"/>
            </w:pPr>
            <w:r>
              <w:t>≥99%</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供热期供热天数完成率</w:t>
            </w:r>
          </w:p>
        </w:tc>
        <w:tc>
          <w:tcPr>
            <w:tcW w:w="2891" w:type="dxa"/>
            <w:vAlign w:val="center"/>
          </w:tcPr>
          <w:p>
            <w:pPr>
              <w:pStyle w:val="10"/>
            </w:pPr>
            <w:r>
              <w:t>供热期供热天数完成率</w:t>
            </w:r>
          </w:p>
        </w:tc>
        <w:tc>
          <w:tcPr>
            <w:tcW w:w="1276" w:type="dxa"/>
            <w:vAlign w:val="center"/>
          </w:tcPr>
          <w:p>
            <w:pPr>
              <w:pStyle w:val="10"/>
            </w:pPr>
            <w:r>
              <w:t>100%</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按时间进度完成任务</w:t>
            </w:r>
          </w:p>
        </w:tc>
        <w:tc>
          <w:tcPr>
            <w:tcW w:w="2891" w:type="dxa"/>
            <w:vAlign w:val="center"/>
          </w:tcPr>
          <w:p>
            <w:pPr>
              <w:pStyle w:val="10"/>
            </w:pPr>
            <w:r>
              <w:t>按时间进度完成任务</w:t>
            </w:r>
          </w:p>
        </w:tc>
        <w:tc>
          <w:tcPr>
            <w:tcW w:w="1276" w:type="dxa"/>
            <w:vAlign w:val="center"/>
          </w:tcPr>
          <w:p>
            <w:pPr>
              <w:pStyle w:val="10"/>
            </w:pPr>
            <w:r>
              <w:t>2023年11月</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供热能力提高</w:t>
            </w:r>
          </w:p>
        </w:tc>
        <w:tc>
          <w:tcPr>
            <w:tcW w:w="2891" w:type="dxa"/>
            <w:vAlign w:val="center"/>
          </w:tcPr>
          <w:p>
            <w:pPr>
              <w:pStyle w:val="10"/>
            </w:pPr>
            <w:r>
              <w:t>供热能力提高</w:t>
            </w:r>
          </w:p>
        </w:tc>
        <w:tc>
          <w:tcPr>
            <w:tcW w:w="1276" w:type="dxa"/>
            <w:vAlign w:val="center"/>
          </w:tcPr>
          <w:p>
            <w:pPr>
              <w:pStyle w:val="10"/>
            </w:pPr>
            <w:r>
              <w:t>提升</w:t>
            </w:r>
          </w:p>
        </w:tc>
        <w:tc>
          <w:tcPr>
            <w:tcW w:w="1843" w:type="dxa"/>
            <w:vAlign w:val="center"/>
          </w:tcPr>
          <w:p>
            <w:pPr>
              <w:pStyle w:val="10"/>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市民对供热效果满意度</w:t>
            </w:r>
          </w:p>
        </w:tc>
        <w:tc>
          <w:tcPr>
            <w:tcW w:w="2891" w:type="dxa"/>
            <w:vAlign w:val="center"/>
          </w:tcPr>
          <w:p>
            <w:pPr>
              <w:pStyle w:val="10"/>
            </w:pPr>
            <w:r>
              <w:t>市民对供热效果满意度</w:t>
            </w:r>
          </w:p>
        </w:tc>
        <w:tc>
          <w:tcPr>
            <w:tcW w:w="1276" w:type="dxa"/>
            <w:vAlign w:val="center"/>
          </w:tcPr>
          <w:p>
            <w:pPr>
              <w:pStyle w:val="10"/>
            </w:pPr>
            <w:r>
              <w:t>≥90%</w:t>
            </w:r>
          </w:p>
        </w:tc>
        <w:tc>
          <w:tcPr>
            <w:tcW w:w="1843" w:type="dxa"/>
            <w:vAlign w:val="center"/>
          </w:tcPr>
          <w:p>
            <w:pPr>
              <w:pStyle w:val="10"/>
            </w:pPr>
            <w:r>
              <w:t>其他标准</w:t>
            </w:r>
          </w:p>
        </w:tc>
      </w:tr>
    </w:tbl>
    <w:p>
      <w:pPr>
        <w:numPr>
          <w:ilvl w:val="0"/>
          <w:numId w:val="0"/>
        </w:numPr>
        <w:ind w:leftChars="0"/>
        <w:rPr>
          <w:rFonts w:hint="default" w:ascii="黑体" w:hAnsi="黑体" w:eastAsia="黑体" w:cs="黑体"/>
          <w:sz w:val="32"/>
          <w:szCs w:val="32"/>
          <w:lang w:val="en-US" w:eastAsia="zh-CN"/>
        </w:rPr>
      </w:pPr>
    </w:p>
    <w:p>
      <w:pPr>
        <w:jc w:val="center"/>
      </w:pPr>
      <w:r>
        <w:rPr>
          <w:rFonts w:ascii="方正仿宋_GBK" w:hAnsi="方正仿宋_GBK" w:eastAsia="方正仿宋_GBK" w:cs="方正仿宋_GBK"/>
          <w:color w:val="000000"/>
          <w:sz w:val="28"/>
        </w:rPr>
        <w:t xml:space="preserve"> </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p>
          <w:p>
            <w:pPr>
              <w:pStyle w:val="7"/>
            </w:pPr>
          </w:p>
          <w:p>
            <w:pPr>
              <w:pStyle w:val="7"/>
            </w:pPr>
          </w:p>
          <w:p>
            <w:pPr>
              <w:pStyle w:val="7"/>
            </w:pPr>
          </w:p>
          <w:p>
            <w:pPr>
              <w:pStyle w:val="7"/>
            </w:pPr>
          </w:p>
          <w:p>
            <w:pPr>
              <w:pStyle w:val="7"/>
            </w:pPr>
            <w:r>
              <w:t>604001青岛市交通运输局本级</w:t>
            </w:r>
          </w:p>
        </w:tc>
        <w:tc>
          <w:tcPr>
            <w:tcW w:w="1843" w:type="dxa"/>
            <w:tcBorders>
              <w:top w:val="single" w:color="FFFFFF" w:sz="6" w:space="0"/>
              <w:left w:val="single" w:color="FFFFFF" w:sz="6" w:space="0"/>
              <w:right w:val="single" w:color="FFFFFF" w:sz="6" w:space="0"/>
            </w:tcBorders>
            <w:vAlign w:val="center"/>
          </w:tcPr>
          <w:p>
            <w:pPr>
              <w:pStyle w:val="8"/>
            </w:pPr>
          </w:p>
          <w:p>
            <w:pPr>
              <w:pStyle w:val="8"/>
            </w:pPr>
          </w:p>
          <w:p>
            <w:pPr>
              <w:pStyle w:val="8"/>
            </w:pPr>
          </w:p>
          <w:p>
            <w:pPr>
              <w:pStyle w:val="8"/>
            </w:pPr>
          </w:p>
          <w:p>
            <w:pPr>
              <w:pStyle w:val="8"/>
            </w:pPr>
          </w:p>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37020023P09000310002Y</w:t>
            </w:r>
          </w:p>
        </w:tc>
        <w:tc>
          <w:tcPr>
            <w:tcW w:w="1587" w:type="dxa"/>
            <w:vAlign w:val="center"/>
          </w:tcPr>
          <w:p>
            <w:pPr>
              <w:pStyle w:val="9"/>
            </w:pPr>
            <w:r>
              <w:t>项目名称</w:t>
            </w:r>
          </w:p>
        </w:tc>
        <w:tc>
          <w:tcPr>
            <w:tcW w:w="4422" w:type="dxa"/>
            <w:gridSpan w:val="3"/>
            <w:vAlign w:val="center"/>
          </w:tcPr>
          <w:p>
            <w:pPr>
              <w:pStyle w:val="10"/>
            </w:pPr>
            <w:r>
              <w:t>客货运航线补贴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60163.00</w:t>
            </w:r>
          </w:p>
        </w:tc>
        <w:tc>
          <w:tcPr>
            <w:tcW w:w="1587" w:type="dxa"/>
            <w:vAlign w:val="center"/>
          </w:tcPr>
          <w:p>
            <w:pPr>
              <w:pStyle w:val="9"/>
            </w:pPr>
            <w:r>
              <w:t>其中：财政    资金</w:t>
            </w:r>
          </w:p>
        </w:tc>
        <w:tc>
          <w:tcPr>
            <w:tcW w:w="1304" w:type="dxa"/>
            <w:vAlign w:val="center"/>
          </w:tcPr>
          <w:p>
            <w:pPr>
              <w:pStyle w:val="10"/>
            </w:pPr>
            <w:r>
              <w:t>60163.00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推进国际航线开发，视疫情影响情况逐步恢复已开洲际及远程国际航线运营。进一步提升民航对外联通能力。促进机场运输生产，提升空地保障能力，确保机场完成运输生产目标。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21466.90</w:t>
            </w:r>
          </w:p>
        </w:tc>
        <w:tc>
          <w:tcPr>
            <w:tcW w:w="1587" w:type="dxa"/>
            <w:vAlign w:val="center"/>
          </w:tcPr>
          <w:p>
            <w:pPr>
              <w:pStyle w:val="11"/>
            </w:pPr>
            <w:r>
              <w:t>58489.60</w:t>
            </w:r>
          </w:p>
        </w:tc>
        <w:tc>
          <w:tcPr>
            <w:tcW w:w="1304" w:type="dxa"/>
            <w:vAlign w:val="center"/>
          </w:tcPr>
          <w:p>
            <w:pPr>
              <w:pStyle w:val="11"/>
            </w:pPr>
            <w:r>
              <w:t>60163.00</w:t>
            </w:r>
          </w:p>
        </w:tc>
        <w:tc>
          <w:tcPr>
            <w:tcW w:w="3118" w:type="dxa"/>
            <w:gridSpan w:val="2"/>
            <w:vAlign w:val="center"/>
          </w:tcPr>
          <w:p>
            <w:pPr>
              <w:pStyle w:val="11"/>
            </w:pPr>
            <w:r>
              <w:t>60163.00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推进国际航线开发，视疫情影响情况逐步恢复已开洲际及远程国际航线运营。进一步提升民航对外联通能力。促进机场运输生产，提升空地保障能力，确保机场完成运输生产目标。</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洲际货运航线</w:t>
            </w:r>
          </w:p>
        </w:tc>
        <w:tc>
          <w:tcPr>
            <w:tcW w:w="2891" w:type="dxa"/>
            <w:vAlign w:val="center"/>
          </w:tcPr>
          <w:p>
            <w:pPr>
              <w:pStyle w:val="10"/>
            </w:pPr>
            <w:r>
              <w:t>每条洲际货运航线年度补贴标准</w:t>
            </w:r>
          </w:p>
        </w:tc>
        <w:tc>
          <w:tcPr>
            <w:tcW w:w="1276" w:type="dxa"/>
            <w:vAlign w:val="center"/>
          </w:tcPr>
          <w:p>
            <w:pPr>
              <w:pStyle w:val="10"/>
            </w:pPr>
            <w:r>
              <w:t>≤15000万元</w:t>
            </w:r>
          </w:p>
        </w:tc>
        <w:tc>
          <w:tcPr>
            <w:tcW w:w="1843" w:type="dxa"/>
            <w:vAlign w:val="center"/>
          </w:tcPr>
          <w:p>
            <w:pPr>
              <w:pStyle w:val="10"/>
            </w:pPr>
            <w:r>
              <w:t>计划/历史标准（政策）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国际（地区）客运航线数量</w:t>
            </w:r>
          </w:p>
        </w:tc>
        <w:tc>
          <w:tcPr>
            <w:tcW w:w="2891" w:type="dxa"/>
            <w:vAlign w:val="center"/>
          </w:tcPr>
          <w:p>
            <w:pPr>
              <w:pStyle w:val="10"/>
            </w:pPr>
            <w:r>
              <w:t>机场年度内国际（地区）客运航线运营数量</w:t>
            </w:r>
          </w:p>
        </w:tc>
        <w:tc>
          <w:tcPr>
            <w:tcW w:w="1276" w:type="dxa"/>
            <w:vAlign w:val="center"/>
          </w:tcPr>
          <w:p>
            <w:pPr>
              <w:pStyle w:val="10"/>
            </w:pPr>
            <w:r>
              <w:t>≥11条</w:t>
            </w:r>
          </w:p>
        </w:tc>
        <w:tc>
          <w:tcPr>
            <w:tcW w:w="1843" w:type="dxa"/>
            <w:vAlign w:val="center"/>
          </w:tcPr>
          <w:p>
            <w:pPr>
              <w:pStyle w:val="10"/>
            </w:pPr>
            <w:r>
              <w:t>计划/历史标准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国际（地区）货运航线数量</w:t>
            </w:r>
          </w:p>
        </w:tc>
        <w:tc>
          <w:tcPr>
            <w:tcW w:w="2891" w:type="dxa"/>
            <w:vAlign w:val="center"/>
          </w:tcPr>
          <w:p>
            <w:pPr>
              <w:pStyle w:val="10"/>
            </w:pPr>
            <w:r>
              <w:t>机场年度内国际（地区）货运航线运营数量</w:t>
            </w:r>
          </w:p>
        </w:tc>
        <w:tc>
          <w:tcPr>
            <w:tcW w:w="1276" w:type="dxa"/>
            <w:vAlign w:val="center"/>
          </w:tcPr>
          <w:p>
            <w:pPr>
              <w:pStyle w:val="10"/>
            </w:pPr>
            <w:r>
              <w:t>≥10条</w:t>
            </w:r>
          </w:p>
        </w:tc>
        <w:tc>
          <w:tcPr>
            <w:tcW w:w="1843" w:type="dxa"/>
            <w:vAlign w:val="center"/>
          </w:tcPr>
          <w:p>
            <w:pPr>
              <w:pStyle w:val="10"/>
            </w:pPr>
            <w:r>
              <w:t>计划/历史标准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补贴政策符合度</w:t>
            </w:r>
          </w:p>
        </w:tc>
        <w:tc>
          <w:tcPr>
            <w:tcW w:w="2891" w:type="dxa"/>
            <w:vAlign w:val="center"/>
          </w:tcPr>
          <w:p>
            <w:pPr>
              <w:pStyle w:val="10"/>
            </w:pPr>
            <w:r>
              <w:t>符合客货运航线补贴政策</w:t>
            </w:r>
          </w:p>
        </w:tc>
        <w:tc>
          <w:tcPr>
            <w:tcW w:w="1276" w:type="dxa"/>
            <w:vAlign w:val="center"/>
          </w:tcPr>
          <w:p>
            <w:pPr>
              <w:pStyle w:val="10"/>
              <w:rPr>
                <w:lang w:eastAsia="zh-CN"/>
              </w:rPr>
            </w:pPr>
            <w:r>
              <w:rPr>
                <w:rFonts w:hint="eastAsia"/>
                <w:lang w:eastAsia="zh-CN"/>
              </w:rPr>
              <w:t>1</w:t>
            </w:r>
            <w:r>
              <w:rPr>
                <w:lang w:eastAsia="zh-CN"/>
              </w:rPr>
              <w:t>00%</w:t>
            </w:r>
          </w:p>
        </w:tc>
        <w:tc>
          <w:tcPr>
            <w:tcW w:w="1843" w:type="dxa"/>
            <w:vAlign w:val="center"/>
          </w:tcPr>
          <w:p>
            <w:pPr>
              <w:pStyle w:val="10"/>
            </w:pPr>
            <w:r>
              <w:t>计划/历史标准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rPr>
                <w:rFonts w:hint="eastAsia"/>
                <w:lang w:eastAsia="zh-CN"/>
              </w:rPr>
              <w:t>补贴足额率</w:t>
            </w:r>
          </w:p>
        </w:tc>
        <w:tc>
          <w:tcPr>
            <w:tcW w:w="2891" w:type="dxa"/>
            <w:vAlign w:val="center"/>
          </w:tcPr>
          <w:p>
            <w:pPr>
              <w:pStyle w:val="10"/>
            </w:pPr>
            <w:r>
              <w:rPr>
                <w:rFonts w:hint="eastAsia"/>
                <w:lang w:eastAsia="zh-CN"/>
              </w:rPr>
              <w:t>补贴足额率</w:t>
            </w:r>
          </w:p>
        </w:tc>
        <w:tc>
          <w:tcPr>
            <w:tcW w:w="1276" w:type="dxa"/>
            <w:vAlign w:val="center"/>
          </w:tcPr>
          <w:p>
            <w:pPr>
              <w:pStyle w:val="10"/>
              <w:rPr>
                <w:lang w:eastAsia="zh-CN"/>
              </w:rPr>
            </w:pPr>
            <w:r>
              <w:rPr>
                <w:rFonts w:hint="eastAsia"/>
                <w:lang w:eastAsia="zh-CN"/>
              </w:rPr>
              <w:t>1</w:t>
            </w:r>
            <w:r>
              <w:rPr>
                <w:lang w:eastAsia="zh-CN"/>
              </w:rPr>
              <w:t>00%</w:t>
            </w:r>
          </w:p>
        </w:tc>
        <w:tc>
          <w:tcPr>
            <w:tcW w:w="1843" w:type="dxa"/>
            <w:vAlign w:val="center"/>
          </w:tcPr>
          <w:p>
            <w:pPr>
              <w:pStyle w:val="10"/>
            </w:pPr>
            <w:r>
              <w:t>计划/历史标准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资金补贴及时性</w:t>
            </w:r>
          </w:p>
        </w:tc>
        <w:tc>
          <w:tcPr>
            <w:tcW w:w="2891" w:type="dxa"/>
            <w:vAlign w:val="center"/>
          </w:tcPr>
          <w:p>
            <w:pPr>
              <w:pStyle w:val="10"/>
            </w:pPr>
            <w:r>
              <w:t>财政资金到账后，45个工作日内拨付完毕</w:t>
            </w:r>
          </w:p>
        </w:tc>
        <w:tc>
          <w:tcPr>
            <w:tcW w:w="1276" w:type="dxa"/>
            <w:vAlign w:val="center"/>
          </w:tcPr>
          <w:p>
            <w:pPr>
              <w:pStyle w:val="10"/>
            </w:pPr>
            <w:r>
              <w:t>≤45天</w:t>
            </w:r>
          </w:p>
        </w:tc>
        <w:tc>
          <w:tcPr>
            <w:tcW w:w="1843" w:type="dxa"/>
            <w:vAlign w:val="center"/>
          </w:tcPr>
          <w:p>
            <w:pPr>
              <w:pStyle w:val="10"/>
            </w:pPr>
            <w:r>
              <w:t>计划/历史标准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机场对外联通性</w:t>
            </w:r>
          </w:p>
        </w:tc>
        <w:tc>
          <w:tcPr>
            <w:tcW w:w="2891" w:type="dxa"/>
            <w:vAlign w:val="center"/>
          </w:tcPr>
          <w:p>
            <w:pPr>
              <w:pStyle w:val="10"/>
            </w:pPr>
            <w:r>
              <w:t>机场国际（地区）客货运航线数量提升</w:t>
            </w:r>
          </w:p>
        </w:tc>
        <w:tc>
          <w:tcPr>
            <w:tcW w:w="1276" w:type="dxa"/>
            <w:vAlign w:val="center"/>
          </w:tcPr>
          <w:p>
            <w:pPr>
              <w:pStyle w:val="10"/>
            </w:pPr>
            <w:r>
              <w:t>提升</w:t>
            </w:r>
          </w:p>
        </w:tc>
        <w:tc>
          <w:tcPr>
            <w:tcW w:w="1843" w:type="dxa"/>
            <w:vAlign w:val="center"/>
          </w:tcPr>
          <w:p>
            <w:pPr>
              <w:pStyle w:val="10"/>
            </w:pPr>
            <w:r>
              <w:t>计划/历史标准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受益对象满意度</w:t>
            </w:r>
          </w:p>
        </w:tc>
        <w:tc>
          <w:tcPr>
            <w:tcW w:w="2891" w:type="dxa"/>
            <w:vAlign w:val="center"/>
          </w:tcPr>
          <w:p>
            <w:pPr>
              <w:pStyle w:val="10"/>
            </w:pPr>
            <w:r>
              <w:t>受益对象满意度</w:t>
            </w:r>
          </w:p>
        </w:tc>
        <w:tc>
          <w:tcPr>
            <w:tcW w:w="1276" w:type="dxa"/>
            <w:vAlign w:val="center"/>
          </w:tcPr>
          <w:p>
            <w:pPr>
              <w:pStyle w:val="10"/>
            </w:pPr>
            <w:r>
              <w:t>≥90%</w:t>
            </w:r>
          </w:p>
        </w:tc>
        <w:tc>
          <w:tcPr>
            <w:tcW w:w="1843" w:type="dxa"/>
            <w:vAlign w:val="center"/>
          </w:tcPr>
          <w:p>
            <w:pPr>
              <w:pStyle w:val="10"/>
            </w:pPr>
            <w:r>
              <w:t>计划/历史标准</w:t>
            </w:r>
          </w:p>
        </w:tc>
      </w:tr>
    </w:tbl>
    <w:p>
      <w:pPr>
        <w:jc w:val="center"/>
      </w:pPr>
      <w:r>
        <w:rPr>
          <w:rFonts w:ascii="方正仿宋_GBK" w:hAnsi="方正仿宋_GBK" w:eastAsia="方正仿宋_GBK" w:cs="方正仿宋_GBK"/>
          <w:color w:val="000000"/>
          <w:sz w:val="28"/>
        </w:rPr>
        <w:t xml:space="preserve"> </w:t>
      </w: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tbl>
      <w:tblPr>
        <w:tblStyle w:val="5"/>
        <w:tblpPr w:leftFromText="180" w:rightFromText="180" w:vertAnchor="text" w:horzAnchor="page" w:tblpX="1020" w:tblpY="56"/>
        <w:tblOverlap w:val="never"/>
        <w:tblW w:w="9894" w:type="dxa"/>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894" w:type="dxa"/>
            <w:gridSpan w:val="7"/>
            <w:tcBorders>
              <w:top w:val="nil"/>
              <w:left w:val="nil"/>
              <w:bottom w:val="nil"/>
              <w:right w:val="nil"/>
            </w:tcBorders>
            <w:vAlign w:val="center"/>
          </w:tcPr>
          <w:p>
            <w:pPr>
              <w:pStyle w:val="10"/>
              <w:rPr>
                <w:rFonts w:hint="default" w:eastAsia="方正书宋_GBK"/>
                <w:lang w:val="en-US" w:eastAsia="zh-CN"/>
              </w:rPr>
            </w:pPr>
            <w:r>
              <w:rPr>
                <w:b/>
                <w:bCs/>
              </w:rPr>
              <w:t>604001青岛市交通运输局本级</w:t>
            </w:r>
            <w:r>
              <w:rPr>
                <w:rFonts w:hint="eastAsia"/>
                <w:b/>
                <w:bCs/>
                <w:lang w:val="en-US" w:eastAsia="zh-CN"/>
              </w:rPr>
              <w:t xml:space="preserve">                                                      </w:t>
            </w: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tcBorders>
              <w:top w:val="nil"/>
            </w:tcBorders>
            <w:vAlign w:val="center"/>
          </w:tcPr>
          <w:p>
            <w:pPr>
              <w:pStyle w:val="9"/>
            </w:pPr>
            <w:r>
              <w:t>项目编码</w:t>
            </w:r>
          </w:p>
        </w:tc>
        <w:tc>
          <w:tcPr>
            <w:tcW w:w="2608" w:type="dxa"/>
            <w:gridSpan w:val="2"/>
            <w:tcBorders>
              <w:top w:val="nil"/>
            </w:tcBorders>
            <w:vAlign w:val="center"/>
          </w:tcPr>
          <w:p>
            <w:pPr>
              <w:pStyle w:val="10"/>
            </w:pPr>
            <w:r>
              <w:t>37020023P650004100028</w:t>
            </w:r>
          </w:p>
        </w:tc>
        <w:tc>
          <w:tcPr>
            <w:tcW w:w="1587" w:type="dxa"/>
            <w:tcBorders>
              <w:top w:val="nil"/>
            </w:tcBorders>
            <w:vAlign w:val="center"/>
          </w:tcPr>
          <w:p>
            <w:pPr>
              <w:pStyle w:val="9"/>
            </w:pPr>
            <w:r>
              <w:t>项目名称</w:t>
            </w:r>
          </w:p>
        </w:tc>
        <w:tc>
          <w:tcPr>
            <w:tcW w:w="4423" w:type="dxa"/>
            <w:gridSpan w:val="3"/>
            <w:tcBorders>
              <w:top w:val="nil"/>
            </w:tcBorders>
            <w:vAlign w:val="center"/>
          </w:tcPr>
          <w:p>
            <w:pPr>
              <w:pStyle w:val="10"/>
            </w:pPr>
            <w:r>
              <w:t>胶州湾大桥通行费补贴资金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16000.00</w:t>
            </w:r>
          </w:p>
        </w:tc>
        <w:tc>
          <w:tcPr>
            <w:tcW w:w="1587" w:type="dxa"/>
            <w:vAlign w:val="center"/>
          </w:tcPr>
          <w:p>
            <w:pPr>
              <w:pStyle w:val="9"/>
            </w:pPr>
            <w:r>
              <w:t>其中：财政    资金</w:t>
            </w:r>
          </w:p>
        </w:tc>
        <w:tc>
          <w:tcPr>
            <w:tcW w:w="1304" w:type="dxa"/>
            <w:vAlign w:val="center"/>
          </w:tcPr>
          <w:p>
            <w:pPr>
              <w:pStyle w:val="10"/>
            </w:pPr>
            <w:r>
              <w:t>16000.00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tcPr>
          <w:p/>
        </w:tc>
        <w:tc>
          <w:tcPr>
            <w:tcW w:w="8618" w:type="dxa"/>
            <w:gridSpan w:val="6"/>
            <w:vAlign w:val="center"/>
          </w:tcPr>
          <w:p>
            <w:pPr>
              <w:pStyle w:val="10"/>
            </w:pPr>
            <w:r>
              <w:t>按规定对通行胶州湾大桥的一类客车通行费进行补贴。降低胶州湾大桥一类客车通行者的通行费成本。及时拨付补贴资金。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9"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tcPr>
          <w:p/>
        </w:tc>
        <w:tc>
          <w:tcPr>
            <w:tcW w:w="2608" w:type="dxa"/>
            <w:gridSpan w:val="2"/>
            <w:vAlign w:val="center"/>
          </w:tcPr>
          <w:p>
            <w:pPr>
              <w:pStyle w:val="11"/>
            </w:pPr>
            <w:r>
              <w:t>4000.00</w:t>
            </w:r>
          </w:p>
        </w:tc>
        <w:tc>
          <w:tcPr>
            <w:tcW w:w="1587" w:type="dxa"/>
            <w:vAlign w:val="center"/>
          </w:tcPr>
          <w:p>
            <w:pPr>
              <w:pStyle w:val="11"/>
            </w:pPr>
            <w:r>
              <w:t>7000.00</w:t>
            </w:r>
          </w:p>
        </w:tc>
        <w:tc>
          <w:tcPr>
            <w:tcW w:w="1304" w:type="dxa"/>
            <w:vAlign w:val="center"/>
          </w:tcPr>
          <w:p>
            <w:pPr>
              <w:pStyle w:val="11"/>
            </w:pPr>
            <w:r>
              <w:t>10000.00</w:t>
            </w:r>
          </w:p>
        </w:tc>
        <w:tc>
          <w:tcPr>
            <w:tcW w:w="3119" w:type="dxa"/>
            <w:gridSpan w:val="2"/>
            <w:vAlign w:val="center"/>
          </w:tcPr>
          <w:p>
            <w:pPr>
              <w:pStyle w:val="11"/>
            </w:pPr>
            <w:r>
              <w:t>16000.00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Align w:val="center"/>
          </w:tcPr>
          <w:p>
            <w:pPr>
              <w:pStyle w:val="9"/>
            </w:pPr>
            <w:r>
              <w:t>绩效目标</w:t>
            </w:r>
          </w:p>
        </w:tc>
        <w:tc>
          <w:tcPr>
            <w:tcW w:w="8618" w:type="dxa"/>
            <w:gridSpan w:val="6"/>
            <w:vAlign w:val="center"/>
          </w:tcPr>
          <w:p>
            <w:pPr>
              <w:pStyle w:val="10"/>
            </w:pPr>
            <w:r>
              <w:t>按规定对通行胶州湾大桥的一类客车通行费进行补贴。降低胶州湾大桥一类客车通行者的通行费成本。及时拨付补贴资金。</w:t>
            </w:r>
          </w:p>
        </w:tc>
      </w:tr>
    </w:tbl>
    <w:tbl>
      <w:tblPr>
        <w:tblStyle w:val="5"/>
        <w:tblpPr w:leftFromText="180" w:rightFromText="180" w:vertAnchor="text" w:horzAnchor="page" w:tblpX="1080" w:tblpY="16"/>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一类客车通行胶州湾大桥全程通行费</w:t>
            </w:r>
          </w:p>
        </w:tc>
        <w:tc>
          <w:tcPr>
            <w:tcW w:w="2891" w:type="dxa"/>
            <w:vAlign w:val="center"/>
          </w:tcPr>
          <w:p>
            <w:pPr>
              <w:pStyle w:val="10"/>
            </w:pPr>
            <w:r>
              <w:t>一类客车通行胶州湾大桥全程通行费</w:t>
            </w:r>
          </w:p>
        </w:tc>
        <w:tc>
          <w:tcPr>
            <w:tcW w:w="1276" w:type="dxa"/>
            <w:vAlign w:val="center"/>
          </w:tcPr>
          <w:p>
            <w:pPr>
              <w:pStyle w:val="10"/>
            </w:pPr>
            <w:r>
              <w:t>30元/车次</w:t>
            </w:r>
          </w:p>
        </w:tc>
        <w:tc>
          <w:tcPr>
            <w:tcW w:w="1843" w:type="dxa"/>
            <w:vAlign w:val="center"/>
          </w:tcPr>
          <w:p>
            <w:pPr>
              <w:pStyle w:val="10"/>
            </w:pPr>
            <w:r>
              <w:t>计划/历史标准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通行胶州湾大桥一类客车数量</w:t>
            </w:r>
          </w:p>
        </w:tc>
        <w:tc>
          <w:tcPr>
            <w:tcW w:w="2891" w:type="dxa"/>
            <w:vAlign w:val="center"/>
          </w:tcPr>
          <w:p>
            <w:pPr>
              <w:pStyle w:val="10"/>
            </w:pPr>
            <w:r>
              <w:t>通行胶州湾大桥一类客车数量</w:t>
            </w:r>
          </w:p>
        </w:tc>
        <w:tc>
          <w:tcPr>
            <w:tcW w:w="1276" w:type="dxa"/>
            <w:vAlign w:val="center"/>
          </w:tcPr>
          <w:p>
            <w:pPr>
              <w:pStyle w:val="10"/>
            </w:pPr>
            <w:r>
              <w:t>≥23188辆</w:t>
            </w:r>
          </w:p>
        </w:tc>
        <w:tc>
          <w:tcPr>
            <w:tcW w:w="1843" w:type="dxa"/>
            <w:vAlign w:val="center"/>
          </w:tcPr>
          <w:p>
            <w:pPr>
              <w:pStyle w:val="10"/>
            </w:pPr>
            <w:r>
              <w:t>计划/历史标准（合同）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rPr>
                <w:rFonts w:hint="eastAsia"/>
              </w:rPr>
              <w:t>年度补贴次数</w:t>
            </w:r>
          </w:p>
        </w:tc>
        <w:tc>
          <w:tcPr>
            <w:tcW w:w="2891" w:type="dxa"/>
            <w:vAlign w:val="center"/>
          </w:tcPr>
          <w:p>
            <w:pPr>
              <w:pStyle w:val="10"/>
            </w:pPr>
            <w:r>
              <w:rPr>
                <w:rFonts w:hint="eastAsia"/>
              </w:rPr>
              <w:t>年度补贴次数</w:t>
            </w:r>
          </w:p>
        </w:tc>
        <w:tc>
          <w:tcPr>
            <w:tcW w:w="1276" w:type="dxa"/>
            <w:vAlign w:val="center"/>
          </w:tcPr>
          <w:p>
            <w:pPr>
              <w:pStyle w:val="10"/>
            </w:pPr>
            <w:r>
              <w:rPr>
                <w:rFonts w:hint="eastAsia"/>
                <w:lang w:eastAsia="zh-CN"/>
              </w:rPr>
              <w:t>≥</w:t>
            </w:r>
            <w:r>
              <w:t>1</w:t>
            </w:r>
            <w:r>
              <w:rPr>
                <w:rFonts w:hint="eastAsia"/>
                <w:lang w:eastAsia="zh-CN"/>
              </w:rPr>
              <w:t>次</w:t>
            </w:r>
          </w:p>
        </w:tc>
        <w:tc>
          <w:tcPr>
            <w:tcW w:w="1843" w:type="dxa"/>
            <w:vAlign w:val="center"/>
          </w:tcPr>
          <w:p>
            <w:pPr>
              <w:pStyle w:val="10"/>
            </w:pPr>
            <w:r>
              <w:t>计划/历史标准（合同）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补贴资金拨付率</w:t>
            </w:r>
          </w:p>
        </w:tc>
        <w:tc>
          <w:tcPr>
            <w:tcW w:w="2891" w:type="dxa"/>
            <w:vAlign w:val="center"/>
          </w:tcPr>
          <w:p>
            <w:pPr>
              <w:pStyle w:val="10"/>
            </w:pPr>
            <w:r>
              <w:t>实际拨付的金额除以按照约定应该拨付的金额</w:t>
            </w:r>
          </w:p>
        </w:tc>
        <w:tc>
          <w:tcPr>
            <w:tcW w:w="1276" w:type="dxa"/>
            <w:vAlign w:val="center"/>
          </w:tcPr>
          <w:p>
            <w:pPr>
              <w:pStyle w:val="10"/>
            </w:pPr>
            <w:r>
              <w:t>100%</w:t>
            </w:r>
          </w:p>
        </w:tc>
        <w:tc>
          <w:tcPr>
            <w:tcW w:w="1843" w:type="dxa"/>
            <w:vAlign w:val="center"/>
          </w:tcPr>
          <w:p>
            <w:pPr>
              <w:pStyle w:val="10"/>
            </w:pPr>
            <w:r>
              <w:t>计划/历史标准（合同）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补贴资金拨付合规率</w:t>
            </w:r>
          </w:p>
        </w:tc>
        <w:tc>
          <w:tcPr>
            <w:tcW w:w="2891" w:type="dxa"/>
            <w:vAlign w:val="center"/>
          </w:tcPr>
          <w:p>
            <w:pPr>
              <w:pStyle w:val="10"/>
            </w:pPr>
            <w:r>
              <w:t>按照《胶州湾大桥通行费财政补贴专项资金管理办法》拨付补贴资金</w:t>
            </w:r>
          </w:p>
        </w:tc>
        <w:tc>
          <w:tcPr>
            <w:tcW w:w="1276" w:type="dxa"/>
            <w:vAlign w:val="center"/>
          </w:tcPr>
          <w:p>
            <w:pPr>
              <w:pStyle w:val="10"/>
              <w:rPr>
                <w:lang w:eastAsia="zh-CN"/>
              </w:rPr>
            </w:pPr>
            <w:r>
              <w:rPr>
                <w:rFonts w:hint="eastAsia"/>
                <w:lang w:eastAsia="zh-CN"/>
              </w:rPr>
              <w:t>1</w:t>
            </w:r>
            <w:r>
              <w:rPr>
                <w:lang w:eastAsia="zh-CN"/>
              </w:rPr>
              <w:t>00%</w:t>
            </w:r>
          </w:p>
        </w:tc>
        <w:tc>
          <w:tcPr>
            <w:tcW w:w="1843" w:type="dxa"/>
            <w:vAlign w:val="center"/>
          </w:tcPr>
          <w:p>
            <w:pPr>
              <w:pStyle w:val="10"/>
            </w:pPr>
            <w:r>
              <w:t>计划/历史标准（合同）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补贴资金拨付及时率</w:t>
            </w:r>
          </w:p>
        </w:tc>
        <w:tc>
          <w:tcPr>
            <w:tcW w:w="2891" w:type="dxa"/>
            <w:vAlign w:val="center"/>
          </w:tcPr>
          <w:p>
            <w:pPr>
              <w:pStyle w:val="10"/>
            </w:pPr>
            <w:r>
              <w:t>按照《胶州湾大桥通行费财政补贴专项资金管理办法》规定的节点拨付补贴资金。</w:t>
            </w:r>
          </w:p>
        </w:tc>
        <w:tc>
          <w:tcPr>
            <w:tcW w:w="1276" w:type="dxa"/>
            <w:vAlign w:val="center"/>
          </w:tcPr>
          <w:p>
            <w:pPr>
              <w:pStyle w:val="10"/>
              <w:rPr>
                <w:lang w:eastAsia="zh-CN"/>
              </w:rPr>
            </w:pPr>
            <w:r>
              <w:rPr>
                <w:rFonts w:hint="eastAsia"/>
                <w:lang w:eastAsia="zh-CN"/>
              </w:rPr>
              <w:t>1</w:t>
            </w:r>
            <w:r>
              <w:rPr>
                <w:lang w:eastAsia="zh-CN"/>
              </w:rPr>
              <w:t>00%</w:t>
            </w:r>
          </w:p>
        </w:tc>
        <w:tc>
          <w:tcPr>
            <w:tcW w:w="1843" w:type="dxa"/>
            <w:vAlign w:val="center"/>
          </w:tcPr>
          <w:p>
            <w:pPr>
              <w:pStyle w:val="10"/>
            </w:pPr>
            <w:r>
              <w:t>计划/历史标准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违约比率</w:t>
            </w:r>
          </w:p>
        </w:tc>
        <w:tc>
          <w:tcPr>
            <w:tcW w:w="2891" w:type="dxa"/>
            <w:vAlign w:val="center"/>
          </w:tcPr>
          <w:p>
            <w:pPr>
              <w:pStyle w:val="10"/>
            </w:pPr>
            <w:r>
              <w:t>违约比率</w:t>
            </w:r>
          </w:p>
        </w:tc>
        <w:tc>
          <w:tcPr>
            <w:tcW w:w="1276" w:type="dxa"/>
            <w:vAlign w:val="center"/>
          </w:tcPr>
          <w:p>
            <w:pPr>
              <w:pStyle w:val="10"/>
              <w:rPr>
                <w:lang w:eastAsia="zh-CN"/>
              </w:rPr>
            </w:pPr>
            <w:r>
              <w:t>0</w:t>
            </w:r>
            <w:r>
              <w:rPr>
                <w:rFonts w:hint="eastAsia"/>
                <w:lang w:eastAsia="zh-CN"/>
              </w:rPr>
              <w:t>%</w:t>
            </w:r>
          </w:p>
        </w:tc>
        <w:tc>
          <w:tcPr>
            <w:tcW w:w="1843" w:type="dxa"/>
            <w:vAlign w:val="center"/>
          </w:tcPr>
          <w:p>
            <w:pPr>
              <w:pStyle w:val="10"/>
            </w:pPr>
            <w:r>
              <w:t>计划/历史标准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受益对象满意度</w:t>
            </w:r>
          </w:p>
        </w:tc>
        <w:tc>
          <w:tcPr>
            <w:tcW w:w="2891" w:type="dxa"/>
            <w:vAlign w:val="center"/>
          </w:tcPr>
          <w:p>
            <w:pPr>
              <w:pStyle w:val="10"/>
            </w:pPr>
            <w:r>
              <w:t>受益对象满意度</w:t>
            </w:r>
          </w:p>
        </w:tc>
        <w:tc>
          <w:tcPr>
            <w:tcW w:w="1276" w:type="dxa"/>
            <w:vAlign w:val="center"/>
          </w:tcPr>
          <w:p>
            <w:pPr>
              <w:pStyle w:val="10"/>
            </w:pPr>
            <w:r>
              <w:t>≥90%</w:t>
            </w:r>
          </w:p>
        </w:tc>
        <w:tc>
          <w:tcPr>
            <w:tcW w:w="1843" w:type="dxa"/>
            <w:vAlign w:val="center"/>
          </w:tcPr>
          <w:p>
            <w:pPr>
              <w:pStyle w:val="10"/>
            </w:pPr>
            <w:r>
              <w:t>计划/历史标准</w:t>
            </w:r>
          </w:p>
        </w:tc>
      </w:tr>
    </w:tbl>
    <w:p>
      <w:pPr>
        <w:numPr>
          <w:ilvl w:val="0"/>
          <w:numId w:val="0"/>
        </w:numPr>
        <w:ind w:leftChars="0"/>
        <w:rPr>
          <w:rFonts w:hint="default" w:ascii="黑体" w:hAnsi="黑体" w:eastAsia="黑体" w:cs="黑体"/>
          <w:sz w:val="32"/>
          <w:szCs w:val="32"/>
          <w:lang w:val="en-US" w:eastAsia="zh-CN"/>
        </w:rPr>
      </w:pPr>
    </w:p>
    <w:p>
      <w:pPr>
        <w:spacing w:line="2" w:lineRule="exact"/>
        <w:jc w:val="center"/>
      </w:pPr>
      <w:r>
        <w:rPr>
          <w:rFonts w:ascii="方正书宋_GBK" w:hAnsi="方正书宋_GBK" w:eastAsia="方正书宋_GBK" w:cs="方正书宋_GBK"/>
          <w:color w:val="000000"/>
          <w:sz w:val="21"/>
        </w:rPr>
        <w:t xml:space="preserve"> </w:t>
      </w:r>
    </w:p>
    <w:p>
      <w:pPr>
        <w:sectPr>
          <w:pgSz w:w="11900" w:h="16840"/>
          <w:pgMar w:top="1984" w:right="1304" w:bottom="1134" w:left="1304" w:header="720" w:footer="720" w:gutter="0"/>
          <w:pgNumType w:fmt="numberInDash"/>
          <w:cols w:space="720" w:num="1"/>
        </w:sect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6.交通运行维护资金</w:t>
            </w:r>
          </w:p>
          <w:p>
            <w:pPr>
              <w:pStyle w:val="7"/>
            </w:pPr>
            <w:r>
              <w:t>604001青岛市交通运输局本级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37020023P65000310002J</w:t>
            </w:r>
          </w:p>
        </w:tc>
        <w:tc>
          <w:tcPr>
            <w:tcW w:w="1587" w:type="dxa"/>
            <w:vAlign w:val="center"/>
          </w:tcPr>
          <w:p>
            <w:pPr>
              <w:pStyle w:val="9"/>
            </w:pPr>
            <w:r>
              <w:t>项目名称</w:t>
            </w:r>
          </w:p>
        </w:tc>
        <w:tc>
          <w:tcPr>
            <w:tcW w:w="4422" w:type="dxa"/>
            <w:gridSpan w:val="3"/>
            <w:vAlign w:val="center"/>
          </w:tcPr>
          <w:p>
            <w:pPr>
              <w:pStyle w:val="10"/>
            </w:pPr>
            <w:r>
              <w:t>2020年度市区616辆公交车辆更新项目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11873.00</w:t>
            </w:r>
          </w:p>
        </w:tc>
        <w:tc>
          <w:tcPr>
            <w:tcW w:w="1587" w:type="dxa"/>
            <w:vAlign w:val="center"/>
          </w:tcPr>
          <w:p>
            <w:pPr>
              <w:pStyle w:val="9"/>
            </w:pPr>
            <w:r>
              <w:t>其中：财政    资金</w:t>
            </w:r>
          </w:p>
        </w:tc>
        <w:tc>
          <w:tcPr>
            <w:tcW w:w="1304" w:type="dxa"/>
            <w:vAlign w:val="center"/>
          </w:tcPr>
          <w:p>
            <w:pPr>
              <w:pStyle w:val="10"/>
            </w:pPr>
            <w:r>
              <w:t>11873.00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淘汰老旧柴油车，全部更新为新能源公交车，改善市民出行条件，为市民提供更加安全、舒适、节能、环保的公交车，促进城市节能减排。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11873.00</w:t>
            </w:r>
          </w:p>
        </w:tc>
        <w:tc>
          <w:tcPr>
            <w:tcW w:w="1304" w:type="dxa"/>
            <w:vAlign w:val="center"/>
          </w:tcPr>
          <w:p>
            <w:pPr>
              <w:pStyle w:val="11"/>
            </w:pPr>
            <w:r>
              <w:t>11873.00</w:t>
            </w:r>
          </w:p>
        </w:tc>
        <w:tc>
          <w:tcPr>
            <w:tcW w:w="3118" w:type="dxa"/>
            <w:gridSpan w:val="2"/>
            <w:vAlign w:val="center"/>
          </w:tcPr>
          <w:p>
            <w:pPr>
              <w:pStyle w:val="11"/>
            </w:pPr>
            <w:r>
              <w:t>11873.00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淘汰老旧柴油车，全部更新为新能源公交车，改善市民出行条件，为市民提供更加安全、舒适、节能、环保的公交车，促进城市节能减排。</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2020年度市区616辆公交车辆更新项目</w:t>
            </w:r>
            <w:r>
              <w:rPr>
                <w:rFonts w:hint="eastAsia"/>
                <w:lang w:eastAsia="zh-CN"/>
              </w:rPr>
              <w:t>成本控制数</w:t>
            </w:r>
          </w:p>
        </w:tc>
        <w:tc>
          <w:tcPr>
            <w:tcW w:w="2891" w:type="dxa"/>
            <w:vAlign w:val="center"/>
          </w:tcPr>
          <w:p>
            <w:pPr>
              <w:pStyle w:val="10"/>
            </w:pPr>
            <w:r>
              <w:t>2020年度市区616辆公交车辆更新项目</w:t>
            </w:r>
            <w:r>
              <w:rPr>
                <w:rFonts w:hint="eastAsia"/>
                <w:lang w:eastAsia="zh-CN"/>
              </w:rPr>
              <w:t>成本控制数</w:t>
            </w:r>
          </w:p>
        </w:tc>
        <w:tc>
          <w:tcPr>
            <w:tcW w:w="1276" w:type="dxa"/>
            <w:vAlign w:val="center"/>
          </w:tcPr>
          <w:p>
            <w:pPr>
              <w:pStyle w:val="10"/>
            </w:pPr>
            <w:r>
              <w:t>≤11873万元</w:t>
            </w:r>
          </w:p>
        </w:tc>
        <w:tc>
          <w:tcPr>
            <w:tcW w:w="1843" w:type="dxa"/>
            <w:vAlign w:val="center"/>
          </w:tcPr>
          <w:p>
            <w:pPr>
              <w:pStyle w:val="10"/>
            </w:pPr>
            <w:r>
              <w:t>计划/历史标准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公交车辆更新数量</w:t>
            </w:r>
          </w:p>
        </w:tc>
        <w:tc>
          <w:tcPr>
            <w:tcW w:w="2891" w:type="dxa"/>
            <w:vAlign w:val="center"/>
          </w:tcPr>
          <w:p>
            <w:pPr>
              <w:pStyle w:val="10"/>
            </w:pPr>
            <w:r>
              <w:t>完成2020年市区公交车辆更新数量</w:t>
            </w:r>
          </w:p>
        </w:tc>
        <w:tc>
          <w:tcPr>
            <w:tcW w:w="1276" w:type="dxa"/>
            <w:vAlign w:val="center"/>
          </w:tcPr>
          <w:p>
            <w:pPr>
              <w:pStyle w:val="10"/>
            </w:pPr>
            <w:r>
              <w:t>616辆</w:t>
            </w:r>
          </w:p>
        </w:tc>
        <w:tc>
          <w:tcPr>
            <w:tcW w:w="1843" w:type="dxa"/>
            <w:vAlign w:val="center"/>
          </w:tcPr>
          <w:p>
            <w:pPr>
              <w:pStyle w:val="10"/>
            </w:pPr>
            <w:r>
              <w:t>计划/历史标准（合同）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更新车辆投放公交线路</w:t>
            </w:r>
          </w:p>
        </w:tc>
        <w:tc>
          <w:tcPr>
            <w:tcW w:w="2891" w:type="dxa"/>
            <w:vAlign w:val="center"/>
          </w:tcPr>
          <w:p>
            <w:pPr>
              <w:pStyle w:val="10"/>
            </w:pPr>
            <w:r>
              <w:t>2020年市区更新的616辆新能源公交车投放在50条公交线路运营</w:t>
            </w:r>
          </w:p>
        </w:tc>
        <w:tc>
          <w:tcPr>
            <w:tcW w:w="1276" w:type="dxa"/>
            <w:vAlign w:val="center"/>
          </w:tcPr>
          <w:p>
            <w:pPr>
              <w:pStyle w:val="10"/>
            </w:pPr>
            <w:r>
              <w:t>≥50条</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rPr>
                <w:rFonts w:hint="eastAsia"/>
                <w:lang w:eastAsia="zh-CN"/>
              </w:rPr>
              <w:t>时效</w:t>
            </w:r>
            <w:r>
              <w:t>指标</w:t>
            </w:r>
          </w:p>
        </w:tc>
        <w:tc>
          <w:tcPr>
            <w:tcW w:w="1332" w:type="dxa"/>
            <w:vAlign w:val="center"/>
          </w:tcPr>
          <w:p>
            <w:pPr>
              <w:pStyle w:val="10"/>
            </w:pPr>
            <w:r>
              <w:t>更新车辆在使用年限内保障线路运营期限</w:t>
            </w:r>
          </w:p>
        </w:tc>
        <w:tc>
          <w:tcPr>
            <w:tcW w:w="2891" w:type="dxa"/>
            <w:vAlign w:val="center"/>
          </w:tcPr>
          <w:p>
            <w:pPr>
              <w:pStyle w:val="10"/>
            </w:pPr>
            <w:r>
              <w:t>2020年市区更新的616辆新能源公交车保障所在线路运营期限</w:t>
            </w:r>
          </w:p>
        </w:tc>
        <w:tc>
          <w:tcPr>
            <w:tcW w:w="1276" w:type="dxa"/>
            <w:vAlign w:val="center"/>
          </w:tcPr>
          <w:p>
            <w:pPr>
              <w:pStyle w:val="10"/>
            </w:pPr>
            <w:r>
              <w:t>≥8年</w:t>
            </w:r>
          </w:p>
        </w:tc>
        <w:tc>
          <w:tcPr>
            <w:tcW w:w="1843" w:type="dxa"/>
            <w:vAlign w:val="center"/>
          </w:tcPr>
          <w:p>
            <w:pPr>
              <w:pStyle w:val="10"/>
            </w:pPr>
            <w:r>
              <w:t>计划标准（合同）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rPr>
                <w:rFonts w:asciiTheme="minorHAnsi" w:hAnsiTheme="minorHAnsi"/>
                <w:lang w:val="uk-UA"/>
              </w:rPr>
            </w:pPr>
            <w:r>
              <w:t>合同款项支付合规</w:t>
            </w:r>
            <w:r>
              <w:rPr>
                <w:rFonts w:hint="eastAsia"/>
                <w:lang w:eastAsia="zh-CN"/>
              </w:rPr>
              <w:t>率</w:t>
            </w:r>
          </w:p>
        </w:tc>
        <w:tc>
          <w:tcPr>
            <w:tcW w:w="2891" w:type="dxa"/>
            <w:vAlign w:val="center"/>
          </w:tcPr>
          <w:p>
            <w:pPr>
              <w:pStyle w:val="10"/>
            </w:pPr>
            <w:r>
              <w:t>按照《2020年市区公交车辆更新项目采购合同》约定支付合同款项</w:t>
            </w:r>
          </w:p>
        </w:tc>
        <w:tc>
          <w:tcPr>
            <w:tcW w:w="1276" w:type="dxa"/>
            <w:vAlign w:val="center"/>
          </w:tcPr>
          <w:p>
            <w:pPr>
              <w:pStyle w:val="10"/>
              <w:rPr>
                <w:lang w:eastAsia="zh-CN"/>
              </w:rPr>
            </w:pPr>
            <w:r>
              <w:rPr>
                <w:rFonts w:hint="eastAsia"/>
                <w:lang w:eastAsia="zh-CN"/>
              </w:rPr>
              <w:t>1</w:t>
            </w:r>
            <w:r>
              <w:rPr>
                <w:lang w:eastAsia="zh-CN"/>
              </w:rPr>
              <w:t>00</w:t>
            </w:r>
            <w:r>
              <w:rPr>
                <w:rFonts w:hint="eastAsia"/>
                <w:lang w:eastAsia="zh-CN"/>
              </w:rPr>
              <w:t>%</w:t>
            </w:r>
          </w:p>
        </w:tc>
        <w:tc>
          <w:tcPr>
            <w:tcW w:w="1843" w:type="dxa"/>
            <w:vAlign w:val="center"/>
          </w:tcPr>
          <w:p>
            <w:pPr>
              <w:pStyle w:val="10"/>
            </w:pPr>
            <w:r>
              <w:t>计划</w:t>
            </w:r>
            <w:r>
              <w:rPr>
                <w:rFonts w:hint="eastAsia"/>
                <w:lang w:eastAsia="zh-CN"/>
              </w:rPr>
              <w:t>标准</w:t>
            </w: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rPr>
                <w:rFonts w:hint="eastAsia"/>
                <w:lang w:eastAsia="zh-CN"/>
              </w:rPr>
              <w:t>采购质量达标率</w:t>
            </w:r>
          </w:p>
        </w:tc>
        <w:tc>
          <w:tcPr>
            <w:tcW w:w="2891" w:type="dxa"/>
            <w:vAlign w:val="center"/>
          </w:tcPr>
          <w:p>
            <w:pPr>
              <w:pStyle w:val="10"/>
              <w:rPr>
                <w:rFonts w:asciiTheme="minorHAnsi" w:hAnsiTheme="minorHAnsi"/>
                <w:lang w:val="uk-UA"/>
              </w:rPr>
            </w:pPr>
            <w:r>
              <w:rPr>
                <w:rFonts w:hint="eastAsia"/>
                <w:lang w:eastAsia="zh-CN"/>
              </w:rPr>
              <w:t>采购</w:t>
            </w:r>
            <w:r>
              <w:t>新能源公交车</w:t>
            </w:r>
            <w:r>
              <w:rPr>
                <w:rFonts w:hint="eastAsia"/>
                <w:lang w:eastAsia="zh-CN"/>
              </w:rPr>
              <w:t>质量达标率</w:t>
            </w:r>
          </w:p>
        </w:tc>
        <w:tc>
          <w:tcPr>
            <w:tcW w:w="1276" w:type="dxa"/>
            <w:vAlign w:val="center"/>
          </w:tcPr>
          <w:p>
            <w:pPr>
              <w:pStyle w:val="10"/>
              <w:rPr>
                <w:lang w:eastAsia="zh-CN"/>
              </w:rPr>
            </w:pPr>
            <w:r>
              <w:rPr>
                <w:rFonts w:hint="eastAsia"/>
                <w:lang w:eastAsia="zh-CN"/>
              </w:rPr>
              <w:t>1</w:t>
            </w:r>
            <w:r>
              <w:rPr>
                <w:lang w:eastAsia="zh-CN"/>
              </w:rPr>
              <w:t>00</w:t>
            </w:r>
            <w:r>
              <w:rPr>
                <w:rFonts w:hint="eastAsia"/>
                <w:lang w:eastAsia="zh-CN"/>
              </w:rPr>
              <w:t>%</w:t>
            </w:r>
          </w:p>
        </w:tc>
        <w:tc>
          <w:tcPr>
            <w:tcW w:w="1843" w:type="dxa"/>
            <w:vAlign w:val="center"/>
          </w:tcPr>
          <w:p>
            <w:pPr>
              <w:pStyle w:val="10"/>
            </w:pPr>
            <w:r>
              <w:t>计划/历史标准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拨付资金时限</w:t>
            </w:r>
          </w:p>
        </w:tc>
        <w:tc>
          <w:tcPr>
            <w:tcW w:w="2891" w:type="dxa"/>
            <w:vAlign w:val="center"/>
          </w:tcPr>
          <w:p>
            <w:pPr>
              <w:pStyle w:val="10"/>
            </w:pPr>
            <w:r>
              <w:t>2023年6月底前</w:t>
            </w:r>
          </w:p>
        </w:tc>
        <w:tc>
          <w:tcPr>
            <w:tcW w:w="1276" w:type="dxa"/>
            <w:vAlign w:val="center"/>
          </w:tcPr>
          <w:p>
            <w:pPr>
              <w:pStyle w:val="10"/>
            </w:pPr>
            <w:r>
              <w:t>2023年6月底前</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促进城市绿色出行</w:t>
            </w:r>
          </w:p>
        </w:tc>
        <w:tc>
          <w:tcPr>
            <w:tcW w:w="2891" w:type="dxa"/>
            <w:vAlign w:val="center"/>
          </w:tcPr>
          <w:p>
            <w:pPr>
              <w:pStyle w:val="10"/>
            </w:pPr>
            <w:r>
              <w:t>新能源公交车推广应用促进我市绿色出行</w:t>
            </w:r>
          </w:p>
        </w:tc>
        <w:tc>
          <w:tcPr>
            <w:tcW w:w="1276" w:type="dxa"/>
            <w:vAlign w:val="center"/>
          </w:tcPr>
          <w:p>
            <w:pPr>
              <w:pStyle w:val="10"/>
            </w:pPr>
            <w:r>
              <w:t>促进</w:t>
            </w:r>
          </w:p>
        </w:tc>
        <w:tc>
          <w:tcPr>
            <w:tcW w:w="1843" w:type="dxa"/>
            <w:vAlign w:val="center"/>
          </w:tcPr>
          <w:p>
            <w:pPr>
              <w:pStyle w:val="10"/>
            </w:pPr>
            <w:r>
              <w:t>计划/历史标准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市民对公共交通服务满意度调查报告结果</w:t>
            </w:r>
          </w:p>
        </w:tc>
        <w:tc>
          <w:tcPr>
            <w:tcW w:w="1276" w:type="dxa"/>
            <w:vAlign w:val="center"/>
          </w:tcPr>
          <w:p>
            <w:pPr>
              <w:pStyle w:val="10"/>
            </w:pPr>
            <w:r>
              <w:t>≥90%</w:t>
            </w:r>
          </w:p>
        </w:tc>
        <w:tc>
          <w:tcPr>
            <w:tcW w:w="1843" w:type="dxa"/>
            <w:vAlign w:val="center"/>
          </w:tcPr>
          <w:p>
            <w:pPr>
              <w:pStyle w:val="10"/>
            </w:pPr>
            <w:r>
              <w:t>计划/历史标准</w:t>
            </w:r>
          </w:p>
        </w:tc>
      </w:tr>
    </w:tbl>
    <w:p>
      <w:pPr>
        <w:sectPr>
          <w:pgSz w:w="11900" w:h="16840"/>
          <w:pgMar w:top="1984" w:right="1304" w:bottom="1134" w:left="1304" w:header="720" w:footer="720" w:gutter="0"/>
          <w:pgNumType w:fmt="numberInDash"/>
          <w:cols w:space="720" w:num="1"/>
        </w:sectPr>
      </w:pPr>
    </w:p>
    <w:p>
      <w:pPr>
        <w:numPr>
          <w:ilvl w:val="0"/>
          <w:numId w:val="0"/>
        </w:numPr>
        <w:ind w:leftChars="0"/>
        <w:rPr>
          <w:rFonts w:hint="default" w:ascii="黑体" w:hAnsi="黑体" w:eastAsia="黑体" w:cs="黑体"/>
          <w:sz w:val="32"/>
          <w:szCs w:val="32"/>
          <w:lang w:val="en-US" w:eastAsia="zh-CN"/>
        </w:rPr>
      </w:pPr>
    </w:p>
    <w:tbl>
      <w:tblPr>
        <w:tblStyle w:val="5"/>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7"/>
            </w:pPr>
            <w:r>
              <w:t>604001青岛市交通运输局本级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37020022P65000910003R</w:t>
            </w:r>
          </w:p>
        </w:tc>
        <w:tc>
          <w:tcPr>
            <w:tcW w:w="1587" w:type="dxa"/>
            <w:vAlign w:val="center"/>
          </w:tcPr>
          <w:p>
            <w:pPr>
              <w:pStyle w:val="9"/>
            </w:pPr>
            <w:r>
              <w:t>项目名称</w:t>
            </w:r>
          </w:p>
        </w:tc>
        <w:tc>
          <w:tcPr>
            <w:tcW w:w="4423" w:type="dxa"/>
            <w:gridSpan w:val="3"/>
            <w:vAlign w:val="center"/>
          </w:tcPr>
          <w:p>
            <w:pPr>
              <w:pStyle w:val="10"/>
            </w:pPr>
            <w:r>
              <w:t>政府购买城市公交服务费用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200000.00</w:t>
            </w:r>
          </w:p>
        </w:tc>
        <w:tc>
          <w:tcPr>
            <w:tcW w:w="1587" w:type="dxa"/>
            <w:vAlign w:val="center"/>
          </w:tcPr>
          <w:p>
            <w:pPr>
              <w:pStyle w:val="9"/>
            </w:pPr>
            <w:r>
              <w:t>其中：财政    资金</w:t>
            </w:r>
          </w:p>
        </w:tc>
        <w:tc>
          <w:tcPr>
            <w:tcW w:w="1304" w:type="dxa"/>
            <w:vAlign w:val="center"/>
          </w:tcPr>
          <w:p>
            <w:pPr>
              <w:pStyle w:val="10"/>
            </w:pPr>
            <w:r>
              <w:t>200000.00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2023年完成城市购买公交服务项目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9"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50000.00</w:t>
            </w:r>
          </w:p>
        </w:tc>
        <w:tc>
          <w:tcPr>
            <w:tcW w:w="1587" w:type="dxa"/>
            <w:vAlign w:val="center"/>
          </w:tcPr>
          <w:p>
            <w:pPr>
              <w:pStyle w:val="11"/>
            </w:pPr>
            <w:r>
              <w:t>100000.00</w:t>
            </w:r>
          </w:p>
        </w:tc>
        <w:tc>
          <w:tcPr>
            <w:tcW w:w="1304" w:type="dxa"/>
            <w:vAlign w:val="center"/>
          </w:tcPr>
          <w:p>
            <w:pPr>
              <w:pStyle w:val="11"/>
            </w:pPr>
            <w:r>
              <w:t>150000.00</w:t>
            </w:r>
          </w:p>
        </w:tc>
        <w:tc>
          <w:tcPr>
            <w:tcW w:w="3119" w:type="dxa"/>
            <w:gridSpan w:val="2"/>
            <w:vAlign w:val="center"/>
          </w:tcPr>
          <w:p>
            <w:pPr>
              <w:pStyle w:val="11"/>
            </w:pPr>
            <w:r>
              <w:t>200000.00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8" w:type="dxa"/>
            <w:gridSpan w:val="6"/>
            <w:vAlign w:val="center"/>
          </w:tcPr>
          <w:p>
            <w:pPr>
              <w:pStyle w:val="10"/>
            </w:pPr>
            <w:r>
              <w:t>2023年完成城市购买公交服务项目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政府购买城市公交服务费用成本</w:t>
            </w:r>
            <w:r>
              <w:rPr>
                <w:rFonts w:hint="eastAsia"/>
                <w:lang w:eastAsia="zh-CN"/>
              </w:rPr>
              <w:t>控制数</w:t>
            </w:r>
          </w:p>
        </w:tc>
        <w:tc>
          <w:tcPr>
            <w:tcW w:w="2891" w:type="dxa"/>
            <w:vAlign w:val="center"/>
          </w:tcPr>
          <w:p>
            <w:pPr>
              <w:pStyle w:val="10"/>
            </w:pPr>
            <w:r>
              <w:t>政府购买城市公交服务费用成本</w:t>
            </w:r>
            <w:r>
              <w:rPr>
                <w:rFonts w:hint="eastAsia"/>
                <w:lang w:eastAsia="zh-CN"/>
              </w:rPr>
              <w:t>控制数</w:t>
            </w:r>
          </w:p>
        </w:tc>
        <w:tc>
          <w:tcPr>
            <w:tcW w:w="1276" w:type="dxa"/>
            <w:vAlign w:val="center"/>
          </w:tcPr>
          <w:p>
            <w:pPr>
              <w:pStyle w:val="10"/>
            </w:pPr>
            <w:r>
              <w:t>≤200000万元</w:t>
            </w:r>
          </w:p>
        </w:tc>
        <w:tc>
          <w:tcPr>
            <w:tcW w:w="1843" w:type="dxa"/>
            <w:vAlign w:val="center"/>
          </w:tcPr>
          <w:p>
            <w:pPr>
              <w:pStyle w:val="10"/>
            </w:pPr>
            <w:r>
              <w:t>计划/历史标准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rPr>
                <w:rFonts w:asciiTheme="minorHAnsi" w:hAnsiTheme="minorHAnsi"/>
                <w:lang w:val="uk-UA"/>
              </w:rPr>
            </w:pPr>
            <w:r>
              <w:rPr>
                <w:rFonts w:hint="eastAsia"/>
                <w:lang w:eastAsia="zh-CN"/>
              </w:rPr>
              <w:t>完成</w:t>
            </w:r>
            <w:r>
              <w:t>营运总里程</w:t>
            </w:r>
            <w:r>
              <w:rPr>
                <w:rFonts w:hint="eastAsia"/>
                <w:lang w:eastAsia="zh-CN"/>
              </w:rPr>
              <w:t>车辆占比</w:t>
            </w:r>
          </w:p>
        </w:tc>
        <w:tc>
          <w:tcPr>
            <w:tcW w:w="2891" w:type="dxa"/>
            <w:vAlign w:val="center"/>
          </w:tcPr>
          <w:p>
            <w:pPr>
              <w:pStyle w:val="10"/>
              <w:rPr>
                <w:rFonts w:asciiTheme="minorHAnsi" w:hAnsiTheme="minorHAnsi"/>
                <w:lang w:val="uk-UA"/>
              </w:rPr>
            </w:pPr>
            <w:r>
              <w:rPr>
                <w:rFonts w:hint="eastAsia"/>
                <w:lang w:eastAsia="zh-CN"/>
              </w:rPr>
              <w:t>完成</w:t>
            </w:r>
            <w:r>
              <w:t>营运总里程</w:t>
            </w:r>
            <w:r>
              <w:rPr>
                <w:rFonts w:hint="eastAsia"/>
                <w:lang w:eastAsia="zh-CN"/>
              </w:rPr>
              <w:t>车辆占比</w:t>
            </w:r>
          </w:p>
        </w:tc>
        <w:tc>
          <w:tcPr>
            <w:tcW w:w="1276" w:type="dxa"/>
            <w:vAlign w:val="center"/>
          </w:tcPr>
          <w:p>
            <w:pPr>
              <w:pStyle w:val="10"/>
            </w:pPr>
            <w:r>
              <w:t>≥80%</w:t>
            </w:r>
          </w:p>
        </w:tc>
        <w:tc>
          <w:tcPr>
            <w:tcW w:w="1843" w:type="dxa"/>
            <w:vAlign w:val="center"/>
          </w:tcPr>
          <w:p>
            <w:pPr>
              <w:pStyle w:val="10"/>
            </w:pPr>
            <w:r>
              <w:t>计划/历史标准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rPr>
                <w:rFonts w:hint="eastAsia"/>
                <w:lang w:eastAsia="zh-CN"/>
              </w:rPr>
              <w:t>完成</w:t>
            </w:r>
            <w:r>
              <w:t>载客时间</w:t>
            </w:r>
            <w:r>
              <w:rPr>
                <w:rFonts w:hint="eastAsia"/>
                <w:lang w:eastAsia="zh-CN"/>
              </w:rPr>
              <w:t>车辆占比</w:t>
            </w:r>
          </w:p>
        </w:tc>
        <w:tc>
          <w:tcPr>
            <w:tcW w:w="2891" w:type="dxa"/>
            <w:vAlign w:val="center"/>
          </w:tcPr>
          <w:p>
            <w:pPr>
              <w:pStyle w:val="10"/>
            </w:pPr>
            <w:r>
              <w:rPr>
                <w:rFonts w:hint="eastAsia"/>
                <w:lang w:eastAsia="zh-CN"/>
              </w:rPr>
              <w:t>完成</w:t>
            </w:r>
            <w:r>
              <w:t>载客时间</w:t>
            </w:r>
            <w:r>
              <w:rPr>
                <w:rFonts w:hint="eastAsia"/>
                <w:lang w:eastAsia="zh-CN"/>
              </w:rPr>
              <w:t>车辆占比</w:t>
            </w:r>
          </w:p>
        </w:tc>
        <w:tc>
          <w:tcPr>
            <w:tcW w:w="1276" w:type="dxa"/>
            <w:vAlign w:val="center"/>
          </w:tcPr>
          <w:p>
            <w:pPr>
              <w:pStyle w:val="10"/>
            </w:pPr>
            <w:r>
              <w:t>≥80%</w:t>
            </w:r>
          </w:p>
        </w:tc>
        <w:tc>
          <w:tcPr>
            <w:tcW w:w="1843" w:type="dxa"/>
            <w:vAlign w:val="center"/>
          </w:tcPr>
          <w:p>
            <w:pPr>
              <w:pStyle w:val="10"/>
            </w:pPr>
            <w:r>
              <w:t>计划/历史标准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服务质量</w:t>
            </w:r>
            <w:r>
              <w:rPr>
                <w:rFonts w:hint="eastAsia"/>
                <w:lang w:eastAsia="zh-CN"/>
              </w:rPr>
              <w:t>达标率</w:t>
            </w:r>
          </w:p>
        </w:tc>
        <w:tc>
          <w:tcPr>
            <w:tcW w:w="2891" w:type="dxa"/>
            <w:vAlign w:val="center"/>
          </w:tcPr>
          <w:p>
            <w:pPr>
              <w:pStyle w:val="10"/>
            </w:pPr>
            <w:r>
              <w:t>按照政府购买公交服务方案标准执行</w:t>
            </w:r>
          </w:p>
        </w:tc>
        <w:tc>
          <w:tcPr>
            <w:tcW w:w="1276" w:type="dxa"/>
            <w:vAlign w:val="center"/>
          </w:tcPr>
          <w:p>
            <w:pPr>
              <w:pStyle w:val="10"/>
            </w:pPr>
            <w:r>
              <w:rPr>
                <w:rFonts w:hint="eastAsia"/>
                <w:lang w:eastAsia="zh-CN"/>
              </w:rPr>
              <w:t>1</w:t>
            </w:r>
            <w:r>
              <w:rPr>
                <w:lang w:eastAsia="zh-CN"/>
              </w:rPr>
              <w:t>00%</w:t>
            </w:r>
          </w:p>
        </w:tc>
        <w:tc>
          <w:tcPr>
            <w:tcW w:w="1843" w:type="dxa"/>
            <w:vAlign w:val="center"/>
          </w:tcPr>
          <w:p>
            <w:pPr>
              <w:pStyle w:val="10"/>
            </w:pPr>
            <w:r>
              <w:t>计划/历史标准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资金支出合规率</w:t>
            </w:r>
          </w:p>
        </w:tc>
        <w:tc>
          <w:tcPr>
            <w:tcW w:w="2891" w:type="dxa"/>
            <w:vAlign w:val="center"/>
          </w:tcPr>
          <w:p>
            <w:pPr>
              <w:pStyle w:val="10"/>
            </w:pPr>
            <w:r>
              <w:t>按照政府购买公交服务方案支付资金</w:t>
            </w:r>
          </w:p>
        </w:tc>
        <w:tc>
          <w:tcPr>
            <w:tcW w:w="1276" w:type="dxa"/>
            <w:vAlign w:val="center"/>
          </w:tcPr>
          <w:p>
            <w:pPr>
              <w:pStyle w:val="10"/>
              <w:rPr>
                <w:lang w:eastAsia="zh-CN"/>
              </w:rPr>
            </w:pPr>
            <w:r>
              <w:rPr>
                <w:rFonts w:hint="eastAsia"/>
                <w:lang w:eastAsia="zh-CN"/>
              </w:rPr>
              <w:t>1</w:t>
            </w:r>
            <w:r>
              <w:rPr>
                <w:lang w:eastAsia="zh-CN"/>
              </w:rPr>
              <w:t>00%</w:t>
            </w:r>
          </w:p>
        </w:tc>
        <w:tc>
          <w:tcPr>
            <w:tcW w:w="1843" w:type="dxa"/>
            <w:vAlign w:val="center"/>
          </w:tcPr>
          <w:p>
            <w:pPr>
              <w:pStyle w:val="10"/>
            </w:pPr>
            <w:r>
              <w:t>计划/历史标准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rPr>
                <w:rFonts w:asciiTheme="minorHAnsi" w:hAnsiTheme="minorHAnsi"/>
                <w:lang w:val="uk-UA"/>
              </w:rPr>
            </w:pPr>
            <w:r>
              <w:rPr>
                <w:rFonts w:hint="eastAsia"/>
                <w:lang w:eastAsia="zh-CN"/>
              </w:rPr>
              <w:t>资金支付时效</w:t>
            </w:r>
          </w:p>
        </w:tc>
        <w:tc>
          <w:tcPr>
            <w:tcW w:w="2891" w:type="dxa"/>
            <w:vAlign w:val="center"/>
          </w:tcPr>
          <w:p>
            <w:pPr>
              <w:pStyle w:val="10"/>
            </w:pPr>
            <w:r>
              <w:rPr>
                <w:rFonts w:hint="eastAsia"/>
                <w:lang w:eastAsia="zh-CN"/>
              </w:rPr>
              <w:t>资金支付时效</w:t>
            </w:r>
          </w:p>
        </w:tc>
        <w:tc>
          <w:tcPr>
            <w:tcW w:w="1276" w:type="dxa"/>
            <w:vAlign w:val="center"/>
          </w:tcPr>
          <w:p>
            <w:pPr>
              <w:pStyle w:val="10"/>
              <w:rPr>
                <w:lang w:eastAsia="zh-CN"/>
              </w:rPr>
            </w:pPr>
            <w:r>
              <w:rPr>
                <w:rFonts w:hint="eastAsia"/>
                <w:lang w:eastAsia="zh-CN"/>
              </w:rPr>
              <w:t>每季度1次</w:t>
            </w:r>
          </w:p>
        </w:tc>
        <w:tc>
          <w:tcPr>
            <w:tcW w:w="1843" w:type="dxa"/>
            <w:vAlign w:val="center"/>
          </w:tcPr>
          <w:p>
            <w:pPr>
              <w:pStyle w:val="10"/>
            </w:pPr>
            <w:r>
              <w:t>计划/历史标准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公交服务水平逐步提升</w:t>
            </w:r>
          </w:p>
        </w:tc>
        <w:tc>
          <w:tcPr>
            <w:tcW w:w="2891" w:type="dxa"/>
            <w:vAlign w:val="center"/>
          </w:tcPr>
          <w:p>
            <w:pPr>
              <w:pStyle w:val="10"/>
            </w:pPr>
            <w:r>
              <w:t>公交服务水平逐步提升</w:t>
            </w:r>
          </w:p>
        </w:tc>
        <w:tc>
          <w:tcPr>
            <w:tcW w:w="1276" w:type="dxa"/>
            <w:vAlign w:val="center"/>
          </w:tcPr>
          <w:p>
            <w:pPr>
              <w:pStyle w:val="10"/>
            </w:pPr>
            <w:r>
              <w:t>提升</w:t>
            </w:r>
          </w:p>
        </w:tc>
        <w:tc>
          <w:tcPr>
            <w:tcW w:w="1843" w:type="dxa"/>
            <w:vAlign w:val="center"/>
          </w:tcPr>
          <w:p>
            <w:pPr>
              <w:pStyle w:val="10"/>
            </w:pPr>
            <w:r>
              <w:t>计划/历史标准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市民对公共交通服务的满意度</w:t>
            </w:r>
          </w:p>
        </w:tc>
        <w:tc>
          <w:tcPr>
            <w:tcW w:w="2891" w:type="dxa"/>
            <w:vAlign w:val="center"/>
          </w:tcPr>
          <w:p>
            <w:pPr>
              <w:pStyle w:val="10"/>
            </w:pPr>
            <w:r>
              <w:t>市民对公共交通服务的满意度情况</w:t>
            </w:r>
          </w:p>
        </w:tc>
        <w:tc>
          <w:tcPr>
            <w:tcW w:w="1276" w:type="dxa"/>
            <w:vAlign w:val="center"/>
          </w:tcPr>
          <w:p>
            <w:pPr>
              <w:pStyle w:val="10"/>
            </w:pPr>
            <w:r>
              <w:t>≥90%</w:t>
            </w:r>
          </w:p>
        </w:tc>
        <w:tc>
          <w:tcPr>
            <w:tcW w:w="1843" w:type="dxa"/>
            <w:vAlign w:val="center"/>
          </w:tcPr>
          <w:p>
            <w:pPr>
              <w:pStyle w:val="10"/>
            </w:pPr>
            <w:r>
              <w:t>计划/历史标准</w:t>
            </w:r>
          </w:p>
        </w:tc>
      </w:tr>
    </w:tbl>
    <w:p>
      <w:pPr>
        <w:sectPr>
          <w:pgSz w:w="11900" w:h="16840"/>
          <w:pgMar w:top="1984" w:right="1304" w:bottom="1134" w:left="1304" w:header="720" w:footer="720" w:gutter="0"/>
          <w:pgNumType w:fmt="numberInDash"/>
          <w:cols w:space="720" w:num="1"/>
        </w:sect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604003青岛市公路事业发展中心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37020023P630006100027</w:t>
            </w:r>
          </w:p>
        </w:tc>
        <w:tc>
          <w:tcPr>
            <w:tcW w:w="1587" w:type="dxa"/>
            <w:vAlign w:val="center"/>
          </w:tcPr>
          <w:p>
            <w:pPr>
              <w:pStyle w:val="9"/>
            </w:pPr>
            <w:r>
              <w:t>项目名称</w:t>
            </w:r>
          </w:p>
        </w:tc>
        <w:tc>
          <w:tcPr>
            <w:tcW w:w="4422" w:type="dxa"/>
            <w:gridSpan w:val="3"/>
            <w:vAlign w:val="center"/>
          </w:tcPr>
          <w:p>
            <w:pPr>
              <w:pStyle w:val="10"/>
            </w:pPr>
            <w:r>
              <w:t>普通国省道日常养护费用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23166.00</w:t>
            </w:r>
          </w:p>
        </w:tc>
        <w:tc>
          <w:tcPr>
            <w:tcW w:w="1587" w:type="dxa"/>
            <w:vAlign w:val="center"/>
          </w:tcPr>
          <w:p>
            <w:pPr>
              <w:pStyle w:val="9"/>
            </w:pPr>
            <w:r>
              <w:t>其中：财政    资金</w:t>
            </w:r>
          </w:p>
        </w:tc>
        <w:tc>
          <w:tcPr>
            <w:tcW w:w="1304" w:type="dxa"/>
            <w:vAlign w:val="center"/>
          </w:tcPr>
          <w:p>
            <w:pPr>
              <w:pStyle w:val="10"/>
            </w:pPr>
            <w:r>
              <w:t>23166.00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普通国省道路面、桥梁、隧道技术状况检测，并通过检测数据合理安排日常保养作业和小修项目，做好应急保障工作，维护道路安全畅通运行。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1158.30</w:t>
            </w:r>
          </w:p>
        </w:tc>
        <w:tc>
          <w:tcPr>
            <w:tcW w:w="1587" w:type="dxa"/>
            <w:vAlign w:val="center"/>
          </w:tcPr>
          <w:p>
            <w:pPr>
              <w:pStyle w:val="11"/>
            </w:pPr>
            <w:r>
              <w:t>4949.80</w:t>
            </w:r>
          </w:p>
        </w:tc>
        <w:tc>
          <w:tcPr>
            <w:tcW w:w="1304" w:type="dxa"/>
            <w:vAlign w:val="center"/>
          </w:tcPr>
          <w:p>
            <w:pPr>
              <w:pStyle w:val="11"/>
            </w:pPr>
            <w:r>
              <w:t>13899.60</w:t>
            </w:r>
          </w:p>
        </w:tc>
        <w:tc>
          <w:tcPr>
            <w:tcW w:w="3118" w:type="dxa"/>
            <w:gridSpan w:val="2"/>
            <w:vAlign w:val="center"/>
          </w:tcPr>
          <w:p>
            <w:pPr>
              <w:pStyle w:val="11"/>
            </w:pPr>
            <w:r>
              <w:t>23166.00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切实做好路面和桥梁检测工作，对所管养普通国省道路网运行进行分析研判，不断加大路面养护维修处置力度，确保路面行车安全。</w:t>
            </w:r>
          </w:p>
          <w:p>
            <w:pPr>
              <w:pStyle w:val="10"/>
            </w:pPr>
            <w:r>
              <w:t>保障桥梁安全运营，加大沿线设施维修力度，保持设施完好、外观醒目，确保性能达到最好状态。</w:t>
            </w:r>
          </w:p>
          <w:p>
            <w:pPr>
              <w:pStyle w:val="10"/>
            </w:pPr>
            <w:r>
              <w:t>加大路面保洁力度，保持良好卫生环境，通过日常检查监督，不断提高日常养护管理水平，保持普通国省道公路安全畅通运行。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日常养护年公里投入</w:t>
            </w:r>
          </w:p>
        </w:tc>
        <w:tc>
          <w:tcPr>
            <w:tcW w:w="2891" w:type="dxa"/>
            <w:vAlign w:val="center"/>
          </w:tcPr>
          <w:p>
            <w:pPr>
              <w:pStyle w:val="10"/>
            </w:pPr>
            <w:r>
              <w:t>考察养护成本控制指标。</w:t>
            </w:r>
          </w:p>
        </w:tc>
        <w:tc>
          <w:tcPr>
            <w:tcW w:w="1276" w:type="dxa"/>
            <w:vAlign w:val="center"/>
          </w:tcPr>
          <w:p>
            <w:pPr>
              <w:pStyle w:val="10"/>
            </w:pPr>
            <w:r>
              <w:t>≤19万元</w:t>
            </w:r>
          </w:p>
        </w:tc>
        <w:tc>
          <w:tcPr>
            <w:tcW w:w="1843" w:type="dxa"/>
            <w:vAlign w:val="center"/>
          </w:tcPr>
          <w:p>
            <w:pPr>
              <w:pStyle w:val="10"/>
            </w:pPr>
            <w:r>
              <w:t>抽查各单位日常养护合同执行情况，有无超预算情况。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经济成本指标</w:t>
            </w:r>
          </w:p>
        </w:tc>
        <w:tc>
          <w:tcPr>
            <w:tcW w:w="1332" w:type="dxa"/>
            <w:vAlign w:val="center"/>
          </w:tcPr>
          <w:p>
            <w:pPr>
              <w:pStyle w:val="10"/>
            </w:pPr>
            <w:r>
              <w:t>检测工作所需资金</w:t>
            </w:r>
          </w:p>
        </w:tc>
        <w:tc>
          <w:tcPr>
            <w:tcW w:w="2891" w:type="dxa"/>
            <w:vAlign w:val="center"/>
          </w:tcPr>
          <w:p>
            <w:pPr>
              <w:pStyle w:val="10"/>
            </w:pPr>
            <w:r>
              <w:t>考察检测工作所需成本情况。</w:t>
            </w:r>
          </w:p>
        </w:tc>
        <w:tc>
          <w:tcPr>
            <w:tcW w:w="1276" w:type="dxa"/>
            <w:vAlign w:val="center"/>
          </w:tcPr>
          <w:p>
            <w:pPr>
              <w:pStyle w:val="10"/>
            </w:pPr>
            <w:r>
              <w:t>≤604万元</w:t>
            </w:r>
          </w:p>
        </w:tc>
        <w:tc>
          <w:tcPr>
            <w:tcW w:w="1843" w:type="dxa"/>
            <w:vAlign w:val="center"/>
          </w:tcPr>
          <w:p>
            <w:pPr>
              <w:pStyle w:val="10"/>
            </w:pPr>
            <w:r>
              <w:t>检测合同及资金支出等资料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普通国道管养里程</w:t>
            </w:r>
          </w:p>
        </w:tc>
        <w:tc>
          <w:tcPr>
            <w:tcW w:w="2891" w:type="dxa"/>
            <w:vAlign w:val="center"/>
          </w:tcPr>
          <w:p>
            <w:pPr>
              <w:pStyle w:val="10"/>
            </w:pPr>
            <w:r>
              <w:t>考察养护里程数量</w:t>
            </w:r>
          </w:p>
        </w:tc>
        <w:tc>
          <w:tcPr>
            <w:tcW w:w="1276" w:type="dxa"/>
            <w:vAlign w:val="center"/>
          </w:tcPr>
          <w:p>
            <w:pPr>
              <w:pStyle w:val="10"/>
            </w:pPr>
            <w:r>
              <w:t>520.91公里</w:t>
            </w:r>
          </w:p>
        </w:tc>
        <w:tc>
          <w:tcPr>
            <w:tcW w:w="1843" w:type="dxa"/>
            <w:vAlign w:val="center"/>
          </w:tcPr>
          <w:p>
            <w:pPr>
              <w:pStyle w:val="10"/>
            </w:pPr>
            <w:r>
              <w:t>公路统计年报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管养桥梁数量</w:t>
            </w:r>
          </w:p>
        </w:tc>
        <w:tc>
          <w:tcPr>
            <w:tcW w:w="2891" w:type="dxa"/>
            <w:vAlign w:val="center"/>
          </w:tcPr>
          <w:p>
            <w:pPr>
              <w:pStyle w:val="10"/>
            </w:pPr>
            <w:r>
              <w:t>考察管养桥梁数量</w:t>
            </w:r>
          </w:p>
        </w:tc>
        <w:tc>
          <w:tcPr>
            <w:tcW w:w="1276" w:type="dxa"/>
            <w:vAlign w:val="center"/>
          </w:tcPr>
          <w:p>
            <w:pPr>
              <w:pStyle w:val="10"/>
            </w:pPr>
            <w:r>
              <w:t>882座</w:t>
            </w:r>
          </w:p>
        </w:tc>
        <w:tc>
          <w:tcPr>
            <w:tcW w:w="1843" w:type="dxa"/>
            <w:vAlign w:val="center"/>
          </w:tcPr>
          <w:p>
            <w:pPr>
              <w:pStyle w:val="10"/>
            </w:pPr>
            <w:r>
              <w:t>公路统计年报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管养隧道数量</w:t>
            </w:r>
          </w:p>
        </w:tc>
        <w:tc>
          <w:tcPr>
            <w:tcW w:w="2891" w:type="dxa"/>
            <w:vAlign w:val="center"/>
          </w:tcPr>
          <w:p>
            <w:pPr>
              <w:pStyle w:val="10"/>
            </w:pPr>
            <w:r>
              <w:t>考察管养隧道数量</w:t>
            </w:r>
          </w:p>
        </w:tc>
        <w:tc>
          <w:tcPr>
            <w:tcW w:w="1276" w:type="dxa"/>
            <w:vAlign w:val="center"/>
          </w:tcPr>
          <w:p>
            <w:pPr>
              <w:pStyle w:val="10"/>
            </w:pPr>
            <w:r>
              <w:t>1座</w:t>
            </w:r>
          </w:p>
        </w:tc>
        <w:tc>
          <w:tcPr>
            <w:tcW w:w="1843" w:type="dxa"/>
            <w:vAlign w:val="center"/>
          </w:tcPr>
          <w:p>
            <w:pPr>
              <w:pStyle w:val="10"/>
            </w:pPr>
            <w:r>
              <w:t>公路统计年报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普通国省道桥梁定期检测</w:t>
            </w:r>
          </w:p>
        </w:tc>
        <w:tc>
          <w:tcPr>
            <w:tcW w:w="2891" w:type="dxa"/>
            <w:vAlign w:val="center"/>
          </w:tcPr>
          <w:p>
            <w:pPr>
              <w:pStyle w:val="10"/>
            </w:pPr>
            <w:r>
              <w:t>考察检测覆盖管养桥梁比例超过25%，一般正在实施维修工程的桥梁不进行检测。</w:t>
            </w:r>
          </w:p>
        </w:tc>
        <w:tc>
          <w:tcPr>
            <w:tcW w:w="1276" w:type="dxa"/>
            <w:vAlign w:val="center"/>
          </w:tcPr>
          <w:p>
            <w:pPr>
              <w:pStyle w:val="10"/>
            </w:pPr>
            <w:r>
              <w:t>≥221座</w:t>
            </w:r>
          </w:p>
        </w:tc>
        <w:tc>
          <w:tcPr>
            <w:tcW w:w="1843" w:type="dxa"/>
            <w:vAlign w:val="center"/>
          </w:tcPr>
          <w:p>
            <w:pPr>
              <w:pStyle w:val="10"/>
            </w:pPr>
            <w:r>
              <w:t>桥梁检测报告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公路养护质量</w:t>
            </w:r>
            <w:r>
              <w:rPr>
                <w:rFonts w:hint="eastAsia"/>
                <w:lang w:eastAsia="zh-CN"/>
              </w:rPr>
              <w:t>达标率</w:t>
            </w:r>
          </w:p>
        </w:tc>
        <w:tc>
          <w:tcPr>
            <w:tcW w:w="2891" w:type="dxa"/>
            <w:vAlign w:val="center"/>
          </w:tcPr>
          <w:p>
            <w:pPr>
              <w:pStyle w:val="10"/>
            </w:pPr>
            <w:r>
              <w:t>公路养护质量</w:t>
            </w:r>
            <w:r>
              <w:rPr>
                <w:rFonts w:hint="eastAsia"/>
                <w:lang w:eastAsia="zh-CN"/>
              </w:rPr>
              <w:t>达标率</w:t>
            </w:r>
          </w:p>
        </w:tc>
        <w:tc>
          <w:tcPr>
            <w:tcW w:w="1276" w:type="dxa"/>
            <w:vAlign w:val="center"/>
          </w:tcPr>
          <w:p>
            <w:pPr>
              <w:pStyle w:val="10"/>
            </w:pPr>
            <w:r>
              <w:t>≥96%</w:t>
            </w:r>
          </w:p>
        </w:tc>
        <w:tc>
          <w:tcPr>
            <w:tcW w:w="1843" w:type="dxa"/>
            <w:vAlign w:val="center"/>
          </w:tcPr>
          <w:p>
            <w:pPr>
              <w:pStyle w:val="10"/>
            </w:pPr>
            <w:r>
              <w:t>路面检测报告、第三季度或第四季度路面技术状况评定报表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rPr>
                <w:rFonts w:asciiTheme="minorHAnsi" w:hAnsiTheme="minorHAnsi"/>
                <w:lang w:val="uk-UA"/>
              </w:rPr>
            </w:pPr>
            <w:r>
              <w:t>一二类桥梁</w:t>
            </w:r>
            <w:r>
              <w:rPr>
                <w:rFonts w:hint="eastAsia"/>
                <w:lang w:eastAsia="zh-CN"/>
              </w:rPr>
              <w:t>养护达标率</w:t>
            </w:r>
          </w:p>
        </w:tc>
        <w:tc>
          <w:tcPr>
            <w:tcW w:w="2891" w:type="dxa"/>
            <w:vAlign w:val="center"/>
          </w:tcPr>
          <w:p>
            <w:pPr>
              <w:pStyle w:val="10"/>
              <w:rPr>
                <w:rFonts w:asciiTheme="minorHAnsi" w:hAnsiTheme="minorHAnsi"/>
                <w:lang w:val="uk-UA"/>
              </w:rPr>
            </w:pPr>
            <w:r>
              <w:t>一二类桥梁</w:t>
            </w:r>
            <w:r>
              <w:rPr>
                <w:rFonts w:hint="eastAsia"/>
                <w:lang w:eastAsia="zh-CN"/>
              </w:rPr>
              <w:t>养护达标率</w:t>
            </w:r>
          </w:p>
        </w:tc>
        <w:tc>
          <w:tcPr>
            <w:tcW w:w="1276" w:type="dxa"/>
            <w:vAlign w:val="center"/>
          </w:tcPr>
          <w:p>
            <w:pPr>
              <w:pStyle w:val="10"/>
            </w:pPr>
            <w:r>
              <w:t>≥98%</w:t>
            </w:r>
          </w:p>
        </w:tc>
        <w:tc>
          <w:tcPr>
            <w:tcW w:w="1843" w:type="dxa"/>
            <w:vAlign w:val="center"/>
          </w:tcPr>
          <w:p>
            <w:pPr>
              <w:pStyle w:val="10"/>
            </w:pPr>
            <w:r>
              <w:t>桥梁检测报告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检测工作完成时限</w:t>
            </w:r>
          </w:p>
        </w:tc>
        <w:tc>
          <w:tcPr>
            <w:tcW w:w="2891" w:type="dxa"/>
            <w:vAlign w:val="center"/>
          </w:tcPr>
          <w:p>
            <w:pPr>
              <w:pStyle w:val="10"/>
            </w:pPr>
            <w:r>
              <w:t>考察检测开始后，工作完成时间情况。</w:t>
            </w:r>
          </w:p>
        </w:tc>
        <w:tc>
          <w:tcPr>
            <w:tcW w:w="1276" w:type="dxa"/>
            <w:vAlign w:val="center"/>
          </w:tcPr>
          <w:p>
            <w:pPr>
              <w:pStyle w:val="10"/>
            </w:pPr>
            <w:r>
              <w:t>≤120天</w:t>
            </w:r>
          </w:p>
        </w:tc>
        <w:tc>
          <w:tcPr>
            <w:tcW w:w="1843" w:type="dxa"/>
            <w:vAlign w:val="center"/>
          </w:tcPr>
          <w:p>
            <w:pPr>
              <w:pStyle w:val="10"/>
            </w:pPr>
            <w:r>
              <w:t>检测合同、检测报告提报等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检测报告采用（引用）次数</w:t>
            </w:r>
          </w:p>
        </w:tc>
        <w:tc>
          <w:tcPr>
            <w:tcW w:w="2891" w:type="dxa"/>
            <w:vAlign w:val="center"/>
          </w:tcPr>
          <w:p>
            <w:pPr>
              <w:pStyle w:val="10"/>
            </w:pPr>
            <w:r>
              <w:t>考察检测数据的科学客观性，指导养护建设方案决策情况</w:t>
            </w:r>
          </w:p>
        </w:tc>
        <w:tc>
          <w:tcPr>
            <w:tcW w:w="1276" w:type="dxa"/>
            <w:vAlign w:val="center"/>
          </w:tcPr>
          <w:p>
            <w:pPr>
              <w:pStyle w:val="10"/>
            </w:pPr>
            <w:r>
              <w:t>≥10次</w:t>
            </w:r>
          </w:p>
        </w:tc>
        <w:tc>
          <w:tcPr>
            <w:tcW w:w="1843" w:type="dxa"/>
            <w:vAlign w:val="center"/>
          </w:tcPr>
          <w:p>
            <w:pPr>
              <w:pStyle w:val="10"/>
            </w:pPr>
            <w:r>
              <w:t>大中修工程、小修项目设计文件等，引用检测数据数量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优良路率下降率</w:t>
            </w:r>
          </w:p>
        </w:tc>
        <w:tc>
          <w:tcPr>
            <w:tcW w:w="2891" w:type="dxa"/>
            <w:vAlign w:val="center"/>
          </w:tcPr>
          <w:p>
            <w:pPr>
              <w:pStyle w:val="10"/>
            </w:pPr>
            <w:r>
              <w:t>考察日常养护效果指标。</w:t>
            </w:r>
          </w:p>
        </w:tc>
        <w:tc>
          <w:tcPr>
            <w:tcW w:w="1276" w:type="dxa"/>
            <w:vAlign w:val="center"/>
          </w:tcPr>
          <w:p>
            <w:pPr>
              <w:pStyle w:val="10"/>
            </w:pPr>
            <w:r>
              <w:t>≤5%</w:t>
            </w:r>
          </w:p>
        </w:tc>
        <w:tc>
          <w:tcPr>
            <w:tcW w:w="1843" w:type="dxa"/>
            <w:vAlign w:val="center"/>
          </w:tcPr>
          <w:p>
            <w:pPr>
              <w:pStyle w:val="10"/>
            </w:pPr>
            <w:r>
              <w:t>计算每年除大中修工程里程外，优良路率下降率。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普通国省道沿线群众调查满意度</w:t>
            </w:r>
          </w:p>
        </w:tc>
        <w:tc>
          <w:tcPr>
            <w:tcW w:w="2891" w:type="dxa"/>
            <w:vAlign w:val="center"/>
          </w:tcPr>
          <w:p>
            <w:pPr>
              <w:pStyle w:val="10"/>
            </w:pPr>
            <w:r>
              <w:t>考察服务对象满意度指标。</w:t>
            </w:r>
          </w:p>
        </w:tc>
        <w:tc>
          <w:tcPr>
            <w:tcW w:w="1276" w:type="dxa"/>
            <w:vAlign w:val="center"/>
          </w:tcPr>
          <w:p>
            <w:pPr>
              <w:pStyle w:val="10"/>
            </w:pPr>
            <w:r>
              <w:t>≥85%</w:t>
            </w:r>
          </w:p>
        </w:tc>
        <w:tc>
          <w:tcPr>
            <w:tcW w:w="1843" w:type="dxa"/>
            <w:vAlign w:val="center"/>
          </w:tcPr>
          <w:p>
            <w:pPr>
              <w:pStyle w:val="10"/>
            </w:pPr>
            <w:r>
              <w:t>调查问卷或调查情况报告等材料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服务对象满意度指标</w:t>
            </w:r>
          </w:p>
        </w:tc>
        <w:tc>
          <w:tcPr>
            <w:tcW w:w="1332" w:type="dxa"/>
            <w:vAlign w:val="center"/>
          </w:tcPr>
          <w:p>
            <w:pPr>
              <w:pStyle w:val="10"/>
            </w:pPr>
            <w:r>
              <w:t>检测数据使用单位反馈满意度</w:t>
            </w:r>
          </w:p>
        </w:tc>
        <w:tc>
          <w:tcPr>
            <w:tcW w:w="2891" w:type="dxa"/>
            <w:vAlign w:val="center"/>
          </w:tcPr>
          <w:p>
            <w:pPr>
              <w:pStyle w:val="10"/>
            </w:pPr>
            <w:r>
              <w:t>考察检测数据使用用户满意度情况</w:t>
            </w:r>
          </w:p>
        </w:tc>
        <w:tc>
          <w:tcPr>
            <w:tcW w:w="1276" w:type="dxa"/>
            <w:vAlign w:val="center"/>
          </w:tcPr>
          <w:p>
            <w:pPr>
              <w:pStyle w:val="10"/>
            </w:pPr>
            <w:r>
              <w:t>≥85%</w:t>
            </w:r>
          </w:p>
        </w:tc>
        <w:tc>
          <w:tcPr>
            <w:tcW w:w="1843" w:type="dxa"/>
            <w:vAlign w:val="center"/>
          </w:tcPr>
          <w:p>
            <w:pPr>
              <w:pStyle w:val="10"/>
            </w:pPr>
            <w:r>
              <w:t>使用单位出具意见</w:t>
            </w:r>
          </w:p>
        </w:tc>
      </w:tr>
    </w:tbl>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ind w:leftChars="0"/>
        <w:rPr>
          <w:rFonts w:hint="default" w:ascii="黑体" w:hAnsi="黑体" w:eastAsia="黑体" w:cs="黑体"/>
          <w:sz w:val="32"/>
          <w:szCs w:val="32"/>
          <w:lang w:val="en-US" w:eastAsia="zh-CN"/>
        </w:rPr>
      </w:pPr>
    </w:p>
    <w:p>
      <w:pPr>
        <w:numPr>
          <w:ilvl w:val="0"/>
          <w:numId w:val="0"/>
        </w:numPr>
        <w:rPr>
          <w:rFonts w:hint="eastAsia" w:ascii="黑体" w:hAnsi="黑体" w:eastAsia="黑体" w:cs="黑体"/>
          <w:sz w:val="32"/>
          <w:szCs w:val="32"/>
          <w:highlight w:val="none"/>
          <w:lang w:val="en-US" w:eastAsia="zh-CN"/>
        </w:rPr>
      </w:pPr>
      <w:bookmarkStart w:id="0" w:name="_Toc_4_4_0000000039"/>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864"/>
        <w:gridCol w:w="2359"/>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10"/>
            </w:pPr>
            <w:r>
              <w:t>社会效益指标</w:t>
            </w:r>
          </w:p>
        </w:tc>
        <w:tc>
          <w:tcPr>
            <w:tcW w:w="1864" w:type="dxa"/>
            <w:vAlign w:val="center"/>
          </w:tcPr>
          <w:p>
            <w:pPr>
              <w:pStyle w:val="10"/>
            </w:pPr>
            <w:r>
              <w:t>缓解交通拥堵</w:t>
            </w:r>
          </w:p>
        </w:tc>
        <w:tc>
          <w:tcPr>
            <w:tcW w:w="2359" w:type="dxa"/>
            <w:vAlign w:val="center"/>
          </w:tcPr>
          <w:p>
            <w:pPr>
              <w:pStyle w:val="10"/>
            </w:pPr>
            <w:r>
              <w:t>缓解交通拥堵</w:t>
            </w:r>
          </w:p>
        </w:tc>
        <w:tc>
          <w:tcPr>
            <w:tcW w:w="1276" w:type="dxa"/>
            <w:vAlign w:val="center"/>
          </w:tcPr>
          <w:p>
            <w:pPr>
              <w:pStyle w:val="10"/>
            </w:pPr>
            <w:r>
              <w:t>有效缓解</w:t>
            </w:r>
          </w:p>
        </w:tc>
        <w:tc>
          <w:tcPr>
            <w:tcW w:w="1843" w:type="dxa"/>
            <w:vAlign w:val="center"/>
          </w:tcPr>
          <w:p>
            <w:pPr>
              <w:pStyle w:val="10"/>
            </w:pPr>
            <w:r>
              <w:t>参照往年数据并结合实际情况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864" w:type="dxa"/>
            <w:vAlign w:val="center"/>
          </w:tcPr>
          <w:p>
            <w:pPr>
              <w:pStyle w:val="10"/>
            </w:pPr>
            <w:r>
              <w:t>交通事故率有效降低</w:t>
            </w:r>
          </w:p>
        </w:tc>
        <w:tc>
          <w:tcPr>
            <w:tcW w:w="2359" w:type="dxa"/>
            <w:vAlign w:val="center"/>
          </w:tcPr>
          <w:p>
            <w:pPr>
              <w:pStyle w:val="10"/>
            </w:pPr>
            <w:r>
              <w:t>交通事故率有效降低</w:t>
            </w:r>
          </w:p>
        </w:tc>
        <w:tc>
          <w:tcPr>
            <w:tcW w:w="1276" w:type="dxa"/>
            <w:vAlign w:val="center"/>
          </w:tcPr>
          <w:p>
            <w:pPr>
              <w:pStyle w:val="10"/>
            </w:pPr>
            <w:r>
              <w:t>有效降低</w:t>
            </w:r>
          </w:p>
        </w:tc>
        <w:tc>
          <w:tcPr>
            <w:tcW w:w="1843" w:type="dxa"/>
            <w:vAlign w:val="center"/>
          </w:tcPr>
          <w:p>
            <w:pPr>
              <w:pStyle w:val="10"/>
            </w:pPr>
            <w:r>
              <w:t>参照往年数据并结合实际情况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864" w:type="dxa"/>
            <w:vAlign w:val="center"/>
          </w:tcPr>
          <w:p>
            <w:pPr>
              <w:pStyle w:val="10"/>
            </w:pPr>
            <w:r>
              <w:t>群众满意度</w:t>
            </w:r>
          </w:p>
        </w:tc>
        <w:tc>
          <w:tcPr>
            <w:tcW w:w="2359" w:type="dxa"/>
            <w:vAlign w:val="center"/>
          </w:tcPr>
          <w:p>
            <w:pPr>
              <w:pStyle w:val="10"/>
            </w:pPr>
            <w:r>
              <w:t>群众满意度</w:t>
            </w:r>
          </w:p>
        </w:tc>
        <w:tc>
          <w:tcPr>
            <w:tcW w:w="1276" w:type="dxa"/>
            <w:vAlign w:val="center"/>
          </w:tcPr>
          <w:p>
            <w:pPr>
              <w:pStyle w:val="10"/>
            </w:pPr>
            <w:r>
              <w:t>≥90%</w:t>
            </w:r>
          </w:p>
        </w:tc>
        <w:tc>
          <w:tcPr>
            <w:tcW w:w="1843" w:type="dxa"/>
            <w:vAlign w:val="center"/>
          </w:tcPr>
          <w:p>
            <w:pPr>
              <w:pStyle w:val="10"/>
            </w:pPr>
            <w:r>
              <w:t>参照往年数据并结合实际情况</w:t>
            </w:r>
          </w:p>
        </w:tc>
      </w:tr>
    </w:tbl>
    <w:p>
      <w:pPr>
        <w:numPr>
          <w:ilvl w:val="0"/>
          <w:numId w:val="0"/>
        </w:numPr>
        <w:ind w:leftChars="0"/>
        <w:rPr>
          <w:rFonts w:hint="default" w:ascii="黑体" w:hAnsi="黑体" w:eastAsia="黑体" w:cs="黑体"/>
          <w:sz w:val="32"/>
          <w:szCs w:val="32"/>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p>
    <w:p>
      <w:pPr>
        <w:numPr>
          <w:ilvl w:val="0"/>
          <w:numId w:val="0"/>
        </w:num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7.城乡建设维护资金</w:t>
      </w:r>
    </w:p>
    <w:bookmarkEnd w:id="0"/>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602001青岛市住房和城乡建设局本级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37020023P66001210003X</w:t>
            </w:r>
          </w:p>
        </w:tc>
        <w:tc>
          <w:tcPr>
            <w:tcW w:w="1587" w:type="dxa"/>
            <w:vAlign w:val="center"/>
          </w:tcPr>
          <w:p>
            <w:pPr>
              <w:pStyle w:val="9"/>
            </w:pPr>
            <w:r>
              <w:t>项目名称</w:t>
            </w:r>
          </w:p>
        </w:tc>
        <w:tc>
          <w:tcPr>
            <w:tcW w:w="4422" w:type="dxa"/>
            <w:gridSpan w:val="3"/>
            <w:vAlign w:val="center"/>
          </w:tcPr>
          <w:p>
            <w:pPr>
              <w:pStyle w:val="10"/>
            </w:pPr>
            <w:r>
              <w:t>胶州湾第二海底隧道工程资金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32000.00</w:t>
            </w:r>
          </w:p>
        </w:tc>
        <w:tc>
          <w:tcPr>
            <w:tcW w:w="1587" w:type="dxa"/>
            <w:vAlign w:val="center"/>
          </w:tcPr>
          <w:p>
            <w:pPr>
              <w:pStyle w:val="9"/>
            </w:pPr>
            <w:r>
              <w:t>其中：财政    资金</w:t>
            </w:r>
          </w:p>
        </w:tc>
        <w:tc>
          <w:tcPr>
            <w:tcW w:w="1304" w:type="dxa"/>
            <w:vAlign w:val="center"/>
          </w:tcPr>
          <w:p>
            <w:pPr>
              <w:pStyle w:val="10"/>
            </w:pPr>
            <w:r>
              <w:t>32000.00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rPr>
                <w:rFonts w:asciiTheme="minorHAnsi" w:hAnsiTheme="minorHAnsi"/>
                <w:lang w:val="uk-UA"/>
              </w:rPr>
            </w:pPr>
            <w:r>
              <w:t>胶州湾第二海底隧道工程补助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32000.00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1季度：盾构始发段基坑工程完工；2季度：黄岛竖井工程完工，服务隧道盾构机始发；3-4季度：海域钻爆段全面实施，服务隧道盾构段全面掘进。投资目标：计划完成227200万元。</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胶州湾第二海底隧道工程资金</w:t>
            </w:r>
            <w:r>
              <w:rPr>
                <w:rFonts w:hint="eastAsia"/>
                <w:lang w:eastAsia="zh-CN"/>
              </w:rPr>
              <w:t>成本控制数</w:t>
            </w:r>
          </w:p>
        </w:tc>
        <w:tc>
          <w:tcPr>
            <w:tcW w:w="2891" w:type="dxa"/>
            <w:vAlign w:val="center"/>
          </w:tcPr>
          <w:p>
            <w:pPr>
              <w:pStyle w:val="10"/>
            </w:pPr>
            <w:r>
              <w:t>胶州湾第二海底隧道工程资金</w:t>
            </w:r>
            <w:r>
              <w:rPr>
                <w:rFonts w:hint="eastAsia"/>
                <w:lang w:eastAsia="zh-CN"/>
              </w:rPr>
              <w:t>成本控制数</w:t>
            </w:r>
          </w:p>
        </w:tc>
        <w:tc>
          <w:tcPr>
            <w:tcW w:w="1276" w:type="dxa"/>
            <w:vAlign w:val="center"/>
          </w:tcPr>
          <w:p>
            <w:pPr>
              <w:pStyle w:val="10"/>
            </w:pPr>
            <w:r>
              <w:t>≤32000万元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计划完成公里数</w:t>
            </w:r>
          </w:p>
        </w:tc>
        <w:tc>
          <w:tcPr>
            <w:tcW w:w="2891" w:type="dxa"/>
            <w:vAlign w:val="center"/>
          </w:tcPr>
          <w:p>
            <w:pPr>
              <w:pStyle w:val="10"/>
            </w:pPr>
            <w:r>
              <w:t>计划完成公里数</w:t>
            </w:r>
          </w:p>
        </w:tc>
        <w:tc>
          <w:tcPr>
            <w:tcW w:w="1276" w:type="dxa"/>
            <w:vAlign w:val="center"/>
          </w:tcPr>
          <w:p>
            <w:pPr>
              <w:pStyle w:val="10"/>
            </w:pPr>
            <w:r>
              <w:t>4公里</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工程材料检验率</w:t>
            </w:r>
          </w:p>
        </w:tc>
        <w:tc>
          <w:tcPr>
            <w:tcW w:w="2891" w:type="dxa"/>
            <w:vAlign w:val="center"/>
          </w:tcPr>
          <w:p>
            <w:pPr>
              <w:pStyle w:val="10"/>
            </w:pPr>
            <w:r>
              <w:t>按规范要求达到检测标准</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6"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项目合格率</w:t>
            </w:r>
          </w:p>
        </w:tc>
        <w:tc>
          <w:tcPr>
            <w:tcW w:w="2891" w:type="dxa"/>
            <w:vAlign w:val="center"/>
          </w:tcPr>
          <w:p>
            <w:pPr>
              <w:pStyle w:val="10"/>
            </w:pPr>
            <w:r>
              <w:t>质量合格程度</w:t>
            </w:r>
          </w:p>
        </w:tc>
        <w:tc>
          <w:tcPr>
            <w:tcW w:w="1276" w:type="dxa"/>
            <w:vAlign w:val="center"/>
          </w:tcPr>
          <w:p>
            <w:pPr>
              <w:pStyle w:val="10"/>
            </w:pPr>
            <w:r>
              <w:t>100%</w:t>
            </w:r>
          </w:p>
        </w:tc>
        <w:tc>
          <w:tcPr>
            <w:tcW w:w="1843"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工序验收合格率</w:t>
            </w:r>
          </w:p>
        </w:tc>
        <w:tc>
          <w:tcPr>
            <w:tcW w:w="2891" w:type="dxa"/>
            <w:vAlign w:val="center"/>
          </w:tcPr>
          <w:p>
            <w:pPr>
              <w:pStyle w:val="10"/>
            </w:pPr>
            <w:r>
              <w:t>工序验收合格率</w:t>
            </w:r>
          </w:p>
        </w:tc>
        <w:tc>
          <w:tcPr>
            <w:tcW w:w="1276" w:type="dxa"/>
            <w:vAlign w:val="center"/>
          </w:tcPr>
          <w:p>
            <w:pPr>
              <w:pStyle w:val="10"/>
            </w:pPr>
            <w:r>
              <w:t>100%</w:t>
            </w:r>
          </w:p>
        </w:tc>
        <w:tc>
          <w:tcPr>
            <w:tcW w:w="1843"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项目完成及时率</w:t>
            </w:r>
          </w:p>
        </w:tc>
        <w:tc>
          <w:tcPr>
            <w:tcW w:w="2891" w:type="dxa"/>
            <w:vAlign w:val="center"/>
          </w:tcPr>
          <w:p>
            <w:pPr>
              <w:pStyle w:val="10"/>
            </w:pPr>
            <w:r>
              <w:t>项目建设过程中，各标段按照原定计划及时完成</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交通改善及经济拉动</w:t>
            </w:r>
          </w:p>
        </w:tc>
        <w:tc>
          <w:tcPr>
            <w:tcW w:w="2891" w:type="dxa"/>
            <w:vAlign w:val="center"/>
          </w:tcPr>
          <w:p>
            <w:pPr>
              <w:pStyle w:val="10"/>
            </w:pPr>
            <w:r>
              <w:t>改善环胶州湾交通状况，推动环湾经济发展</w:t>
            </w:r>
          </w:p>
        </w:tc>
        <w:tc>
          <w:tcPr>
            <w:tcW w:w="1276" w:type="dxa"/>
            <w:vAlign w:val="center"/>
          </w:tcPr>
          <w:p>
            <w:pPr>
              <w:pStyle w:val="10"/>
              <w:rPr>
                <w:rFonts w:asciiTheme="minorHAnsi" w:hAnsiTheme="minorHAnsi"/>
                <w:lang w:val="uk-UA"/>
              </w:rPr>
            </w:pPr>
            <w:r>
              <w:rPr>
                <w:rFonts w:hint="eastAsia"/>
                <w:lang w:eastAsia="zh-CN"/>
              </w:rPr>
              <w:t>有效改善</w:t>
            </w:r>
          </w:p>
        </w:tc>
        <w:tc>
          <w:tcPr>
            <w:tcW w:w="1843" w:type="dxa"/>
            <w:vAlign w:val="center"/>
          </w:tcPr>
          <w:p>
            <w:pPr>
              <w:pStyle w:val="10"/>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项目建设过程中，群众对项目的满意度</w:t>
            </w:r>
          </w:p>
        </w:tc>
        <w:tc>
          <w:tcPr>
            <w:tcW w:w="1276" w:type="dxa"/>
            <w:vAlign w:val="center"/>
          </w:tcPr>
          <w:p>
            <w:pPr>
              <w:pStyle w:val="10"/>
            </w:pPr>
            <w:r>
              <w:t>≥85%</w:t>
            </w:r>
          </w:p>
        </w:tc>
        <w:tc>
          <w:tcPr>
            <w:tcW w:w="1843" w:type="dxa"/>
            <w:vAlign w:val="center"/>
          </w:tcPr>
          <w:p>
            <w:pPr>
              <w:pStyle w:val="10"/>
            </w:pPr>
            <w:r>
              <w:t>历史标准</w:t>
            </w:r>
          </w:p>
        </w:tc>
      </w:tr>
    </w:tbl>
    <w:p>
      <w:pPr>
        <w:sectPr>
          <w:pgSz w:w="11900" w:h="16840"/>
          <w:pgMar w:top="1984" w:right="1304" w:bottom="1134" w:left="1304" w:header="720" w:footer="720" w:gutter="0"/>
          <w:pgNumType w:fmt="numberInDash"/>
          <w:cols w:space="720" w:num="1"/>
        </w:sectPr>
      </w:pPr>
    </w:p>
    <w:p>
      <w:pPr>
        <w:jc w:val="center"/>
      </w:pPr>
      <w:r>
        <w:rPr>
          <w:rFonts w:ascii="方正仿宋_GBK" w:hAnsi="方正仿宋_GBK" w:eastAsia="方正仿宋_GBK" w:cs="方正仿宋_GBK"/>
          <w:color w:val="000000"/>
          <w:sz w:val="28"/>
        </w:rPr>
        <w:t xml:space="preserve"> </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602001青岛市住房和城乡建设局本级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37020023P66002410013C</w:t>
            </w:r>
          </w:p>
        </w:tc>
        <w:tc>
          <w:tcPr>
            <w:tcW w:w="1587" w:type="dxa"/>
            <w:vAlign w:val="center"/>
          </w:tcPr>
          <w:p>
            <w:pPr>
              <w:pStyle w:val="9"/>
            </w:pPr>
            <w:r>
              <w:t>项目名称</w:t>
            </w:r>
          </w:p>
        </w:tc>
        <w:tc>
          <w:tcPr>
            <w:tcW w:w="4422" w:type="dxa"/>
            <w:gridSpan w:val="3"/>
            <w:vAlign w:val="center"/>
          </w:tcPr>
          <w:p>
            <w:pPr>
              <w:pStyle w:val="10"/>
            </w:pPr>
            <w:r>
              <w:t>康复大学项目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23000.00</w:t>
            </w:r>
          </w:p>
        </w:tc>
        <w:tc>
          <w:tcPr>
            <w:tcW w:w="1587" w:type="dxa"/>
            <w:vAlign w:val="center"/>
          </w:tcPr>
          <w:p>
            <w:pPr>
              <w:pStyle w:val="9"/>
            </w:pPr>
            <w:r>
              <w:t>其中：财政    资金</w:t>
            </w:r>
          </w:p>
        </w:tc>
        <w:tc>
          <w:tcPr>
            <w:tcW w:w="1304" w:type="dxa"/>
            <w:vAlign w:val="center"/>
          </w:tcPr>
          <w:p>
            <w:pPr>
              <w:pStyle w:val="10"/>
            </w:pPr>
            <w:r>
              <w:t>23000.00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康复大学建设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10000.00</w:t>
            </w:r>
          </w:p>
        </w:tc>
        <w:tc>
          <w:tcPr>
            <w:tcW w:w="1587" w:type="dxa"/>
            <w:vAlign w:val="center"/>
          </w:tcPr>
          <w:p>
            <w:pPr>
              <w:pStyle w:val="11"/>
            </w:pPr>
            <w:r>
              <w:t>23000.00</w:t>
            </w:r>
          </w:p>
        </w:tc>
        <w:tc>
          <w:tcPr>
            <w:tcW w:w="1304" w:type="dxa"/>
            <w:vAlign w:val="center"/>
          </w:tcPr>
          <w:p>
            <w:pPr>
              <w:pStyle w:val="11"/>
            </w:pPr>
            <w:r>
              <w:t>23000.00</w:t>
            </w:r>
          </w:p>
        </w:tc>
        <w:tc>
          <w:tcPr>
            <w:tcW w:w="3118" w:type="dxa"/>
            <w:gridSpan w:val="2"/>
            <w:vAlign w:val="center"/>
          </w:tcPr>
          <w:p>
            <w:pPr>
              <w:pStyle w:val="11"/>
            </w:pPr>
            <w:r>
              <w:t>23000.00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1：完成年度工程预计投资额，实现项目竣工验收；</w:t>
            </w:r>
          </w:p>
          <w:p>
            <w:pPr>
              <w:pStyle w:val="10"/>
            </w:pPr>
            <w:r>
              <w:t>2：项目融资与投资匹配，不出现大额专项债券资金盈余浪费；</w:t>
            </w:r>
          </w:p>
          <w:p>
            <w:pPr>
              <w:pStyle w:val="10"/>
            </w:pPr>
            <w:r>
              <w:t>3：专项债资金使用程序规范，支出项目符合专项债相关规定；                                                                   4：工程质量优良，安全事故率为0，建设生态环境达标；                                                                 5：服务对象满意度达到90%。</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康复大学项目</w:t>
            </w:r>
            <w:r>
              <w:rPr>
                <w:rFonts w:hint="eastAsia"/>
                <w:lang w:eastAsia="zh-CN"/>
              </w:rPr>
              <w:t>成本</w:t>
            </w:r>
            <w:r>
              <w:t>控制</w:t>
            </w:r>
            <w:r>
              <w:rPr>
                <w:rFonts w:hint="eastAsia"/>
                <w:lang w:eastAsia="zh-CN"/>
              </w:rPr>
              <w:t>数</w:t>
            </w:r>
          </w:p>
        </w:tc>
        <w:tc>
          <w:tcPr>
            <w:tcW w:w="2891" w:type="dxa"/>
            <w:vAlign w:val="center"/>
          </w:tcPr>
          <w:p>
            <w:pPr>
              <w:pStyle w:val="10"/>
            </w:pPr>
            <w:r>
              <w:t>康复大学项目</w:t>
            </w:r>
            <w:r>
              <w:rPr>
                <w:rFonts w:hint="eastAsia"/>
                <w:lang w:eastAsia="zh-CN"/>
              </w:rPr>
              <w:t>成本</w:t>
            </w:r>
            <w:r>
              <w:t>控制</w:t>
            </w:r>
            <w:r>
              <w:rPr>
                <w:rFonts w:hint="eastAsia"/>
                <w:lang w:eastAsia="zh-CN"/>
              </w:rPr>
              <w:t>数</w:t>
            </w:r>
          </w:p>
        </w:tc>
        <w:tc>
          <w:tcPr>
            <w:tcW w:w="1276" w:type="dxa"/>
            <w:vAlign w:val="center"/>
          </w:tcPr>
          <w:p>
            <w:pPr>
              <w:pStyle w:val="10"/>
            </w:pPr>
            <w:r>
              <w:t>≤23000万元</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新建建筑面积</w:t>
            </w:r>
          </w:p>
        </w:tc>
        <w:tc>
          <w:tcPr>
            <w:tcW w:w="2891" w:type="dxa"/>
            <w:vAlign w:val="center"/>
          </w:tcPr>
          <w:p>
            <w:pPr>
              <w:pStyle w:val="10"/>
            </w:pPr>
            <w:r>
              <w:t>新建建筑面积</w:t>
            </w:r>
          </w:p>
        </w:tc>
        <w:tc>
          <w:tcPr>
            <w:tcW w:w="1276" w:type="dxa"/>
            <w:vAlign w:val="center"/>
          </w:tcPr>
          <w:p>
            <w:pPr>
              <w:pStyle w:val="10"/>
            </w:pPr>
            <w:r>
              <w:t>534510平方米</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招生数量</w:t>
            </w:r>
          </w:p>
        </w:tc>
        <w:tc>
          <w:tcPr>
            <w:tcW w:w="2891" w:type="dxa"/>
            <w:vAlign w:val="center"/>
          </w:tcPr>
          <w:p>
            <w:pPr>
              <w:pStyle w:val="10"/>
            </w:pPr>
            <w:r>
              <w:t>招生数量</w:t>
            </w:r>
          </w:p>
        </w:tc>
        <w:tc>
          <w:tcPr>
            <w:tcW w:w="1276" w:type="dxa"/>
            <w:vAlign w:val="center"/>
          </w:tcPr>
          <w:p>
            <w:pPr>
              <w:pStyle w:val="10"/>
            </w:pPr>
            <w:r>
              <w:t>10000人</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rPr>
                <w:rFonts w:asciiTheme="minorHAnsi" w:hAnsiTheme="minorHAnsi"/>
                <w:lang w:val="uk-UA"/>
              </w:rPr>
            </w:pPr>
            <w:r>
              <w:t>建设标准</w:t>
            </w:r>
            <w:r>
              <w:rPr>
                <w:rFonts w:hint="eastAsia"/>
                <w:lang w:eastAsia="zh-CN"/>
              </w:rPr>
              <w:t>符合度</w:t>
            </w:r>
          </w:p>
        </w:tc>
        <w:tc>
          <w:tcPr>
            <w:tcW w:w="2891" w:type="dxa"/>
            <w:vAlign w:val="center"/>
          </w:tcPr>
          <w:p>
            <w:pPr>
              <w:pStyle w:val="10"/>
            </w:pPr>
            <w:r>
              <w:t>建设标准准</w:t>
            </w:r>
            <w:r>
              <w:rPr>
                <w:rFonts w:hint="eastAsia"/>
                <w:lang w:eastAsia="zh-CN"/>
              </w:rPr>
              <w:t>符合度</w:t>
            </w:r>
          </w:p>
        </w:tc>
        <w:tc>
          <w:tcPr>
            <w:tcW w:w="1276" w:type="dxa"/>
            <w:vAlign w:val="center"/>
          </w:tcPr>
          <w:p>
            <w:pPr>
              <w:pStyle w:val="10"/>
            </w:pPr>
            <w:r>
              <w:t>100</w:t>
            </w:r>
            <w:r>
              <w:rPr>
                <w:rFonts w:hint="eastAsia"/>
                <w:lang w:eastAsia="zh-CN"/>
              </w:rPr>
              <w:t>%</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工程验收合格率</w:t>
            </w:r>
          </w:p>
        </w:tc>
        <w:tc>
          <w:tcPr>
            <w:tcW w:w="2891" w:type="dxa"/>
            <w:vAlign w:val="center"/>
          </w:tcPr>
          <w:p>
            <w:pPr>
              <w:pStyle w:val="10"/>
            </w:pPr>
            <w:r>
              <w:t>工程验收合格率</w:t>
            </w:r>
          </w:p>
        </w:tc>
        <w:tc>
          <w:tcPr>
            <w:tcW w:w="1276" w:type="dxa"/>
            <w:vAlign w:val="center"/>
          </w:tcPr>
          <w:p>
            <w:pPr>
              <w:pStyle w:val="10"/>
            </w:pPr>
            <w:r>
              <w:t>100%</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rPr>
                <w:rFonts w:hint="eastAsia"/>
                <w:lang w:eastAsia="zh-CN"/>
              </w:rPr>
              <w:t>项目完</w:t>
            </w:r>
            <w:r>
              <w:t>工</w:t>
            </w:r>
            <w:r>
              <w:rPr>
                <w:rFonts w:hint="eastAsia"/>
                <w:lang w:eastAsia="zh-CN"/>
              </w:rPr>
              <w:t>及时率</w:t>
            </w:r>
          </w:p>
        </w:tc>
        <w:tc>
          <w:tcPr>
            <w:tcW w:w="2891" w:type="dxa"/>
            <w:vAlign w:val="center"/>
          </w:tcPr>
          <w:p>
            <w:pPr>
              <w:pStyle w:val="10"/>
            </w:pPr>
            <w:r>
              <w:rPr>
                <w:rFonts w:hint="eastAsia"/>
                <w:lang w:eastAsia="zh-CN"/>
              </w:rPr>
              <w:t>项目完</w:t>
            </w:r>
            <w:r>
              <w:t>工</w:t>
            </w:r>
            <w:r>
              <w:rPr>
                <w:rFonts w:hint="eastAsia"/>
                <w:lang w:eastAsia="zh-CN"/>
              </w:rPr>
              <w:t>及时率</w:t>
            </w:r>
          </w:p>
        </w:tc>
        <w:tc>
          <w:tcPr>
            <w:tcW w:w="1276" w:type="dxa"/>
            <w:vAlign w:val="center"/>
          </w:tcPr>
          <w:p>
            <w:pPr>
              <w:pStyle w:val="10"/>
            </w:pPr>
            <w:r>
              <w:t>100</w:t>
            </w:r>
            <w:r>
              <w:rPr>
                <w:rFonts w:hint="eastAsia"/>
                <w:lang w:eastAsia="zh-CN"/>
              </w:rPr>
              <w:t>%</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rPr>
                <w:rFonts w:eastAsia="宋体"/>
                <w:lang w:eastAsia="zh-CN"/>
              </w:rPr>
            </w:pPr>
            <w:r>
              <w:rPr>
                <w:rFonts w:hint="eastAsia" w:ascii="方正书宋_GBK" w:hAnsi="方正书宋_GBK" w:eastAsia="方正书宋_GBK" w:cs="方正书宋_GBK"/>
                <w:sz w:val="21"/>
                <w:lang w:eastAsia="zh-CN"/>
              </w:rPr>
              <w:t>效益指标</w:t>
            </w:r>
          </w:p>
        </w:tc>
        <w:tc>
          <w:tcPr>
            <w:tcW w:w="1276" w:type="dxa"/>
            <w:vAlign w:val="center"/>
          </w:tcPr>
          <w:p>
            <w:pPr>
              <w:pStyle w:val="10"/>
            </w:pPr>
            <w:r>
              <w:t>社会效益指标</w:t>
            </w:r>
          </w:p>
        </w:tc>
        <w:tc>
          <w:tcPr>
            <w:tcW w:w="1332" w:type="dxa"/>
            <w:vAlign w:val="center"/>
          </w:tcPr>
          <w:p>
            <w:pPr>
              <w:pStyle w:val="10"/>
            </w:pPr>
            <w:r>
              <w:t>提升区域教育文化水平</w:t>
            </w:r>
          </w:p>
        </w:tc>
        <w:tc>
          <w:tcPr>
            <w:tcW w:w="2891" w:type="dxa"/>
            <w:vAlign w:val="center"/>
          </w:tcPr>
          <w:p>
            <w:pPr>
              <w:pStyle w:val="10"/>
            </w:pPr>
            <w:r>
              <w:t>提升区域教育文化水平</w:t>
            </w:r>
          </w:p>
        </w:tc>
        <w:tc>
          <w:tcPr>
            <w:tcW w:w="1276" w:type="dxa"/>
            <w:vAlign w:val="center"/>
          </w:tcPr>
          <w:p>
            <w:pPr>
              <w:pStyle w:val="10"/>
            </w:pPr>
            <w:r>
              <w:t>显著提高</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区域基础设施配套</w:t>
            </w:r>
          </w:p>
        </w:tc>
        <w:tc>
          <w:tcPr>
            <w:tcW w:w="2891" w:type="dxa"/>
            <w:vAlign w:val="center"/>
          </w:tcPr>
          <w:p>
            <w:pPr>
              <w:pStyle w:val="10"/>
            </w:pPr>
            <w:r>
              <w:t>区域基础设施配套</w:t>
            </w:r>
          </w:p>
        </w:tc>
        <w:tc>
          <w:tcPr>
            <w:tcW w:w="1276" w:type="dxa"/>
            <w:vAlign w:val="center"/>
          </w:tcPr>
          <w:p>
            <w:pPr>
              <w:pStyle w:val="10"/>
            </w:pPr>
            <w:r>
              <w:rPr>
                <w:rFonts w:hint="eastAsia"/>
                <w:lang w:eastAsia="zh-CN"/>
              </w:rPr>
              <w:t>进一步</w:t>
            </w:r>
            <w:r>
              <w:t>完善</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新增当地就业人数</w:t>
            </w:r>
          </w:p>
        </w:tc>
        <w:tc>
          <w:tcPr>
            <w:tcW w:w="2891" w:type="dxa"/>
            <w:vAlign w:val="center"/>
          </w:tcPr>
          <w:p>
            <w:pPr>
              <w:pStyle w:val="10"/>
            </w:pPr>
            <w:r>
              <w:t>新增当地就业人数</w:t>
            </w:r>
          </w:p>
        </w:tc>
        <w:tc>
          <w:tcPr>
            <w:tcW w:w="1276" w:type="dxa"/>
            <w:vAlign w:val="center"/>
          </w:tcPr>
          <w:p>
            <w:pPr>
              <w:pStyle w:val="10"/>
            </w:pPr>
            <w:r>
              <w:t>100人</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服务对象满意度对项目的满意程度</w:t>
            </w:r>
          </w:p>
        </w:tc>
        <w:tc>
          <w:tcPr>
            <w:tcW w:w="1276" w:type="dxa"/>
            <w:vAlign w:val="center"/>
          </w:tcPr>
          <w:p>
            <w:pPr>
              <w:pStyle w:val="10"/>
            </w:pPr>
            <w:r>
              <w:t>≥90</w:t>
            </w:r>
            <w:r>
              <w:rPr>
                <w:rFonts w:hint="eastAsia"/>
                <w:lang w:eastAsia="zh-CN"/>
              </w:rPr>
              <w:t>%</w:t>
            </w:r>
          </w:p>
        </w:tc>
        <w:tc>
          <w:tcPr>
            <w:tcW w:w="1843" w:type="dxa"/>
            <w:vAlign w:val="center"/>
          </w:tcPr>
          <w:p>
            <w:pPr>
              <w:pStyle w:val="10"/>
            </w:pPr>
            <w:r>
              <w:rPr>
                <w:rFonts w:hint="eastAsia"/>
                <w:lang w:eastAsia="zh-CN"/>
              </w:rPr>
              <w:t>计划标准</w:t>
            </w:r>
          </w:p>
        </w:tc>
      </w:tr>
    </w:tbl>
    <w:p>
      <w:pPr>
        <w:sectPr>
          <w:pgSz w:w="11900" w:h="16840"/>
          <w:pgMar w:top="1984" w:right="1304" w:bottom="1134" w:left="1304" w:header="720" w:footer="720" w:gutter="0"/>
          <w:pgNumType w:fmt="numberInDash"/>
          <w:cols w:space="720" w:num="1"/>
        </w:sectPr>
      </w:pPr>
    </w:p>
    <w:p>
      <w:pPr>
        <w:jc w:val="center"/>
      </w:pPr>
      <w:r>
        <w:rPr>
          <w:rFonts w:ascii="方正仿宋_GBK" w:hAnsi="方正仿宋_GBK" w:eastAsia="方正仿宋_GBK" w:cs="方正仿宋_GBK"/>
          <w:color w:val="000000"/>
          <w:sz w:val="28"/>
        </w:rPr>
        <w:t xml:space="preserve"> </w:t>
      </w:r>
    </w:p>
    <w:p>
      <w:pPr>
        <w:jc w:val="center"/>
      </w:pPr>
      <w:r>
        <w:rPr>
          <w:rFonts w:ascii="方正仿宋_GBK" w:hAnsi="方正仿宋_GBK" w:eastAsia="方正仿宋_GBK" w:cs="方正仿宋_GBK"/>
          <w:color w:val="000000"/>
          <w:sz w:val="28"/>
        </w:rPr>
        <w:t xml:space="preserve"> </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602001青岛市住房和城乡建设局本级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37020023P66002410010H</w:t>
            </w:r>
          </w:p>
        </w:tc>
        <w:tc>
          <w:tcPr>
            <w:tcW w:w="1587" w:type="dxa"/>
            <w:vAlign w:val="center"/>
          </w:tcPr>
          <w:p>
            <w:pPr>
              <w:pStyle w:val="9"/>
            </w:pPr>
            <w:r>
              <w:t>项目名称</w:t>
            </w:r>
          </w:p>
        </w:tc>
        <w:tc>
          <w:tcPr>
            <w:tcW w:w="4422" w:type="dxa"/>
            <w:gridSpan w:val="3"/>
            <w:vAlign w:val="center"/>
          </w:tcPr>
          <w:p>
            <w:pPr>
              <w:pStyle w:val="10"/>
            </w:pPr>
            <w:r>
              <w:t>南京路市政设施综合整治项目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10000.00</w:t>
            </w:r>
          </w:p>
        </w:tc>
        <w:tc>
          <w:tcPr>
            <w:tcW w:w="1587" w:type="dxa"/>
            <w:vAlign w:val="center"/>
          </w:tcPr>
          <w:p>
            <w:pPr>
              <w:pStyle w:val="9"/>
            </w:pPr>
            <w:r>
              <w:t>其中：财政    资金</w:t>
            </w:r>
          </w:p>
        </w:tc>
        <w:tc>
          <w:tcPr>
            <w:tcW w:w="1304" w:type="dxa"/>
            <w:vAlign w:val="center"/>
          </w:tcPr>
          <w:p>
            <w:pPr>
              <w:pStyle w:val="10"/>
            </w:pPr>
            <w:r>
              <w:t>10000.00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rPr>
                <w:rFonts w:asciiTheme="minorHAnsi" w:hAnsiTheme="minorHAnsi"/>
                <w:lang w:val="uk-UA"/>
              </w:rPr>
            </w:pPr>
            <w:r>
              <w:t>用于南京路市政设施综合整治项目工程建设</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5000.00</w:t>
            </w:r>
          </w:p>
        </w:tc>
        <w:tc>
          <w:tcPr>
            <w:tcW w:w="1587" w:type="dxa"/>
            <w:vAlign w:val="center"/>
          </w:tcPr>
          <w:p>
            <w:pPr>
              <w:pStyle w:val="11"/>
            </w:pPr>
            <w:r>
              <w:t>5000.00</w:t>
            </w:r>
          </w:p>
        </w:tc>
        <w:tc>
          <w:tcPr>
            <w:tcW w:w="1304" w:type="dxa"/>
            <w:vAlign w:val="center"/>
          </w:tcPr>
          <w:p>
            <w:pPr>
              <w:pStyle w:val="11"/>
            </w:pPr>
            <w:r>
              <w:t xml:space="preserve"> 10000.00</w:t>
            </w:r>
          </w:p>
        </w:tc>
        <w:tc>
          <w:tcPr>
            <w:tcW w:w="3118" w:type="dxa"/>
            <w:gridSpan w:val="2"/>
            <w:vAlign w:val="center"/>
          </w:tcPr>
          <w:p>
            <w:pPr>
              <w:pStyle w:val="11"/>
            </w:pPr>
            <w:r>
              <w:t>10000 .00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工程南起宁夏路，北至重庆路，道路全长3270m，主要服务于中央商务区等产业区域。主要建设内容包括管线工程、照明工程、道路沿线桥涵工程等。</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南京路市政设施综合整治项目</w:t>
            </w:r>
            <w:r>
              <w:rPr>
                <w:rFonts w:hint="eastAsia"/>
                <w:lang w:eastAsia="zh-CN"/>
              </w:rPr>
              <w:t>成本控制数</w:t>
            </w:r>
          </w:p>
        </w:tc>
        <w:tc>
          <w:tcPr>
            <w:tcW w:w="2891" w:type="dxa"/>
            <w:vAlign w:val="center"/>
          </w:tcPr>
          <w:p>
            <w:pPr>
              <w:pStyle w:val="10"/>
            </w:pPr>
            <w:r>
              <w:t>南京路市政设施综合整治项目</w:t>
            </w:r>
            <w:r>
              <w:rPr>
                <w:rFonts w:hint="eastAsia"/>
                <w:lang w:eastAsia="zh-CN"/>
              </w:rPr>
              <w:t>成本控制数</w:t>
            </w:r>
          </w:p>
        </w:tc>
        <w:tc>
          <w:tcPr>
            <w:tcW w:w="1276" w:type="dxa"/>
            <w:vAlign w:val="center"/>
          </w:tcPr>
          <w:p>
            <w:pPr>
              <w:pStyle w:val="10"/>
            </w:pPr>
            <w:r>
              <w:t>≤10000万元</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拓宽后双向车道</w:t>
            </w:r>
          </w:p>
        </w:tc>
        <w:tc>
          <w:tcPr>
            <w:tcW w:w="2891" w:type="dxa"/>
            <w:vAlign w:val="center"/>
          </w:tcPr>
          <w:p>
            <w:pPr>
              <w:pStyle w:val="10"/>
            </w:pPr>
            <w:r>
              <w:t>拓宽后双向6车道</w:t>
            </w:r>
          </w:p>
        </w:tc>
        <w:tc>
          <w:tcPr>
            <w:tcW w:w="1276" w:type="dxa"/>
            <w:vAlign w:val="center"/>
          </w:tcPr>
          <w:p>
            <w:pPr>
              <w:pStyle w:val="10"/>
            </w:pPr>
            <w:r>
              <w:t>6车道</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整治道路长度</w:t>
            </w:r>
          </w:p>
        </w:tc>
        <w:tc>
          <w:tcPr>
            <w:tcW w:w="2891" w:type="dxa"/>
            <w:vAlign w:val="center"/>
          </w:tcPr>
          <w:p>
            <w:pPr>
              <w:pStyle w:val="10"/>
            </w:pPr>
            <w:r>
              <w:t>整治道路长度3270米</w:t>
            </w:r>
          </w:p>
        </w:tc>
        <w:tc>
          <w:tcPr>
            <w:tcW w:w="1276" w:type="dxa"/>
            <w:vAlign w:val="center"/>
          </w:tcPr>
          <w:p>
            <w:pPr>
              <w:pStyle w:val="10"/>
            </w:pPr>
            <w:r>
              <w:t>3270米</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rPr>
                <w:rFonts w:asciiTheme="minorHAnsi" w:hAnsiTheme="minorHAnsi"/>
                <w:lang w:val="uk-UA"/>
              </w:rPr>
            </w:pPr>
            <w:r>
              <w:t>建设标准</w:t>
            </w:r>
            <w:r>
              <w:rPr>
                <w:rFonts w:hint="eastAsia"/>
                <w:lang w:eastAsia="zh-CN"/>
              </w:rPr>
              <w:t>达标率</w:t>
            </w:r>
          </w:p>
        </w:tc>
        <w:tc>
          <w:tcPr>
            <w:tcW w:w="2891" w:type="dxa"/>
            <w:vAlign w:val="center"/>
          </w:tcPr>
          <w:p>
            <w:pPr>
              <w:pStyle w:val="10"/>
            </w:pPr>
            <w:r>
              <w:t>符合建设工程相关标准</w:t>
            </w:r>
          </w:p>
        </w:tc>
        <w:tc>
          <w:tcPr>
            <w:tcW w:w="1276" w:type="dxa"/>
            <w:vAlign w:val="center"/>
          </w:tcPr>
          <w:p>
            <w:pPr>
              <w:pStyle w:val="10"/>
            </w:pPr>
            <w:r>
              <w:t>100%</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工程验收合格率</w:t>
            </w:r>
          </w:p>
        </w:tc>
        <w:tc>
          <w:tcPr>
            <w:tcW w:w="2891" w:type="dxa"/>
            <w:vAlign w:val="center"/>
          </w:tcPr>
          <w:p>
            <w:pPr>
              <w:pStyle w:val="10"/>
            </w:pPr>
            <w:r>
              <w:t>工程验收合格率100%</w:t>
            </w:r>
          </w:p>
        </w:tc>
        <w:tc>
          <w:tcPr>
            <w:tcW w:w="1276" w:type="dxa"/>
            <w:vAlign w:val="center"/>
          </w:tcPr>
          <w:p>
            <w:pPr>
              <w:pStyle w:val="10"/>
            </w:pPr>
            <w:r>
              <w:t>100%</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rPr>
                <w:rFonts w:asciiTheme="minorHAnsi" w:hAnsiTheme="minorHAnsi"/>
                <w:lang w:val="uk-UA"/>
              </w:rPr>
            </w:pPr>
            <w:r>
              <w:rPr>
                <w:rFonts w:hint="eastAsia"/>
                <w:lang w:eastAsia="zh-CN"/>
              </w:rPr>
              <w:t>项目完工及时率</w:t>
            </w:r>
          </w:p>
        </w:tc>
        <w:tc>
          <w:tcPr>
            <w:tcW w:w="2891" w:type="dxa"/>
            <w:vAlign w:val="center"/>
          </w:tcPr>
          <w:p>
            <w:pPr>
              <w:pStyle w:val="10"/>
            </w:pPr>
            <w:r>
              <w:rPr>
                <w:rFonts w:hint="eastAsia"/>
                <w:lang w:eastAsia="zh-CN"/>
              </w:rPr>
              <w:t>项目完工及时率</w:t>
            </w:r>
          </w:p>
        </w:tc>
        <w:tc>
          <w:tcPr>
            <w:tcW w:w="1276" w:type="dxa"/>
            <w:vAlign w:val="center"/>
          </w:tcPr>
          <w:p>
            <w:pPr>
              <w:pStyle w:val="10"/>
            </w:pPr>
            <w:r>
              <w:t>100%</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rPr>
                <w:rFonts w:hint="eastAsia"/>
                <w:lang w:eastAsia="zh-CN"/>
              </w:rPr>
              <w:t>社会</w:t>
            </w:r>
            <w:r>
              <w:t>效益指标</w:t>
            </w:r>
          </w:p>
        </w:tc>
        <w:tc>
          <w:tcPr>
            <w:tcW w:w="1332" w:type="dxa"/>
            <w:vAlign w:val="center"/>
          </w:tcPr>
          <w:p>
            <w:pPr>
              <w:pStyle w:val="10"/>
              <w:rPr>
                <w:rFonts w:asciiTheme="minorHAnsi" w:hAnsiTheme="minorHAnsi"/>
                <w:lang w:val="uk-UA"/>
              </w:rPr>
            </w:pPr>
            <w:r>
              <w:rPr>
                <w:rFonts w:hint="eastAsia"/>
                <w:lang w:eastAsia="zh-CN"/>
              </w:rPr>
              <w:t>优化交通出行环境</w:t>
            </w:r>
          </w:p>
        </w:tc>
        <w:tc>
          <w:tcPr>
            <w:tcW w:w="2891" w:type="dxa"/>
            <w:vAlign w:val="center"/>
          </w:tcPr>
          <w:p>
            <w:pPr>
              <w:pStyle w:val="10"/>
            </w:pPr>
            <w:r>
              <w:rPr>
                <w:rFonts w:hint="eastAsia"/>
                <w:lang w:eastAsia="zh-CN"/>
              </w:rPr>
              <w:t>优化交通出行环境</w:t>
            </w:r>
          </w:p>
        </w:tc>
        <w:tc>
          <w:tcPr>
            <w:tcW w:w="1276" w:type="dxa"/>
            <w:vAlign w:val="center"/>
          </w:tcPr>
          <w:p>
            <w:pPr>
              <w:pStyle w:val="10"/>
              <w:rPr>
                <w:rFonts w:asciiTheme="minorHAnsi" w:hAnsiTheme="minorHAnsi"/>
                <w:lang w:val="uk-UA"/>
              </w:rPr>
            </w:pPr>
            <w:r>
              <w:rPr>
                <w:rFonts w:hint="eastAsia"/>
                <w:lang w:eastAsia="zh-CN"/>
              </w:rPr>
              <w:t>效果明显</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rPr>
                <w:rFonts w:asciiTheme="minorHAnsi" w:hAnsiTheme="minorHAnsi"/>
                <w:lang w:val="uk-UA"/>
              </w:rPr>
            </w:pPr>
            <w:r>
              <w:t>项目主管单位对项目的满意程度</w:t>
            </w:r>
          </w:p>
        </w:tc>
        <w:tc>
          <w:tcPr>
            <w:tcW w:w="2891" w:type="dxa"/>
            <w:vAlign w:val="center"/>
          </w:tcPr>
          <w:p>
            <w:pPr>
              <w:pStyle w:val="10"/>
            </w:pPr>
            <w:r>
              <w:t>项目主管单位对项目的满意程度</w:t>
            </w:r>
          </w:p>
        </w:tc>
        <w:tc>
          <w:tcPr>
            <w:tcW w:w="1276" w:type="dxa"/>
            <w:vAlign w:val="center"/>
          </w:tcPr>
          <w:p>
            <w:pPr>
              <w:pStyle w:val="10"/>
            </w:pPr>
            <w:r>
              <w:t>≥90%</w:t>
            </w:r>
          </w:p>
        </w:tc>
        <w:tc>
          <w:tcPr>
            <w:tcW w:w="1843" w:type="dxa"/>
            <w:vAlign w:val="center"/>
          </w:tcPr>
          <w:p>
            <w:pPr>
              <w:pStyle w:val="10"/>
            </w:pPr>
            <w:r>
              <w:rPr>
                <w:rFonts w:hint="eastAsia"/>
                <w:lang w:eastAsia="zh-CN"/>
              </w:rPr>
              <w:t>计划标准</w:t>
            </w:r>
          </w:p>
        </w:tc>
      </w:tr>
    </w:tbl>
    <w:p>
      <w:pPr>
        <w:sectPr>
          <w:pgSz w:w="11900" w:h="16840"/>
          <w:pgMar w:top="1984" w:right="1304" w:bottom="1134" w:left="1304" w:header="720" w:footer="720" w:gutter="0"/>
          <w:pgNumType w:fmt="numberInDash"/>
          <w:cols w:space="720" w:num="1"/>
        </w:sectPr>
      </w:pPr>
    </w:p>
    <w:p>
      <w:pPr>
        <w:jc w:val="center"/>
      </w:pPr>
      <w:r>
        <w:rPr>
          <w:rFonts w:ascii="方正仿宋_GBK" w:hAnsi="方正仿宋_GBK" w:eastAsia="方正仿宋_GBK" w:cs="方正仿宋_GBK"/>
          <w:color w:val="000000"/>
          <w:sz w:val="28"/>
        </w:rPr>
        <w:t xml:space="preserve"> </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602001青岛市住房和城乡建设局本级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37020023P66002410015K</w:t>
            </w:r>
          </w:p>
        </w:tc>
        <w:tc>
          <w:tcPr>
            <w:tcW w:w="1587" w:type="dxa"/>
            <w:vAlign w:val="center"/>
          </w:tcPr>
          <w:p>
            <w:pPr>
              <w:pStyle w:val="9"/>
            </w:pPr>
            <w:r>
              <w:t>项目名称</w:t>
            </w:r>
          </w:p>
        </w:tc>
        <w:tc>
          <w:tcPr>
            <w:tcW w:w="4422" w:type="dxa"/>
            <w:gridSpan w:val="3"/>
            <w:vAlign w:val="center"/>
          </w:tcPr>
          <w:p>
            <w:pPr>
              <w:pStyle w:val="10"/>
            </w:pPr>
            <w:r>
              <w:t>青岛市停车泊位及海尔路银川路区域交通基础设施建设工程项目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17000.00</w:t>
            </w:r>
          </w:p>
        </w:tc>
        <w:tc>
          <w:tcPr>
            <w:tcW w:w="1587" w:type="dxa"/>
            <w:vAlign w:val="center"/>
          </w:tcPr>
          <w:p>
            <w:pPr>
              <w:pStyle w:val="9"/>
            </w:pPr>
            <w:r>
              <w:t>其中：财政    资金</w:t>
            </w:r>
          </w:p>
        </w:tc>
        <w:tc>
          <w:tcPr>
            <w:tcW w:w="1304" w:type="dxa"/>
            <w:vAlign w:val="center"/>
          </w:tcPr>
          <w:p>
            <w:pPr>
              <w:pStyle w:val="10"/>
            </w:pPr>
            <w:r>
              <w:t>17000.00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rPr>
                <w:rFonts w:asciiTheme="minorHAnsi" w:hAnsiTheme="minorHAnsi"/>
                <w:lang w:val="uk-UA"/>
              </w:rPr>
            </w:pPr>
            <w:r>
              <w:t>用于青岛市停车泊位及海尔路银川路区域交通基础设施建设工程项目工程建设。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8500.00</w:t>
            </w:r>
          </w:p>
        </w:tc>
        <w:tc>
          <w:tcPr>
            <w:tcW w:w="1587" w:type="dxa"/>
            <w:vAlign w:val="center"/>
          </w:tcPr>
          <w:p>
            <w:pPr>
              <w:pStyle w:val="11"/>
            </w:pPr>
            <w:r>
              <w:t>17000.00</w:t>
            </w:r>
          </w:p>
        </w:tc>
        <w:tc>
          <w:tcPr>
            <w:tcW w:w="1304" w:type="dxa"/>
            <w:vAlign w:val="center"/>
          </w:tcPr>
          <w:p>
            <w:pPr>
              <w:pStyle w:val="11"/>
            </w:pPr>
            <w:r>
              <w:t xml:space="preserve"> 17000.00</w:t>
            </w:r>
          </w:p>
        </w:tc>
        <w:tc>
          <w:tcPr>
            <w:tcW w:w="3118" w:type="dxa"/>
            <w:gridSpan w:val="2"/>
            <w:vAlign w:val="center"/>
          </w:tcPr>
          <w:p>
            <w:pPr>
              <w:pStyle w:val="11"/>
            </w:pPr>
            <w:r>
              <w:t xml:space="preserve">17000.00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对青岛市约56326个路内停车位进行智能化改造，实现对路外停车场景的数字化、平台化、可视化管理。新建海尔路-银川路地下综合交通中心1处，建筑面积约7.66万平方米，停车位约1673个。新建海尔路、银川路立交桥配套管网、景观等附属设施，2021年内开工建设，2023年12月完工；完成工程总进度的100%。</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停车位智能改造</w:t>
            </w:r>
            <w:r>
              <w:rPr>
                <w:rFonts w:hint="eastAsia"/>
                <w:lang w:eastAsia="zh-CN"/>
              </w:rPr>
              <w:t>成本</w:t>
            </w:r>
          </w:p>
        </w:tc>
        <w:tc>
          <w:tcPr>
            <w:tcW w:w="2891" w:type="dxa"/>
            <w:vAlign w:val="center"/>
          </w:tcPr>
          <w:p>
            <w:pPr>
              <w:pStyle w:val="10"/>
            </w:pPr>
            <w:r>
              <w:t>停车位智能改造</w:t>
            </w:r>
            <w:r>
              <w:rPr>
                <w:rFonts w:hint="eastAsia"/>
                <w:lang w:eastAsia="zh-CN"/>
              </w:rPr>
              <w:t>成本</w:t>
            </w:r>
          </w:p>
        </w:tc>
        <w:tc>
          <w:tcPr>
            <w:tcW w:w="1276" w:type="dxa"/>
            <w:vAlign w:val="center"/>
          </w:tcPr>
          <w:p>
            <w:pPr>
              <w:pStyle w:val="10"/>
            </w:pPr>
            <w:r>
              <w:t>≤1561万元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新建地下停车位数量</w:t>
            </w:r>
          </w:p>
        </w:tc>
        <w:tc>
          <w:tcPr>
            <w:tcW w:w="2891" w:type="dxa"/>
            <w:vAlign w:val="center"/>
          </w:tcPr>
          <w:p>
            <w:pPr>
              <w:pStyle w:val="10"/>
            </w:pPr>
            <w:r>
              <w:t>新建地下停车位数量1673个</w:t>
            </w:r>
          </w:p>
        </w:tc>
        <w:tc>
          <w:tcPr>
            <w:tcW w:w="1276" w:type="dxa"/>
            <w:vAlign w:val="center"/>
          </w:tcPr>
          <w:p>
            <w:pPr>
              <w:pStyle w:val="10"/>
            </w:pPr>
            <w:r>
              <w:t>1673个</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新建地下停车场建筑面积</w:t>
            </w:r>
          </w:p>
        </w:tc>
        <w:tc>
          <w:tcPr>
            <w:tcW w:w="2891" w:type="dxa"/>
            <w:vAlign w:val="center"/>
          </w:tcPr>
          <w:p>
            <w:pPr>
              <w:pStyle w:val="10"/>
            </w:pPr>
            <w:r>
              <w:t>新建地下停车场建筑面积7.66万平方米</w:t>
            </w:r>
          </w:p>
        </w:tc>
        <w:tc>
          <w:tcPr>
            <w:tcW w:w="1276" w:type="dxa"/>
            <w:vAlign w:val="center"/>
          </w:tcPr>
          <w:p>
            <w:pPr>
              <w:pStyle w:val="10"/>
            </w:pPr>
            <w:r>
              <w:t>76600平方米</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建设标准</w:t>
            </w:r>
          </w:p>
        </w:tc>
        <w:tc>
          <w:tcPr>
            <w:tcW w:w="2891" w:type="dxa"/>
            <w:vAlign w:val="center"/>
          </w:tcPr>
          <w:p>
            <w:pPr>
              <w:pStyle w:val="10"/>
            </w:pPr>
            <w:r>
              <w:t>建设标准达标率</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工程验收合格率</w:t>
            </w:r>
          </w:p>
        </w:tc>
        <w:tc>
          <w:tcPr>
            <w:tcW w:w="2891" w:type="dxa"/>
            <w:vAlign w:val="center"/>
          </w:tcPr>
          <w:p>
            <w:pPr>
              <w:pStyle w:val="10"/>
            </w:pPr>
            <w:r>
              <w:t>工程验收合格率100%</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建设工期</w:t>
            </w:r>
          </w:p>
        </w:tc>
        <w:tc>
          <w:tcPr>
            <w:tcW w:w="2891" w:type="dxa"/>
            <w:vAlign w:val="center"/>
          </w:tcPr>
          <w:p>
            <w:pPr>
              <w:pStyle w:val="10"/>
            </w:pPr>
            <w:r>
              <w:t>建设工期</w:t>
            </w:r>
          </w:p>
        </w:tc>
        <w:tc>
          <w:tcPr>
            <w:tcW w:w="1276" w:type="dxa"/>
            <w:vAlign w:val="center"/>
          </w:tcPr>
          <w:p>
            <w:pPr>
              <w:pStyle w:val="10"/>
            </w:pPr>
            <w:r>
              <w:t>≤3年</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交通影响</w:t>
            </w:r>
          </w:p>
        </w:tc>
        <w:tc>
          <w:tcPr>
            <w:tcW w:w="2891" w:type="dxa"/>
            <w:vAlign w:val="center"/>
          </w:tcPr>
          <w:p>
            <w:pPr>
              <w:pStyle w:val="10"/>
            </w:pPr>
            <w:r>
              <w:t>显著缓解周边拥堵</w:t>
            </w:r>
          </w:p>
        </w:tc>
        <w:tc>
          <w:tcPr>
            <w:tcW w:w="1276" w:type="dxa"/>
            <w:vAlign w:val="center"/>
          </w:tcPr>
          <w:p>
            <w:pPr>
              <w:pStyle w:val="10"/>
            </w:pPr>
            <w:r>
              <w:t>显著缓解</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项目主管单位对项目的满意程度</w:t>
            </w:r>
          </w:p>
        </w:tc>
        <w:tc>
          <w:tcPr>
            <w:tcW w:w="2891" w:type="dxa"/>
            <w:vAlign w:val="center"/>
          </w:tcPr>
          <w:p>
            <w:pPr>
              <w:pStyle w:val="10"/>
            </w:pPr>
            <w:r>
              <w:t>项目主管单位对项目的满意程度≥90%</w:t>
            </w:r>
          </w:p>
        </w:tc>
        <w:tc>
          <w:tcPr>
            <w:tcW w:w="1276" w:type="dxa"/>
            <w:vAlign w:val="center"/>
          </w:tcPr>
          <w:p>
            <w:pPr>
              <w:pStyle w:val="10"/>
            </w:pPr>
            <w:r>
              <w:t>≥90%</w:t>
            </w:r>
          </w:p>
        </w:tc>
        <w:tc>
          <w:tcPr>
            <w:tcW w:w="1843" w:type="dxa"/>
            <w:vAlign w:val="center"/>
          </w:tcPr>
          <w:p>
            <w:pPr>
              <w:pStyle w:val="10"/>
            </w:pPr>
            <w:r>
              <w:t>计划标准</w:t>
            </w:r>
          </w:p>
        </w:tc>
      </w:tr>
    </w:tbl>
    <w:p>
      <w:pPr>
        <w:sectPr>
          <w:pgSz w:w="11900" w:h="16840"/>
          <w:pgMar w:top="1984" w:right="1304" w:bottom="1134" w:left="1304" w:header="720" w:footer="720" w:gutter="0"/>
          <w:pgNumType w:fmt="numberInDash"/>
          <w:cols w:space="720" w:num="1"/>
        </w:sect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602001青岛市住房和城乡建设局本级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37020023P660024100096</w:t>
            </w:r>
          </w:p>
        </w:tc>
        <w:tc>
          <w:tcPr>
            <w:tcW w:w="1587" w:type="dxa"/>
            <w:vAlign w:val="center"/>
          </w:tcPr>
          <w:p>
            <w:pPr>
              <w:pStyle w:val="9"/>
            </w:pPr>
            <w:r>
              <w:t>项目名称</w:t>
            </w:r>
          </w:p>
        </w:tc>
        <w:tc>
          <w:tcPr>
            <w:tcW w:w="4422" w:type="dxa"/>
            <w:gridSpan w:val="3"/>
            <w:vAlign w:val="center"/>
          </w:tcPr>
          <w:p>
            <w:pPr>
              <w:pStyle w:val="10"/>
            </w:pPr>
            <w:r>
              <w:t>青岛市中山路及周边区域停车场建设工程一期建设项目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5000.00</w:t>
            </w:r>
          </w:p>
        </w:tc>
        <w:tc>
          <w:tcPr>
            <w:tcW w:w="1587" w:type="dxa"/>
            <w:vAlign w:val="center"/>
          </w:tcPr>
          <w:p>
            <w:pPr>
              <w:pStyle w:val="9"/>
            </w:pPr>
            <w:r>
              <w:t>其中：财政    资金</w:t>
            </w:r>
          </w:p>
        </w:tc>
        <w:tc>
          <w:tcPr>
            <w:tcW w:w="1304" w:type="dxa"/>
            <w:vAlign w:val="center"/>
          </w:tcPr>
          <w:p>
            <w:pPr>
              <w:pStyle w:val="10"/>
            </w:pPr>
            <w:r>
              <w:t>5000.00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rPr>
                <w:rFonts w:asciiTheme="minorHAnsi" w:hAnsiTheme="minorHAnsi"/>
                <w:lang w:val="uk-UA"/>
              </w:rPr>
            </w:pPr>
            <w:r>
              <w:t>用于青岛市中山路及周边区域停车场建设工程一期建设项目工程建设。</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3200.00</w:t>
            </w:r>
          </w:p>
        </w:tc>
        <w:tc>
          <w:tcPr>
            <w:tcW w:w="1587" w:type="dxa"/>
            <w:vAlign w:val="center"/>
          </w:tcPr>
          <w:p>
            <w:pPr>
              <w:pStyle w:val="11"/>
            </w:pPr>
            <w:r>
              <w:t>5000.00</w:t>
            </w:r>
          </w:p>
        </w:tc>
        <w:tc>
          <w:tcPr>
            <w:tcW w:w="1304" w:type="dxa"/>
            <w:vAlign w:val="center"/>
          </w:tcPr>
          <w:p>
            <w:pPr>
              <w:pStyle w:val="11"/>
            </w:pPr>
            <w:r>
              <w:t>5000.00</w:t>
            </w:r>
          </w:p>
        </w:tc>
        <w:tc>
          <w:tcPr>
            <w:tcW w:w="3118" w:type="dxa"/>
            <w:gridSpan w:val="2"/>
            <w:vAlign w:val="center"/>
          </w:tcPr>
          <w:p>
            <w:pPr>
              <w:pStyle w:val="11"/>
            </w:pPr>
            <w:r>
              <w:t xml:space="preserve"> 5000.00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中山商城人防停车场、禹城路连接通道人防停车场2023年12月底完成竣工验收。</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rPr>
                <w:rFonts w:asciiTheme="minorHAnsi" w:hAnsiTheme="minorHAnsi"/>
                <w:lang w:val="uk-UA"/>
              </w:rPr>
            </w:pPr>
            <w:r>
              <w:t>青岛市中山路及周边区域停车场建设工程一期建设项目</w:t>
            </w:r>
            <w:r>
              <w:rPr>
                <w:rFonts w:hint="eastAsia"/>
                <w:lang w:eastAsia="zh-CN"/>
              </w:rPr>
              <w:t>成本控制数</w:t>
            </w:r>
          </w:p>
        </w:tc>
        <w:tc>
          <w:tcPr>
            <w:tcW w:w="2891" w:type="dxa"/>
            <w:vAlign w:val="center"/>
          </w:tcPr>
          <w:p>
            <w:pPr>
              <w:pStyle w:val="10"/>
            </w:pPr>
            <w:r>
              <w:t>青岛市中山路及周边区域停车场建设工程一期建设项目</w:t>
            </w:r>
            <w:r>
              <w:rPr>
                <w:rFonts w:hint="eastAsia"/>
                <w:lang w:eastAsia="zh-CN"/>
              </w:rPr>
              <w:t>成本控制数</w:t>
            </w:r>
          </w:p>
        </w:tc>
        <w:tc>
          <w:tcPr>
            <w:tcW w:w="1276" w:type="dxa"/>
            <w:vAlign w:val="center"/>
          </w:tcPr>
          <w:p>
            <w:pPr>
              <w:pStyle w:val="10"/>
            </w:pPr>
            <w:r>
              <w:t>≤5000万元</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新建地下停车位数量</w:t>
            </w:r>
          </w:p>
        </w:tc>
        <w:tc>
          <w:tcPr>
            <w:tcW w:w="2891" w:type="dxa"/>
            <w:vAlign w:val="center"/>
          </w:tcPr>
          <w:p>
            <w:pPr>
              <w:pStyle w:val="10"/>
            </w:pPr>
            <w:r>
              <w:t>新建地下停车位数量</w:t>
            </w:r>
          </w:p>
        </w:tc>
        <w:tc>
          <w:tcPr>
            <w:tcW w:w="1276" w:type="dxa"/>
            <w:vAlign w:val="center"/>
          </w:tcPr>
          <w:p>
            <w:pPr>
              <w:pStyle w:val="10"/>
            </w:pPr>
            <w:r>
              <w:t>597个</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智能化改造地面路内停车位数量</w:t>
            </w:r>
          </w:p>
        </w:tc>
        <w:tc>
          <w:tcPr>
            <w:tcW w:w="2891" w:type="dxa"/>
            <w:vAlign w:val="center"/>
          </w:tcPr>
          <w:p>
            <w:pPr>
              <w:pStyle w:val="10"/>
            </w:pPr>
            <w:r>
              <w:t>智能化改造地面路内停车位数量</w:t>
            </w:r>
          </w:p>
        </w:tc>
        <w:tc>
          <w:tcPr>
            <w:tcW w:w="1276" w:type="dxa"/>
            <w:vAlign w:val="center"/>
          </w:tcPr>
          <w:p>
            <w:pPr>
              <w:pStyle w:val="10"/>
            </w:pPr>
            <w:r>
              <w:t>5127个</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建设标准</w:t>
            </w:r>
            <w:r>
              <w:rPr>
                <w:rFonts w:hint="eastAsia"/>
                <w:lang w:eastAsia="zh-CN"/>
              </w:rPr>
              <w:t>符合度</w:t>
            </w:r>
          </w:p>
        </w:tc>
        <w:tc>
          <w:tcPr>
            <w:tcW w:w="2891" w:type="dxa"/>
            <w:vAlign w:val="center"/>
          </w:tcPr>
          <w:p>
            <w:pPr>
              <w:pStyle w:val="10"/>
            </w:pPr>
            <w:r>
              <w:t>建设标准符合建设工程相关标准</w:t>
            </w:r>
          </w:p>
        </w:tc>
        <w:tc>
          <w:tcPr>
            <w:tcW w:w="1276" w:type="dxa"/>
            <w:vAlign w:val="center"/>
          </w:tcPr>
          <w:p>
            <w:pPr>
              <w:pStyle w:val="10"/>
              <w:rPr>
                <w:lang w:eastAsia="zh-CN"/>
              </w:rPr>
            </w:pPr>
            <w:r>
              <w:rPr>
                <w:rFonts w:hint="eastAsia"/>
                <w:lang w:eastAsia="zh-CN"/>
              </w:rPr>
              <w:t>1</w:t>
            </w:r>
            <w:r>
              <w:rPr>
                <w:lang w:eastAsia="zh-CN"/>
              </w:rPr>
              <w:t>00</w:t>
            </w:r>
            <w:r>
              <w:rPr>
                <w:rFonts w:hint="eastAsia"/>
                <w:lang w:eastAsia="zh-CN"/>
              </w:rPr>
              <w:t>%</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工程验收合格率</w:t>
            </w:r>
          </w:p>
        </w:tc>
        <w:tc>
          <w:tcPr>
            <w:tcW w:w="2891" w:type="dxa"/>
            <w:vAlign w:val="center"/>
          </w:tcPr>
          <w:p>
            <w:pPr>
              <w:pStyle w:val="10"/>
            </w:pPr>
            <w:r>
              <w:t>工程验收合格率</w:t>
            </w:r>
          </w:p>
        </w:tc>
        <w:tc>
          <w:tcPr>
            <w:tcW w:w="1276" w:type="dxa"/>
            <w:vAlign w:val="center"/>
          </w:tcPr>
          <w:p>
            <w:pPr>
              <w:pStyle w:val="10"/>
            </w:pPr>
            <w:r>
              <w:t>100%</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rPr>
                <w:rFonts w:hint="eastAsia"/>
                <w:lang w:eastAsia="zh-CN"/>
              </w:rPr>
              <w:t>项目完成及时率</w:t>
            </w:r>
          </w:p>
        </w:tc>
        <w:tc>
          <w:tcPr>
            <w:tcW w:w="2891" w:type="dxa"/>
            <w:vAlign w:val="center"/>
          </w:tcPr>
          <w:p>
            <w:pPr>
              <w:pStyle w:val="10"/>
            </w:pPr>
            <w:r>
              <w:rPr>
                <w:rFonts w:hint="eastAsia"/>
                <w:lang w:eastAsia="zh-CN"/>
              </w:rPr>
              <w:t>项目完成及时率</w:t>
            </w:r>
          </w:p>
        </w:tc>
        <w:tc>
          <w:tcPr>
            <w:tcW w:w="1276" w:type="dxa"/>
            <w:vAlign w:val="center"/>
          </w:tcPr>
          <w:p>
            <w:pPr>
              <w:pStyle w:val="10"/>
            </w:pPr>
            <w:r>
              <w:t>100</w:t>
            </w:r>
            <w:r>
              <w:rPr>
                <w:rFonts w:hint="eastAsia"/>
                <w:lang w:eastAsia="zh-CN"/>
              </w:rPr>
              <w:t>%</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经济效益指标</w:t>
            </w:r>
          </w:p>
        </w:tc>
        <w:tc>
          <w:tcPr>
            <w:tcW w:w="1332" w:type="dxa"/>
            <w:vAlign w:val="center"/>
          </w:tcPr>
          <w:p>
            <w:pPr>
              <w:pStyle w:val="10"/>
            </w:pPr>
            <w:r>
              <w:t>缓解周边拥堵</w:t>
            </w:r>
          </w:p>
        </w:tc>
        <w:tc>
          <w:tcPr>
            <w:tcW w:w="2891" w:type="dxa"/>
            <w:vAlign w:val="center"/>
          </w:tcPr>
          <w:p>
            <w:pPr>
              <w:pStyle w:val="10"/>
            </w:pPr>
            <w:r>
              <w:t>缓解周边拥堵</w:t>
            </w:r>
            <w:r>
              <w:rPr>
                <w:rFonts w:hint="eastAsia"/>
                <w:lang w:eastAsia="zh-CN"/>
              </w:rPr>
              <w:t>效果</w:t>
            </w:r>
          </w:p>
        </w:tc>
        <w:tc>
          <w:tcPr>
            <w:tcW w:w="1276" w:type="dxa"/>
            <w:vAlign w:val="center"/>
          </w:tcPr>
          <w:p>
            <w:pPr>
              <w:pStyle w:val="10"/>
            </w:pPr>
            <w:r>
              <w:rPr>
                <w:rFonts w:hint="eastAsia"/>
                <w:lang w:eastAsia="zh-CN"/>
              </w:rPr>
              <w:t>有效</w:t>
            </w:r>
            <w:r>
              <w:t>缓解</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项目主管单位对项目的满意程度</w:t>
            </w:r>
          </w:p>
        </w:tc>
        <w:tc>
          <w:tcPr>
            <w:tcW w:w="2891" w:type="dxa"/>
            <w:vAlign w:val="center"/>
          </w:tcPr>
          <w:p>
            <w:pPr>
              <w:pStyle w:val="10"/>
            </w:pPr>
            <w:r>
              <w:t>项目主管单位对项目的满意程度≥90%</w:t>
            </w:r>
          </w:p>
        </w:tc>
        <w:tc>
          <w:tcPr>
            <w:tcW w:w="1276" w:type="dxa"/>
            <w:vAlign w:val="center"/>
          </w:tcPr>
          <w:p>
            <w:pPr>
              <w:pStyle w:val="10"/>
            </w:pPr>
            <w:r>
              <w:t>≥90%</w:t>
            </w:r>
          </w:p>
        </w:tc>
        <w:tc>
          <w:tcPr>
            <w:tcW w:w="1843" w:type="dxa"/>
            <w:vAlign w:val="center"/>
          </w:tcPr>
          <w:p>
            <w:pPr>
              <w:pStyle w:val="10"/>
            </w:pPr>
            <w:r>
              <w:rPr>
                <w:rFonts w:hint="eastAsia"/>
                <w:lang w:eastAsia="zh-CN"/>
              </w:rPr>
              <w:t>计划标准</w:t>
            </w:r>
          </w:p>
        </w:tc>
      </w:tr>
    </w:tbl>
    <w:p>
      <w:pPr>
        <w:sectPr>
          <w:pgSz w:w="11900" w:h="16840"/>
          <w:pgMar w:top="1984" w:right="1304" w:bottom="1134" w:left="1304" w:header="720" w:footer="720" w:gutter="0"/>
          <w:pgNumType w:fmt="numberInDash"/>
          <w:cols w:space="720" w:num="1"/>
        </w:sect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602001青岛市住房和城乡建设局本级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37020023P660024100115</w:t>
            </w:r>
          </w:p>
        </w:tc>
        <w:tc>
          <w:tcPr>
            <w:tcW w:w="1587" w:type="dxa"/>
            <w:vAlign w:val="center"/>
          </w:tcPr>
          <w:p>
            <w:pPr>
              <w:pStyle w:val="9"/>
            </w:pPr>
            <w:r>
              <w:t>项目名称</w:t>
            </w:r>
          </w:p>
        </w:tc>
        <w:tc>
          <w:tcPr>
            <w:tcW w:w="4422" w:type="dxa"/>
            <w:gridSpan w:val="3"/>
            <w:vAlign w:val="center"/>
          </w:tcPr>
          <w:p>
            <w:pPr>
              <w:pStyle w:val="10"/>
            </w:pPr>
            <w:r>
              <w:t>青银高速公路增设唐山路互通及连接线工程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30000.00</w:t>
            </w:r>
          </w:p>
        </w:tc>
        <w:tc>
          <w:tcPr>
            <w:tcW w:w="1587" w:type="dxa"/>
            <w:vAlign w:val="center"/>
          </w:tcPr>
          <w:p>
            <w:pPr>
              <w:pStyle w:val="9"/>
            </w:pPr>
            <w:r>
              <w:t>其中：财政    资金</w:t>
            </w:r>
          </w:p>
        </w:tc>
        <w:tc>
          <w:tcPr>
            <w:tcW w:w="1304" w:type="dxa"/>
            <w:vAlign w:val="center"/>
          </w:tcPr>
          <w:p>
            <w:pPr>
              <w:pStyle w:val="10"/>
            </w:pPr>
            <w:r>
              <w:t>30000.00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rPr>
                <w:rFonts w:asciiTheme="minorHAnsi" w:hAnsiTheme="minorHAnsi"/>
                <w:lang w:val="uk-UA"/>
              </w:rPr>
            </w:pPr>
            <w:r>
              <w:t>用于青银高速公路增设唐山路互通及连接线工程</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30000.00</w:t>
            </w:r>
          </w:p>
        </w:tc>
        <w:tc>
          <w:tcPr>
            <w:tcW w:w="1304" w:type="dxa"/>
            <w:vAlign w:val="center"/>
          </w:tcPr>
          <w:p>
            <w:pPr>
              <w:pStyle w:val="11"/>
            </w:pPr>
            <w:r>
              <w:t xml:space="preserve"> 30000.00</w:t>
            </w:r>
          </w:p>
        </w:tc>
        <w:tc>
          <w:tcPr>
            <w:tcW w:w="3118" w:type="dxa"/>
            <w:gridSpan w:val="2"/>
            <w:vAlign w:val="center"/>
          </w:tcPr>
          <w:p>
            <w:pPr>
              <w:pStyle w:val="11"/>
            </w:pPr>
            <w:r>
              <w:t xml:space="preserve"> 30000.00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通过青银高速公路增设唐山路互通及连接线工程，实现目标1：当年工程投资与当年度预计投资计划不发生严重偏离；目标2：项目融资与投资匹配，专项债资金无过长沉淀滞留；目标3：专项债资金使用程序规范，支出项目符合专项债相关规定；目标4：工程质量达标，重大安全事故率为0；目标5：服务对象满意度达到90%。</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rPr>
                <w:rFonts w:asciiTheme="minorHAnsi" w:hAnsiTheme="minorHAnsi"/>
                <w:lang w:val="uk-UA"/>
              </w:rPr>
            </w:pPr>
            <w:r>
              <w:t>青银高速公路增设唐山路互通及连接线工程</w:t>
            </w:r>
            <w:r>
              <w:rPr>
                <w:rFonts w:hint="eastAsia"/>
                <w:lang w:eastAsia="zh-CN"/>
              </w:rPr>
              <w:t>项目成本控制数</w:t>
            </w:r>
          </w:p>
        </w:tc>
        <w:tc>
          <w:tcPr>
            <w:tcW w:w="2891" w:type="dxa"/>
            <w:vAlign w:val="center"/>
          </w:tcPr>
          <w:p>
            <w:pPr>
              <w:pStyle w:val="10"/>
            </w:pPr>
            <w:r>
              <w:t>青银高速公路增设唐山路互通及连接线工程</w:t>
            </w:r>
            <w:r>
              <w:rPr>
                <w:rFonts w:hint="eastAsia"/>
                <w:lang w:eastAsia="zh-CN"/>
              </w:rPr>
              <w:t>项目成本控制数</w:t>
            </w:r>
          </w:p>
        </w:tc>
        <w:tc>
          <w:tcPr>
            <w:tcW w:w="1276" w:type="dxa"/>
            <w:vAlign w:val="center"/>
          </w:tcPr>
          <w:p>
            <w:pPr>
              <w:pStyle w:val="10"/>
            </w:pPr>
            <w:r>
              <w:t>≤30000万元</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项目全长里程</w:t>
            </w:r>
          </w:p>
        </w:tc>
        <w:tc>
          <w:tcPr>
            <w:tcW w:w="2891" w:type="dxa"/>
            <w:vAlign w:val="center"/>
          </w:tcPr>
          <w:p>
            <w:pPr>
              <w:pStyle w:val="10"/>
            </w:pPr>
            <w:r>
              <w:t>项目全长里程</w:t>
            </w:r>
          </w:p>
        </w:tc>
        <w:tc>
          <w:tcPr>
            <w:tcW w:w="1276" w:type="dxa"/>
            <w:vAlign w:val="center"/>
          </w:tcPr>
          <w:p>
            <w:pPr>
              <w:pStyle w:val="10"/>
            </w:pPr>
            <w:r>
              <w:t>3公里</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隧道全长里程</w:t>
            </w:r>
          </w:p>
        </w:tc>
        <w:tc>
          <w:tcPr>
            <w:tcW w:w="2891" w:type="dxa"/>
            <w:vAlign w:val="center"/>
          </w:tcPr>
          <w:p>
            <w:pPr>
              <w:pStyle w:val="10"/>
            </w:pPr>
            <w:r>
              <w:t>隧道全长里程</w:t>
            </w:r>
          </w:p>
        </w:tc>
        <w:tc>
          <w:tcPr>
            <w:tcW w:w="1276" w:type="dxa"/>
            <w:vAlign w:val="center"/>
          </w:tcPr>
          <w:p>
            <w:pPr>
              <w:pStyle w:val="10"/>
            </w:pPr>
            <w:r>
              <w:t>1.5公里</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质量验收合格率</w:t>
            </w:r>
          </w:p>
        </w:tc>
        <w:tc>
          <w:tcPr>
            <w:tcW w:w="2891" w:type="dxa"/>
            <w:vAlign w:val="center"/>
          </w:tcPr>
          <w:p>
            <w:pPr>
              <w:pStyle w:val="10"/>
            </w:pPr>
            <w:r>
              <w:t>质量验收合格率</w:t>
            </w:r>
          </w:p>
        </w:tc>
        <w:tc>
          <w:tcPr>
            <w:tcW w:w="1276" w:type="dxa"/>
            <w:vAlign w:val="center"/>
          </w:tcPr>
          <w:p>
            <w:pPr>
              <w:pStyle w:val="10"/>
            </w:pPr>
            <w:r>
              <w:t>100%</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建设期</w:t>
            </w:r>
          </w:p>
        </w:tc>
        <w:tc>
          <w:tcPr>
            <w:tcW w:w="2891" w:type="dxa"/>
            <w:vAlign w:val="center"/>
          </w:tcPr>
          <w:p>
            <w:pPr>
              <w:pStyle w:val="10"/>
            </w:pPr>
            <w:r>
              <w:t>建设期</w:t>
            </w:r>
          </w:p>
        </w:tc>
        <w:tc>
          <w:tcPr>
            <w:tcW w:w="1276" w:type="dxa"/>
            <w:vAlign w:val="center"/>
          </w:tcPr>
          <w:p>
            <w:pPr>
              <w:pStyle w:val="10"/>
            </w:pPr>
            <w:r>
              <w:t>≤24月</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材料质量合格率</w:t>
            </w:r>
          </w:p>
        </w:tc>
        <w:tc>
          <w:tcPr>
            <w:tcW w:w="2891" w:type="dxa"/>
            <w:vAlign w:val="center"/>
          </w:tcPr>
          <w:p>
            <w:pPr>
              <w:pStyle w:val="10"/>
            </w:pPr>
            <w:r>
              <w:t>进场主材合格率</w:t>
            </w:r>
          </w:p>
        </w:tc>
        <w:tc>
          <w:tcPr>
            <w:tcW w:w="1276" w:type="dxa"/>
            <w:vAlign w:val="center"/>
          </w:tcPr>
          <w:p>
            <w:pPr>
              <w:pStyle w:val="10"/>
            </w:pPr>
            <w:r>
              <w:t>100%</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重大安全事故发生数</w:t>
            </w:r>
          </w:p>
        </w:tc>
        <w:tc>
          <w:tcPr>
            <w:tcW w:w="2891" w:type="dxa"/>
            <w:vAlign w:val="center"/>
          </w:tcPr>
          <w:p>
            <w:pPr>
              <w:pStyle w:val="10"/>
            </w:pPr>
            <w:r>
              <w:t>重大质量责任事故发生数</w:t>
            </w:r>
          </w:p>
        </w:tc>
        <w:tc>
          <w:tcPr>
            <w:tcW w:w="1276" w:type="dxa"/>
            <w:vAlign w:val="center"/>
          </w:tcPr>
          <w:p>
            <w:pPr>
              <w:pStyle w:val="10"/>
            </w:pPr>
            <w:r>
              <w:t>0起</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项目主管单位对项目的满意程度</w:t>
            </w:r>
          </w:p>
        </w:tc>
        <w:tc>
          <w:tcPr>
            <w:tcW w:w="2891" w:type="dxa"/>
            <w:vAlign w:val="center"/>
          </w:tcPr>
          <w:p>
            <w:pPr>
              <w:pStyle w:val="10"/>
            </w:pPr>
            <w:r>
              <w:t>项目主管单位对项目的满意程度</w:t>
            </w:r>
          </w:p>
        </w:tc>
        <w:tc>
          <w:tcPr>
            <w:tcW w:w="1276" w:type="dxa"/>
            <w:vAlign w:val="center"/>
          </w:tcPr>
          <w:p>
            <w:pPr>
              <w:pStyle w:val="10"/>
            </w:pPr>
            <w:r>
              <w:t>≥90%</w:t>
            </w:r>
          </w:p>
        </w:tc>
        <w:tc>
          <w:tcPr>
            <w:tcW w:w="1843" w:type="dxa"/>
            <w:vAlign w:val="center"/>
          </w:tcPr>
          <w:p>
            <w:pPr>
              <w:pStyle w:val="10"/>
            </w:pPr>
            <w:r>
              <w:rPr>
                <w:rFonts w:hint="eastAsia"/>
                <w:lang w:eastAsia="zh-CN"/>
              </w:rPr>
              <w:t>计划标准</w:t>
            </w:r>
          </w:p>
        </w:tc>
      </w:tr>
    </w:tbl>
    <w:p>
      <w:pPr>
        <w:sectPr>
          <w:pgSz w:w="11900" w:h="16840"/>
          <w:pgMar w:top="1984" w:right="1304" w:bottom="1134" w:left="1304" w:header="720" w:footer="720" w:gutter="0"/>
          <w:pgNumType w:fmt="numberInDash"/>
          <w:cols w:space="720" w:num="1"/>
        </w:sectPr>
      </w:pPr>
    </w:p>
    <w:p>
      <w:pPr>
        <w:jc w:val="center"/>
      </w:pPr>
      <w:r>
        <w:rPr>
          <w:rFonts w:ascii="方正仿宋_GBK" w:hAnsi="方正仿宋_GBK" w:eastAsia="方正仿宋_GBK" w:cs="方正仿宋_GBK"/>
          <w:color w:val="000000"/>
          <w:sz w:val="28"/>
        </w:rPr>
        <w:t xml:space="preserve"> </w:t>
      </w:r>
    </w:p>
    <w:p>
      <w:pPr>
        <w:jc w:val="center"/>
      </w:pPr>
      <w:r>
        <w:rPr>
          <w:rFonts w:ascii="方正仿宋_GBK" w:hAnsi="方正仿宋_GBK" w:eastAsia="方正仿宋_GBK" w:cs="方正仿宋_GBK"/>
          <w:color w:val="000000"/>
          <w:sz w:val="28"/>
        </w:rPr>
        <w:t xml:space="preserve"> </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602001青岛市住房和城乡建设局本级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37020023P58001010098R</w:t>
            </w:r>
          </w:p>
        </w:tc>
        <w:tc>
          <w:tcPr>
            <w:tcW w:w="1587" w:type="dxa"/>
            <w:vAlign w:val="center"/>
          </w:tcPr>
          <w:p>
            <w:pPr>
              <w:pStyle w:val="9"/>
            </w:pPr>
            <w:r>
              <w:t>项目名称</w:t>
            </w:r>
          </w:p>
        </w:tc>
        <w:tc>
          <w:tcPr>
            <w:tcW w:w="4422" w:type="dxa"/>
            <w:gridSpan w:val="3"/>
            <w:vAlign w:val="center"/>
          </w:tcPr>
          <w:p>
            <w:pPr>
              <w:pStyle w:val="10"/>
            </w:pPr>
            <w:r>
              <w:t>市南、市北（含浮山新区）配套工程项目资金（供热）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18650.00</w:t>
            </w:r>
          </w:p>
        </w:tc>
        <w:tc>
          <w:tcPr>
            <w:tcW w:w="1587" w:type="dxa"/>
            <w:vAlign w:val="center"/>
          </w:tcPr>
          <w:p>
            <w:pPr>
              <w:pStyle w:val="9"/>
            </w:pPr>
            <w:r>
              <w:t>其中：财政    资金</w:t>
            </w:r>
          </w:p>
        </w:tc>
        <w:tc>
          <w:tcPr>
            <w:tcW w:w="1304" w:type="dxa"/>
            <w:vAlign w:val="center"/>
          </w:tcPr>
          <w:p>
            <w:pPr>
              <w:pStyle w:val="10"/>
            </w:pPr>
            <w:r>
              <w:t>18650.00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城市基础设施配套费主要用于建设项目规划红线外与城市主干网衔接的城市基础配套设施，包括从热源厂、站（含热源本体）至单位用户规划红线或居民用户用热计量装置建设，老式串联供热系统改并联系统的公共立管改造，以及市政府确定的其他基础设施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3000.00</w:t>
            </w:r>
          </w:p>
        </w:tc>
        <w:tc>
          <w:tcPr>
            <w:tcW w:w="1304" w:type="dxa"/>
            <w:vAlign w:val="center"/>
          </w:tcPr>
          <w:p>
            <w:pPr>
              <w:pStyle w:val="11"/>
            </w:pPr>
            <w:r>
              <w:t>8000.00</w:t>
            </w:r>
          </w:p>
        </w:tc>
        <w:tc>
          <w:tcPr>
            <w:tcW w:w="3118" w:type="dxa"/>
            <w:gridSpan w:val="2"/>
            <w:vAlign w:val="center"/>
          </w:tcPr>
          <w:p>
            <w:pPr>
              <w:pStyle w:val="11"/>
            </w:pPr>
            <w:r>
              <w:t>18650.00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城市基础设施配套费主要用于建设项目规划红线外与城市主干网衔接的城市基础配套设施，包括从热源厂、站（含热源本体）至单位用户规划红线或居民用户用热计量装置建设，老式串联供热系统改并联系统的公共立管改造，以及市政府确定的其他基础设施建设。</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市南、市北（含浮山新区）配套工程项目</w:t>
            </w:r>
            <w:r>
              <w:rPr>
                <w:rFonts w:hint="eastAsia"/>
                <w:lang w:eastAsia="zh-CN"/>
              </w:rPr>
              <w:t>成本控制数</w:t>
            </w:r>
          </w:p>
        </w:tc>
        <w:tc>
          <w:tcPr>
            <w:tcW w:w="2891" w:type="dxa"/>
            <w:vAlign w:val="center"/>
          </w:tcPr>
          <w:p>
            <w:pPr>
              <w:pStyle w:val="10"/>
            </w:pPr>
            <w:r>
              <w:t>市南、市北（含浮山新区）配套工程项目</w:t>
            </w:r>
            <w:r>
              <w:rPr>
                <w:rFonts w:hint="eastAsia"/>
                <w:lang w:eastAsia="zh-CN"/>
              </w:rPr>
              <w:t>成本控制数</w:t>
            </w:r>
          </w:p>
        </w:tc>
        <w:tc>
          <w:tcPr>
            <w:tcW w:w="1276" w:type="dxa"/>
            <w:vAlign w:val="center"/>
          </w:tcPr>
          <w:p>
            <w:pPr>
              <w:pStyle w:val="10"/>
            </w:pPr>
            <w:r>
              <w:t>≤18650万元</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服务企业数量</w:t>
            </w:r>
          </w:p>
        </w:tc>
        <w:tc>
          <w:tcPr>
            <w:tcW w:w="2891" w:type="dxa"/>
            <w:vAlign w:val="center"/>
          </w:tcPr>
          <w:p>
            <w:pPr>
              <w:pStyle w:val="10"/>
            </w:pPr>
            <w:r>
              <w:t>服务企业数量</w:t>
            </w:r>
          </w:p>
        </w:tc>
        <w:tc>
          <w:tcPr>
            <w:tcW w:w="1276" w:type="dxa"/>
            <w:vAlign w:val="center"/>
          </w:tcPr>
          <w:p>
            <w:pPr>
              <w:pStyle w:val="10"/>
            </w:pPr>
            <w:r>
              <w:t>≥3个</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配套项目数量</w:t>
            </w:r>
          </w:p>
        </w:tc>
        <w:tc>
          <w:tcPr>
            <w:tcW w:w="2891" w:type="dxa"/>
            <w:vAlign w:val="center"/>
          </w:tcPr>
          <w:p>
            <w:pPr>
              <w:pStyle w:val="10"/>
            </w:pPr>
            <w:r>
              <w:t>配套项目数量</w:t>
            </w:r>
          </w:p>
        </w:tc>
        <w:tc>
          <w:tcPr>
            <w:tcW w:w="1276" w:type="dxa"/>
            <w:vAlign w:val="center"/>
          </w:tcPr>
          <w:p>
            <w:pPr>
              <w:pStyle w:val="10"/>
            </w:pPr>
            <w:r>
              <w:t>≥10个</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资金政策符合度</w:t>
            </w:r>
          </w:p>
        </w:tc>
        <w:tc>
          <w:tcPr>
            <w:tcW w:w="2891" w:type="dxa"/>
            <w:vAlign w:val="center"/>
          </w:tcPr>
          <w:p>
            <w:pPr>
              <w:pStyle w:val="10"/>
            </w:pPr>
            <w:r>
              <w:t>资金政策符合度</w:t>
            </w:r>
          </w:p>
        </w:tc>
        <w:tc>
          <w:tcPr>
            <w:tcW w:w="1276" w:type="dxa"/>
            <w:vAlign w:val="center"/>
          </w:tcPr>
          <w:p>
            <w:pPr>
              <w:pStyle w:val="10"/>
            </w:pPr>
            <w:r>
              <w:t>100</w:t>
            </w:r>
            <w:r>
              <w:rPr>
                <w:b/>
              </w:rPr>
              <w:t>%</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资金支付合规率</w:t>
            </w:r>
          </w:p>
        </w:tc>
        <w:tc>
          <w:tcPr>
            <w:tcW w:w="2891" w:type="dxa"/>
            <w:vAlign w:val="center"/>
          </w:tcPr>
          <w:p>
            <w:pPr>
              <w:pStyle w:val="10"/>
            </w:pPr>
            <w:r>
              <w:t>资金支付合规率</w:t>
            </w:r>
          </w:p>
        </w:tc>
        <w:tc>
          <w:tcPr>
            <w:tcW w:w="1276" w:type="dxa"/>
            <w:vAlign w:val="center"/>
          </w:tcPr>
          <w:p>
            <w:pPr>
              <w:pStyle w:val="10"/>
            </w:pPr>
            <w:r>
              <w:t>100</w:t>
            </w:r>
            <w:r>
              <w:rPr>
                <w:b/>
              </w:rPr>
              <w:t>%</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rPr>
                <w:rFonts w:hint="eastAsia"/>
                <w:lang w:eastAsia="zh-CN"/>
              </w:rPr>
              <w:t>项目完成及时率</w:t>
            </w:r>
          </w:p>
        </w:tc>
        <w:tc>
          <w:tcPr>
            <w:tcW w:w="2891" w:type="dxa"/>
            <w:vAlign w:val="center"/>
          </w:tcPr>
          <w:p>
            <w:pPr>
              <w:pStyle w:val="10"/>
            </w:pPr>
            <w:r>
              <w:rPr>
                <w:rFonts w:hint="eastAsia"/>
                <w:lang w:eastAsia="zh-CN"/>
              </w:rPr>
              <w:t>项目完成及时率</w:t>
            </w:r>
          </w:p>
        </w:tc>
        <w:tc>
          <w:tcPr>
            <w:tcW w:w="1276" w:type="dxa"/>
            <w:vAlign w:val="center"/>
          </w:tcPr>
          <w:p>
            <w:pPr>
              <w:pStyle w:val="10"/>
            </w:pPr>
            <w:r>
              <w:t>100</w:t>
            </w:r>
            <w:r>
              <w:rPr>
                <w:rFonts w:hint="eastAsia"/>
                <w:lang w:eastAsia="zh-CN"/>
              </w:rPr>
              <w:t>%</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城市供热配套面积</w:t>
            </w:r>
          </w:p>
        </w:tc>
        <w:tc>
          <w:tcPr>
            <w:tcW w:w="2891" w:type="dxa"/>
            <w:vAlign w:val="center"/>
          </w:tcPr>
          <w:p>
            <w:pPr>
              <w:pStyle w:val="10"/>
            </w:pPr>
            <w:r>
              <w:t>城市供热配套面积</w:t>
            </w:r>
          </w:p>
        </w:tc>
        <w:tc>
          <w:tcPr>
            <w:tcW w:w="1276" w:type="dxa"/>
            <w:vAlign w:val="center"/>
          </w:tcPr>
          <w:p>
            <w:pPr>
              <w:pStyle w:val="10"/>
            </w:pPr>
            <w:r>
              <w:t>提升</w:t>
            </w:r>
          </w:p>
        </w:tc>
        <w:tc>
          <w:tcPr>
            <w:tcW w:w="1843" w:type="dxa"/>
            <w:vAlign w:val="center"/>
          </w:tcPr>
          <w:p>
            <w:pPr>
              <w:pStyle w:val="10"/>
            </w:pPr>
            <w:r>
              <w:rPr>
                <w:rFonts w:hint="eastAsia"/>
                <w:lang w:eastAsia="zh-CN"/>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企业满意度</w:t>
            </w:r>
          </w:p>
        </w:tc>
        <w:tc>
          <w:tcPr>
            <w:tcW w:w="2891" w:type="dxa"/>
            <w:vAlign w:val="center"/>
          </w:tcPr>
          <w:p>
            <w:pPr>
              <w:pStyle w:val="10"/>
            </w:pPr>
            <w:r>
              <w:t>企业满意度</w:t>
            </w:r>
          </w:p>
        </w:tc>
        <w:tc>
          <w:tcPr>
            <w:tcW w:w="1276" w:type="dxa"/>
            <w:vAlign w:val="center"/>
          </w:tcPr>
          <w:p>
            <w:pPr>
              <w:pStyle w:val="10"/>
            </w:pPr>
            <w:r>
              <w:t>≥98</w:t>
            </w:r>
            <w:r>
              <w:rPr>
                <w:b/>
              </w:rPr>
              <w:t>%</w:t>
            </w:r>
          </w:p>
        </w:tc>
        <w:tc>
          <w:tcPr>
            <w:tcW w:w="1843" w:type="dxa"/>
            <w:vAlign w:val="center"/>
          </w:tcPr>
          <w:p>
            <w:pPr>
              <w:pStyle w:val="10"/>
            </w:pPr>
            <w:r>
              <w:rPr>
                <w:rFonts w:hint="eastAsia"/>
                <w:lang w:eastAsia="zh-CN"/>
              </w:rPr>
              <w:t>计划标准</w:t>
            </w:r>
          </w:p>
        </w:tc>
      </w:tr>
    </w:tbl>
    <w:p>
      <w:pPr>
        <w:sectPr>
          <w:pgSz w:w="11900" w:h="16840"/>
          <w:pgMar w:top="1984" w:right="1304" w:bottom="1134" w:left="1304" w:header="720" w:footer="720" w:gutter="0"/>
          <w:pgNumType w:fmt="numberInDash"/>
          <w:cols w:space="720" w:num="1"/>
        </w:sectPr>
      </w:pP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602002青岛市房地产事业发展中心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37020023P58001010096J</w:t>
            </w:r>
          </w:p>
        </w:tc>
        <w:tc>
          <w:tcPr>
            <w:tcW w:w="1587" w:type="dxa"/>
            <w:vAlign w:val="center"/>
          </w:tcPr>
          <w:p>
            <w:pPr>
              <w:pStyle w:val="9"/>
            </w:pPr>
            <w:r>
              <w:t>项目名称</w:t>
            </w:r>
          </w:p>
        </w:tc>
        <w:tc>
          <w:tcPr>
            <w:tcW w:w="4422" w:type="dxa"/>
            <w:gridSpan w:val="3"/>
            <w:vAlign w:val="center"/>
          </w:tcPr>
          <w:p>
            <w:pPr>
              <w:pStyle w:val="10"/>
            </w:pPr>
            <w:r>
              <w:t>市南、市北（含浮山新区）配套工程项目资金（其他）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44000.00</w:t>
            </w:r>
          </w:p>
        </w:tc>
        <w:tc>
          <w:tcPr>
            <w:tcW w:w="1587" w:type="dxa"/>
            <w:vAlign w:val="center"/>
          </w:tcPr>
          <w:p>
            <w:pPr>
              <w:pStyle w:val="9"/>
            </w:pPr>
            <w:r>
              <w:t>其中：财政    资金</w:t>
            </w:r>
          </w:p>
        </w:tc>
        <w:tc>
          <w:tcPr>
            <w:tcW w:w="1304" w:type="dxa"/>
            <w:vAlign w:val="center"/>
          </w:tcPr>
          <w:p>
            <w:pPr>
              <w:pStyle w:val="10"/>
            </w:pPr>
            <w:r>
              <w:t>44000.00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市南市北（含浮山新区）配套工程建设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20000.00</w:t>
            </w:r>
          </w:p>
        </w:tc>
        <w:tc>
          <w:tcPr>
            <w:tcW w:w="1304" w:type="dxa"/>
            <w:vAlign w:val="center"/>
          </w:tcPr>
          <w:p>
            <w:pPr>
              <w:pStyle w:val="11"/>
            </w:pPr>
            <w:r>
              <w:t>30000.00</w:t>
            </w:r>
          </w:p>
        </w:tc>
        <w:tc>
          <w:tcPr>
            <w:tcW w:w="3118" w:type="dxa"/>
            <w:gridSpan w:val="2"/>
            <w:vAlign w:val="center"/>
          </w:tcPr>
          <w:p>
            <w:pPr>
              <w:pStyle w:val="11"/>
            </w:pPr>
            <w:r>
              <w:t>44000.00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及时配套建设项目规划红线外与城市主干网衔接的城市基础配套设施,包括道路、给水、雨水、污水、再生水、环卫、绿化、路灯、交通、电力管线土建、公交候车亭等设施的建设,以及市政府确定的其他基础设施建设。满足项目及市民配套需求，提升市民的幸福感、获得感。</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经济成本指标</w:t>
            </w:r>
          </w:p>
        </w:tc>
        <w:tc>
          <w:tcPr>
            <w:tcW w:w="1332" w:type="dxa"/>
            <w:vAlign w:val="center"/>
          </w:tcPr>
          <w:p>
            <w:pPr>
              <w:pStyle w:val="10"/>
            </w:pPr>
            <w:r>
              <w:t>市南、市北（含浮山新区）配套工程项目资金</w:t>
            </w:r>
            <w:r>
              <w:rPr>
                <w:rFonts w:hint="eastAsia"/>
                <w:lang w:eastAsia="zh-CN"/>
              </w:rPr>
              <w:t>成本</w:t>
            </w:r>
            <w:r>
              <w:t>控制数</w:t>
            </w:r>
          </w:p>
        </w:tc>
        <w:tc>
          <w:tcPr>
            <w:tcW w:w="2891" w:type="dxa"/>
            <w:vAlign w:val="center"/>
          </w:tcPr>
          <w:p>
            <w:pPr>
              <w:pStyle w:val="10"/>
            </w:pPr>
            <w:r>
              <w:t>市南、市北（含浮山新区）配套工程项目资金</w:t>
            </w:r>
            <w:r>
              <w:rPr>
                <w:rFonts w:hint="eastAsia"/>
                <w:lang w:eastAsia="zh-CN"/>
              </w:rPr>
              <w:t>成本</w:t>
            </w:r>
            <w:r>
              <w:t>控制数</w:t>
            </w:r>
          </w:p>
        </w:tc>
        <w:tc>
          <w:tcPr>
            <w:tcW w:w="1276" w:type="dxa"/>
            <w:vAlign w:val="center"/>
          </w:tcPr>
          <w:p>
            <w:pPr>
              <w:pStyle w:val="10"/>
            </w:pPr>
            <w:r>
              <w:t>≤44000万元</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配套工程项目数量</w:t>
            </w:r>
          </w:p>
        </w:tc>
        <w:tc>
          <w:tcPr>
            <w:tcW w:w="2891" w:type="dxa"/>
            <w:vAlign w:val="center"/>
          </w:tcPr>
          <w:p>
            <w:pPr>
              <w:pStyle w:val="10"/>
            </w:pPr>
            <w:r>
              <w:t>完成配套工程项目数量</w:t>
            </w:r>
          </w:p>
        </w:tc>
        <w:tc>
          <w:tcPr>
            <w:tcW w:w="1276" w:type="dxa"/>
            <w:vAlign w:val="center"/>
          </w:tcPr>
          <w:p>
            <w:pPr>
              <w:pStyle w:val="10"/>
            </w:pPr>
            <w:r>
              <w:t>1项</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支出进度</w:t>
            </w:r>
          </w:p>
        </w:tc>
        <w:tc>
          <w:tcPr>
            <w:tcW w:w="2891" w:type="dxa"/>
            <w:vAlign w:val="center"/>
          </w:tcPr>
          <w:p>
            <w:pPr>
              <w:pStyle w:val="10"/>
            </w:pPr>
            <w:r>
              <w:t>完成预算支出数量</w:t>
            </w:r>
          </w:p>
        </w:tc>
        <w:tc>
          <w:tcPr>
            <w:tcW w:w="1276" w:type="dxa"/>
            <w:vAlign w:val="center"/>
          </w:tcPr>
          <w:p>
            <w:pPr>
              <w:pStyle w:val="10"/>
            </w:pPr>
            <w:r>
              <w:t>1次</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资金支付合格率</w:t>
            </w:r>
          </w:p>
        </w:tc>
        <w:tc>
          <w:tcPr>
            <w:tcW w:w="2891" w:type="dxa"/>
            <w:vAlign w:val="center"/>
          </w:tcPr>
          <w:p>
            <w:pPr>
              <w:pStyle w:val="10"/>
            </w:pPr>
            <w:r>
              <w:t>资金支付合规</w:t>
            </w:r>
          </w:p>
        </w:tc>
        <w:tc>
          <w:tcPr>
            <w:tcW w:w="1276" w:type="dxa"/>
            <w:vAlign w:val="center"/>
          </w:tcPr>
          <w:p>
            <w:pPr>
              <w:pStyle w:val="10"/>
            </w:pPr>
            <w:r>
              <w:t>100%</w:t>
            </w:r>
          </w:p>
        </w:tc>
        <w:tc>
          <w:tcPr>
            <w:tcW w:w="1843"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验收合格率</w:t>
            </w:r>
          </w:p>
        </w:tc>
        <w:tc>
          <w:tcPr>
            <w:tcW w:w="2891" w:type="dxa"/>
            <w:vAlign w:val="center"/>
          </w:tcPr>
          <w:p>
            <w:pPr>
              <w:pStyle w:val="10"/>
            </w:pPr>
            <w:r>
              <w:t>工程质量达标</w:t>
            </w:r>
          </w:p>
        </w:tc>
        <w:tc>
          <w:tcPr>
            <w:tcW w:w="1276" w:type="dxa"/>
            <w:vAlign w:val="center"/>
          </w:tcPr>
          <w:p>
            <w:pPr>
              <w:pStyle w:val="10"/>
            </w:pPr>
            <w:r>
              <w:t>100%</w:t>
            </w:r>
          </w:p>
        </w:tc>
        <w:tc>
          <w:tcPr>
            <w:tcW w:w="1843"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rPr>
                <w:lang w:val="uk-UA"/>
              </w:rPr>
            </w:pPr>
            <w:r>
              <w:rPr>
                <w:rFonts w:hint="eastAsia"/>
                <w:lang w:eastAsia="zh-CN"/>
              </w:rPr>
              <w:t>项目完成及时率</w:t>
            </w:r>
          </w:p>
        </w:tc>
        <w:tc>
          <w:tcPr>
            <w:tcW w:w="2891" w:type="dxa"/>
            <w:vAlign w:val="center"/>
          </w:tcPr>
          <w:p>
            <w:pPr>
              <w:pStyle w:val="10"/>
            </w:pPr>
            <w:r>
              <w:rPr>
                <w:rFonts w:hint="eastAsia"/>
                <w:lang w:eastAsia="zh-CN"/>
              </w:rPr>
              <w:t>项目完成及时率</w:t>
            </w:r>
          </w:p>
        </w:tc>
        <w:tc>
          <w:tcPr>
            <w:tcW w:w="1276" w:type="dxa"/>
            <w:vAlign w:val="center"/>
          </w:tcPr>
          <w:p>
            <w:pPr>
              <w:pStyle w:val="10"/>
            </w:pPr>
            <w:r>
              <w:t>100%</w:t>
            </w:r>
          </w:p>
        </w:tc>
        <w:tc>
          <w:tcPr>
            <w:tcW w:w="1843" w:type="dxa"/>
            <w:vAlign w:val="center"/>
          </w:tcPr>
          <w:p>
            <w:pPr>
              <w:pStyle w:val="10"/>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完善城市功能</w:t>
            </w:r>
          </w:p>
        </w:tc>
        <w:tc>
          <w:tcPr>
            <w:tcW w:w="2891" w:type="dxa"/>
            <w:vAlign w:val="center"/>
          </w:tcPr>
          <w:p>
            <w:pPr>
              <w:pStyle w:val="10"/>
            </w:pPr>
            <w:r>
              <w:t>保障城市基础设施配套建设</w:t>
            </w:r>
          </w:p>
        </w:tc>
        <w:tc>
          <w:tcPr>
            <w:tcW w:w="1276" w:type="dxa"/>
            <w:vAlign w:val="center"/>
          </w:tcPr>
          <w:p>
            <w:pPr>
              <w:pStyle w:val="10"/>
            </w:pPr>
            <w:r>
              <w:t>效果明显</w:t>
            </w:r>
          </w:p>
        </w:tc>
        <w:tc>
          <w:tcPr>
            <w:tcW w:w="1843" w:type="dxa"/>
            <w:vAlign w:val="center"/>
          </w:tcPr>
          <w:p>
            <w:pPr>
              <w:pStyle w:val="10"/>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服务对象满意度达到85%以上</w:t>
            </w:r>
          </w:p>
        </w:tc>
        <w:tc>
          <w:tcPr>
            <w:tcW w:w="1276" w:type="dxa"/>
            <w:vAlign w:val="center"/>
          </w:tcPr>
          <w:p>
            <w:pPr>
              <w:pStyle w:val="10"/>
            </w:pPr>
            <w:r>
              <w:t>≥85%</w:t>
            </w:r>
          </w:p>
        </w:tc>
        <w:tc>
          <w:tcPr>
            <w:tcW w:w="1843" w:type="dxa"/>
            <w:vAlign w:val="center"/>
          </w:tcPr>
          <w:p>
            <w:pPr>
              <w:pStyle w:val="10"/>
            </w:pPr>
            <w:r>
              <w:t>其他标准</w:t>
            </w:r>
          </w:p>
        </w:tc>
      </w:tr>
    </w:tbl>
    <w:p>
      <w:pPr>
        <w:sectPr>
          <w:pgSz w:w="11900" w:h="16840"/>
          <w:pgMar w:top="1984" w:right="1304" w:bottom="1134" w:left="1304" w:header="720" w:footer="720" w:gutter="0"/>
          <w:pgNumType w:fmt="numberInDash"/>
          <w:cols w:space="720" w:num="1"/>
        </w:sectPr>
      </w:pPr>
    </w:p>
    <w:p>
      <w:pPr>
        <w:rPr>
          <w:rFonts w:hint="eastAsia"/>
          <w:lang w:val="en-US" w:eastAsia="zh-CN"/>
        </w:rPr>
      </w:pPr>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510"/>
        <w:gridCol w:w="1863"/>
        <w:gridCol w:w="1137"/>
        <w:gridCol w:w="1348"/>
        <w:gridCol w:w="77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12" w:type="dxa"/>
            <w:gridSpan w:val="6"/>
            <w:tcBorders>
              <w:top w:val="single" w:color="FFFFFF" w:sz="6" w:space="0"/>
              <w:left w:val="single" w:color="FFFFFF" w:sz="6" w:space="0"/>
              <w:right w:val="single" w:color="FFFFFF" w:sz="6" w:space="0"/>
            </w:tcBorders>
            <w:vAlign w:val="center"/>
          </w:tcPr>
          <w:p>
            <w:pPr>
              <w:pStyle w:val="7"/>
            </w:pPr>
            <w:r>
              <w:t>801001青岛市水务管理局本级</w:t>
            </w:r>
          </w:p>
        </w:tc>
        <w:tc>
          <w:tcPr>
            <w:tcW w:w="777"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9"/>
            </w:pPr>
            <w:r>
              <w:t>项目编码</w:t>
            </w:r>
          </w:p>
        </w:tc>
        <w:tc>
          <w:tcPr>
            <w:tcW w:w="2837" w:type="dxa"/>
            <w:gridSpan w:val="2"/>
            <w:vAlign w:val="center"/>
          </w:tcPr>
          <w:p>
            <w:pPr>
              <w:pStyle w:val="10"/>
            </w:pPr>
            <w:r>
              <w:t>37020022P02000410002T</w:t>
            </w:r>
          </w:p>
        </w:tc>
        <w:tc>
          <w:tcPr>
            <w:tcW w:w="1863" w:type="dxa"/>
            <w:vAlign w:val="center"/>
          </w:tcPr>
          <w:p>
            <w:pPr>
              <w:pStyle w:val="9"/>
            </w:pPr>
            <w:r>
              <w:t>项目名称</w:t>
            </w:r>
          </w:p>
        </w:tc>
        <w:tc>
          <w:tcPr>
            <w:tcW w:w="3262" w:type="dxa"/>
            <w:gridSpan w:val="3"/>
            <w:vAlign w:val="center"/>
          </w:tcPr>
          <w:p>
            <w:pPr>
              <w:pStyle w:val="10"/>
            </w:pPr>
            <w:r>
              <w:t>青岛市官路水库工程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9"/>
            </w:pPr>
            <w:r>
              <w:t>预算规模及资金用途</w:t>
            </w:r>
          </w:p>
        </w:tc>
        <w:tc>
          <w:tcPr>
            <w:tcW w:w="1327" w:type="dxa"/>
            <w:vAlign w:val="center"/>
          </w:tcPr>
          <w:p>
            <w:pPr>
              <w:pStyle w:val="9"/>
            </w:pPr>
            <w:r>
              <w:t>预算数</w:t>
            </w:r>
          </w:p>
        </w:tc>
        <w:tc>
          <w:tcPr>
            <w:tcW w:w="1510" w:type="dxa"/>
            <w:vAlign w:val="center"/>
          </w:tcPr>
          <w:p>
            <w:pPr>
              <w:pStyle w:val="10"/>
            </w:pPr>
            <w:r>
              <w:t>15000.00</w:t>
            </w:r>
          </w:p>
        </w:tc>
        <w:tc>
          <w:tcPr>
            <w:tcW w:w="1863" w:type="dxa"/>
            <w:vAlign w:val="center"/>
          </w:tcPr>
          <w:p>
            <w:pPr>
              <w:pStyle w:val="9"/>
            </w:pPr>
            <w:r>
              <w:t>其中：财政资金</w:t>
            </w:r>
          </w:p>
        </w:tc>
        <w:tc>
          <w:tcPr>
            <w:tcW w:w="1137" w:type="dxa"/>
            <w:vAlign w:val="center"/>
          </w:tcPr>
          <w:p>
            <w:pPr>
              <w:pStyle w:val="10"/>
            </w:pPr>
            <w:r>
              <w:t>15000.00</w:t>
            </w:r>
          </w:p>
        </w:tc>
        <w:tc>
          <w:tcPr>
            <w:tcW w:w="1348" w:type="dxa"/>
            <w:vAlign w:val="center"/>
          </w:tcPr>
          <w:p>
            <w:pPr>
              <w:pStyle w:val="9"/>
            </w:pPr>
            <w:r>
              <w:t>其他资金</w:t>
            </w:r>
          </w:p>
        </w:tc>
        <w:tc>
          <w:tcPr>
            <w:tcW w:w="777"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0"/>
            </w:pPr>
            <w:r>
              <w:t>用于项目公司注册资本金和项目贷款资本金及前期工作费、项目土地及补偿资金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9"/>
            </w:pPr>
            <w:r>
              <w:t>资金支出计划</w:t>
            </w:r>
          </w:p>
        </w:tc>
        <w:tc>
          <w:tcPr>
            <w:tcW w:w="2837" w:type="dxa"/>
            <w:gridSpan w:val="2"/>
            <w:vAlign w:val="center"/>
          </w:tcPr>
          <w:p>
            <w:pPr>
              <w:pStyle w:val="9"/>
            </w:pPr>
            <w:r>
              <w:t>3月底</w:t>
            </w:r>
          </w:p>
        </w:tc>
        <w:tc>
          <w:tcPr>
            <w:tcW w:w="1863" w:type="dxa"/>
            <w:vAlign w:val="center"/>
          </w:tcPr>
          <w:p>
            <w:pPr>
              <w:pStyle w:val="9"/>
            </w:pPr>
            <w:r>
              <w:t>6月底</w:t>
            </w:r>
          </w:p>
        </w:tc>
        <w:tc>
          <w:tcPr>
            <w:tcW w:w="1137" w:type="dxa"/>
            <w:vAlign w:val="center"/>
          </w:tcPr>
          <w:p>
            <w:pPr>
              <w:pStyle w:val="9"/>
            </w:pPr>
            <w:r>
              <w:t>10月底</w:t>
            </w:r>
          </w:p>
        </w:tc>
        <w:tc>
          <w:tcPr>
            <w:tcW w:w="2125"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837" w:type="dxa"/>
            <w:gridSpan w:val="2"/>
            <w:vAlign w:val="center"/>
          </w:tcPr>
          <w:p>
            <w:pPr>
              <w:pStyle w:val="11"/>
            </w:pPr>
            <w:r>
              <w:t>15000.00</w:t>
            </w:r>
          </w:p>
        </w:tc>
        <w:tc>
          <w:tcPr>
            <w:tcW w:w="1863" w:type="dxa"/>
            <w:vAlign w:val="center"/>
          </w:tcPr>
          <w:p>
            <w:pPr>
              <w:pStyle w:val="11"/>
            </w:pPr>
            <w:r>
              <w:t>15000.00</w:t>
            </w:r>
          </w:p>
        </w:tc>
        <w:tc>
          <w:tcPr>
            <w:tcW w:w="1137" w:type="dxa"/>
            <w:vAlign w:val="center"/>
          </w:tcPr>
          <w:p>
            <w:pPr>
              <w:pStyle w:val="11"/>
            </w:pPr>
            <w:r>
              <w:t>15000.00</w:t>
            </w:r>
          </w:p>
        </w:tc>
        <w:tc>
          <w:tcPr>
            <w:tcW w:w="2125" w:type="dxa"/>
            <w:gridSpan w:val="2"/>
            <w:vAlign w:val="center"/>
          </w:tcPr>
          <w:p>
            <w:pPr>
              <w:pStyle w:val="11"/>
            </w:pPr>
            <w:r>
              <w:t>15000.00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327" w:type="dxa"/>
            <w:vAlign w:val="center"/>
          </w:tcPr>
          <w:p>
            <w:pPr>
              <w:pStyle w:val="9"/>
            </w:pPr>
            <w:r>
              <w:t>绩效目标</w:t>
            </w:r>
          </w:p>
        </w:tc>
        <w:tc>
          <w:tcPr>
            <w:tcW w:w="7962" w:type="dxa"/>
            <w:gridSpan w:val="6"/>
            <w:vAlign w:val="center"/>
          </w:tcPr>
          <w:p>
            <w:pPr>
              <w:pStyle w:val="10"/>
            </w:pPr>
            <w:r>
              <w:t>2023年度新建河道开挖完成，坝基及库区清理工程完成，围坝填筑完成至30%；年度完成工程产值不低于8亿元（最终以指挥部下达的投资计划为准）</w:t>
            </w:r>
          </w:p>
        </w:tc>
      </w:tr>
    </w:tbl>
    <w:p>
      <w:pPr>
        <w:spacing w:line="2" w:lineRule="exact"/>
        <w:jc w:val="center"/>
      </w:pPr>
      <w:r>
        <w:rPr>
          <w:rFonts w:ascii="方正书宋_GBK" w:hAnsi="方正书宋_GBK" w:eastAsia="方正书宋_GBK" w:cs="方正书宋_GBK"/>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919"/>
        <w:gridCol w:w="2062"/>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9"/>
            </w:pPr>
            <w:r>
              <w:t>一级指标</w:t>
            </w:r>
          </w:p>
        </w:tc>
        <w:tc>
          <w:tcPr>
            <w:tcW w:w="1327" w:type="dxa"/>
            <w:vAlign w:val="center"/>
          </w:tcPr>
          <w:p>
            <w:pPr>
              <w:pStyle w:val="9"/>
            </w:pPr>
            <w:r>
              <w:t>二级指标</w:t>
            </w:r>
          </w:p>
        </w:tc>
        <w:tc>
          <w:tcPr>
            <w:tcW w:w="1919" w:type="dxa"/>
            <w:vAlign w:val="center"/>
          </w:tcPr>
          <w:p>
            <w:pPr>
              <w:pStyle w:val="9"/>
            </w:pPr>
            <w:r>
              <w:t>三级指标</w:t>
            </w:r>
          </w:p>
        </w:tc>
        <w:tc>
          <w:tcPr>
            <w:tcW w:w="2062" w:type="dxa"/>
            <w:vAlign w:val="center"/>
          </w:tcPr>
          <w:p>
            <w:pPr>
              <w:pStyle w:val="9"/>
            </w:pPr>
            <w:r>
              <w:t>绩效指标描述</w:t>
            </w:r>
          </w:p>
        </w:tc>
        <w:tc>
          <w:tcPr>
            <w:tcW w:w="1327" w:type="dxa"/>
            <w:vAlign w:val="center"/>
          </w:tcPr>
          <w:p>
            <w:pPr>
              <w:pStyle w:val="9"/>
            </w:pPr>
            <w:r>
              <w:t>指标值</w:t>
            </w:r>
          </w:p>
        </w:tc>
        <w:tc>
          <w:tcPr>
            <w:tcW w:w="1327"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1"/>
            </w:pPr>
            <w:r>
              <w:t>成本指标</w:t>
            </w:r>
          </w:p>
        </w:tc>
        <w:tc>
          <w:tcPr>
            <w:tcW w:w="1327" w:type="dxa"/>
            <w:vAlign w:val="center"/>
          </w:tcPr>
          <w:p>
            <w:pPr>
              <w:pStyle w:val="10"/>
            </w:pPr>
            <w:r>
              <w:t>经济成本指标</w:t>
            </w:r>
          </w:p>
        </w:tc>
        <w:tc>
          <w:tcPr>
            <w:tcW w:w="1919" w:type="dxa"/>
            <w:vAlign w:val="center"/>
          </w:tcPr>
          <w:p>
            <w:pPr>
              <w:pStyle w:val="10"/>
              <w:rPr>
                <w:lang w:eastAsia="zh-CN"/>
              </w:rPr>
            </w:pPr>
            <w:r>
              <w:t>官路水库工程</w:t>
            </w:r>
            <w:r>
              <w:rPr>
                <w:rFonts w:hint="eastAsia"/>
                <w:lang w:eastAsia="zh-CN"/>
              </w:rPr>
              <w:t>预算控制数</w:t>
            </w:r>
          </w:p>
        </w:tc>
        <w:tc>
          <w:tcPr>
            <w:tcW w:w="2062" w:type="dxa"/>
            <w:vAlign w:val="center"/>
          </w:tcPr>
          <w:p>
            <w:pPr>
              <w:pStyle w:val="10"/>
            </w:pPr>
            <w:r>
              <w:t>官路水库工程</w:t>
            </w:r>
            <w:r>
              <w:rPr>
                <w:rFonts w:hint="eastAsia"/>
                <w:lang w:eastAsia="zh-CN"/>
              </w:rPr>
              <w:t>预算控制数</w:t>
            </w:r>
          </w:p>
        </w:tc>
        <w:tc>
          <w:tcPr>
            <w:tcW w:w="1327" w:type="dxa"/>
            <w:vAlign w:val="center"/>
          </w:tcPr>
          <w:p>
            <w:pPr>
              <w:pStyle w:val="10"/>
              <w:rPr>
                <w:lang w:eastAsia="zh-CN"/>
              </w:rPr>
            </w:pPr>
            <w:r>
              <w:rPr>
                <w:rFonts w:ascii="Arial" w:hAnsi="Arial" w:cs="Arial"/>
                <w:lang w:eastAsia="zh-CN"/>
              </w:rPr>
              <w:t>≤</w:t>
            </w:r>
            <w:r>
              <w:rPr>
                <w:rFonts w:hint="eastAsia"/>
                <w:lang w:eastAsia="zh-CN"/>
              </w:rPr>
              <w:t>15000万元</w:t>
            </w:r>
          </w:p>
        </w:tc>
        <w:tc>
          <w:tcPr>
            <w:tcW w:w="1327" w:type="dxa"/>
            <w:vAlign w:val="center"/>
          </w:tcPr>
          <w:p>
            <w:pPr>
              <w:pStyle w:val="10"/>
            </w:pPr>
            <w:r>
              <w:t>初步设计及概算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1"/>
            </w:pPr>
            <w:r>
              <w:t>产出指标</w:t>
            </w:r>
          </w:p>
        </w:tc>
        <w:tc>
          <w:tcPr>
            <w:tcW w:w="1327" w:type="dxa"/>
            <w:vAlign w:val="center"/>
          </w:tcPr>
          <w:p>
            <w:pPr>
              <w:pStyle w:val="10"/>
            </w:pPr>
            <w:r>
              <w:t>数量指标</w:t>
            </w:r>
          </w:p>
        </w:tc>
        <w:tc>
          <w:tcPr>
            <w:tcW w:w="1919" w:type="dxa"/>
            <w:vAlign w:val="center"/>
          </w:tcPr>
          <w:p>
            <w:pPr>
              <w:pStyle w:val="10"/>
            </w:pPr>
            <w:r>
              <w:t>年度土建工程数</w:t>
            </w:r>
          </w:p>
        </w:tc>
        <w:tc>
          <w:tcPr>
            <w:tcW w:w="2062" w:type="dxa"/>
            <w:vAlign w:val="center"/>
          </w:tcPr>
          <w:p>
            <w:pPr>
              <w:pStyle w:val="10"/>
            </w:pPr>
            <w:r>
              <w:t>年度土建工程数</w:t>
            </w:r>
          </w:p>
        </w:tc>
        <w:tc>
          <w:tcPr>
            <w:tcW w:w="1327" w:type="dxa"/>
            <w:vAlign w:val="center"/>
          </w:tcPr>
          <w:p>
            <w:pPr>
              <w:pStyle w:val="10"/>
            </w:pPr>
            <w:r>
              <w:t>2处</w:t>
            </w:r>
          </w:p>
        </w:tc>
        <w:tc>
          <w:tcPr>
            <w:tcW w:w="1327" w:type="dxa"/>
            <w:vAlign w:val="center"/>
          </w:tcPr>
          <w:p>
            <w:pPr>
              <w:pStyle w:val="10"/>
            </w:pPr>
            <w:r>
              <w:t>初步设计及概算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pStyle w:val="11"/>
            </w:pPr>
          </w:p>
        </w:tc>
        <w:tc>
          <w:tcPr>
            <w:tcW w:w="1327" w:type="dxa"/>
            <w:vAlign w:val="center"/>
          </w:tcPr>
          <w:p>
            <w:pPr>
              <w:pStyle w:val="10"/>
            </w:pPr>
            <w:r>
              <w:t>数量指标</w:t>
            </w:r>
          </w:p>
        </w:tc>
        <w:tc>
          <w:tcPr>
            <w:tcW w:w="1919" w:type="dxa"/>
            <w:vAlign w:val="center"/>
          </w:tcPr>
          <w:p>
            <w:pPr>
              <w:pStyle w:val="10"/>
              <w:rPr>
                <w:lang w:eastAsia="zh-CN"/>
              </w:rPr>
            </w:pPr>
            <w:r>
              <w:t>河道开挖</w:t>
            </w:r>
            <w:r>
              <w:rPr>
                <w:rFonts w:hint="eastAsia"/>
                <w:lang w:eastAsia="zh-CN"/>
              </w:rPr>
              <w:t>长度完成率</w:t>
            </w:r>
          </w:p>
        </w:tc>
        <w:tc>
          <w:tcPr>
            <w:tcW w:w="2062" w:type="dxa"/>
            <w:vAlign w:val="center"/>
          </w:tcPr>
          <w:p>
            <w:pPr>
              <w:pStyle w:val="10"/>
            </w:pPr>
            <w:r>
              <w:t>河道开挖</w:t>
            </w:r>
            <w:r>
              <w:rPr>
                <w:rFonts w:hint="eastAsia"/>
                <w:lang w:eastAsia="zh-CN"/>
              </w:rPr>
              <w:t>长度完成情况</w:t>
            </w:r>
          </w:p>
        </w:tc>
        <w:tc>
          <w:tcPr>
            <w:tcW w:w="1327" w:type="dxa"/>
            <w:vAlign w:val="center"/>
          </w:tcPr>
          <w:p>
            <w:pPr>
              <w:pStyle w:val="10"/>
              <w:rPr>
                <w:lang w:eastAsia="zh-CN"/>
              </w:rPr>
            </w:pPr>
            <w:r>
              <w:rPr>
                <w:rFonts w:hint="eastAsia"/>
                <w:lang w:eastAsia="zh-CN"/>
              </w:rPr>
              <w:t>100%</w:t>
            </w:r>
          </w:p>
        </w:tc>
        <w:tc>
          <w:tcPr>
            <w:tcW w:w="1327" w:type="dxa"/>
            <w:vAlign w:val="center"/>
          </w:tcPr>
          <w:p>
            <w:pPr>
              <w:pStyle w:val="10"/>
            </w:pPr>
            <w:r>
              <w:t>初步设计及概算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0"/>
            </w:pPr>
            <w:r>
              <w:t>质量指标</w:t>
            </w:r>
          </w:p>
        </w:tc>
        <w:tc>
          <w:tcPr>
            <w:tcW w:w="1919" w:type="dxa"/>
            <w:vAlign w:val="center"/>
          </w:tcPr>
          <w:p>
            <w:pPr>
              <w:pStyle w:val="10"/>
            </w:pPr>
            <w:r>
              <w:t>年度土建工程质量验收合格率</w:t>
            </w:r>
          </w:p>
        </w:tc>
        <w:tc>
          <w:tcPr>
            <w:tcW w:w="2062" w:type="dxa"/>
            <w:vAlign w:val="center"/>
          </w:tcPr>
          <w:p>
            <w:pPr>
              <w:pStyle w:val="10"/>
            </w:pPr>
            <w:r>
              <w:t>年度土建工程质量验收合格率</w:t>
            </w:r>
          </w:p>
        </w:tc>
        <w:tc>
          <w:tcPr>
            <w:tcW w:w="1327" w:type="dxa"/>
            <w:vAlign w:val="center"/>
          </w:tcPr>
          <w:p>
            <w:pPr>
              <w:pStyle w:val="10"/>
            </w:pPr>
            <w:r>
              <w:t>100%</w:t>
            </w:r>
          </w:p>
        </w:tc>
        <w:tc>
          <w:tcPr>
            <w:tcW w:w="1327" w:type="dxa"/>
            <w:vAlign w:val="center"/>
          </w:tcPr>
          <w:p>
            <w:pPr>
              <w:pStyle w:val="10"/>
            </w:pPr>
            <w:r>
              <w:t>初步设计及概算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0"/>
            </w:pPr>
            <w:r>
              <w:t>质量指标</w:t>
            </w:r>
          </w:p>
        </w:tc>
        <w:tc>
          <w:tcPr>
            <w:tcW w:w="1919" w:type="dxa"/>
            <w:vAlign w:val="center"/>
          </w:tcPr>
          <w:p>
            <w:pPr>
              <w:pStyle w:val="10"/>
            </w:pPr>
            <w:r>
              <w:t>年度围坝填筑完成率</w:t>
            </w:r>
          </w:p>
        </w:tc>
        <w:tc>
          <w:tcPr>
            <w:tcW w:w="2062" w:type="dxa"/>
            <w:vAlign w:val="center"/>
          </w:tcPr>
          <w:p>
            <w:pPr>
              <w:pStyle w:val="10"/>
            </w:pPr>
            <w:r>
              <w:t>年度围坝填筑完成率</w:t>
            </w:r>
          </w:p>
        </w:tc>
        <w:tc>
          <w:tcPr>
            <w:tcW w:w="1327" w:type="dxa"/>
            <w:vAlign w:val="center"/>
          </w:tcPr>
          <w:p>
            <w:pPr>
              <w:pStyle w:val="10"/>
            </w:pPr>
            <w:r>
              <w:t>≥30%</w:t>
            </w:r>
          </w:p>
        </w:tc>
        <w:tc>
          <w:tcPr>
            <w:tcW w:w="1327" w:type="dxa"/>
            <w:vAlign w:val="center"/>
          </w:tcPr>
          <w:p>
            <w:pPr>
              <w:pStyle w:val="10"/>
            </w:pPr>
            <w:r>
              <w:t>初步设计及概算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0"/>
            </w:pPr>
            <w:r>
              <w:t>时效指标</w:t>
            </w:r>
          </w:p>
        </w:tc>
        <w:tc>
          <w:tcPr>
            <w:tcW w:w="1919" w:type="dxa"/>
            <w:vAlign w:val="center"/>
          </w:tcPr>
          <w:p>
            <w:pPr>
              <w:pStyle w:val="10"/>
              <w:rPr>
                <w:lang w:eastAsia="zh-CN"/>
              </w:rPr>
            </w:pPr>
            <w:r>
              <w:t>河道开挖</w:t>
            </w:r>
            <w:r>
              <w:rPr>
                <w:rFonts w:hint="eastAsia"/>
                <w:lang w:eastAsia="zh-CN"/>
              </w:rPr>
              <w:t>工期完成及时率</w:t>
            </w:r>
          </w:p>
        </w:tc>
        <w:tc>
          <w:tcPr>
            <w:tcW w:w="2062" w:type="dxa"/>
            <w:vAlign w:val="center"/>
          </w:tcPr>
          <w:p>
            <w:pPr>
              <w:pStyle w:val="10"/>
            </w:pPr>
            <w:r>
              <w:t>河道开挖</w:t>
            </w:r>
            <w:r>
              <w:rPr>
                <w:rFonts w:hint="eastAsia"/>
                <w:lang w:eastAsia="zh-CN"/>
              </w:rPr>
              <w:t>工期完成及时率</w:t>
            </w:r>
          </w:p>
        </w:tc>
        <w:tc>
          <w:tcPr>
            <w:tcW w:w="1327" w:type="dxa"/>
            <w:vAlign w:val="center"/>
          </w:tcPr>
          <w:p>
            <w:pPr>
              <w:pStyle w:val="10"/>
              <w:rPr>
                <w:lang w:eastAsia="zh-CN"/>
              </w:rPr>
            </w:pPr>
            <w:r>
              <w:rPr>
                <w:rFonts w:hint="eastAsia"/>
                <w:lang w:eastAsia="zh-CN"/>
              </w:rPr>
              <w:t>100%</w:t>
            </w:r>
          </w:p>
        </w:tc>
        <w:tc>
          <w:tcPr>
            <w:tcW w:w="1327" w:type="dxa"/>
            <w:vAlign w:val="center"/>
          </w:tcPr>
          <w:p>
            <w:pPr>
              <w:pStyle w:val="10"/>
            </w:pPr>
            <w:r>
              <w:t>初步设计及概算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1"/>
            </w:pPr>
            <w:r>
              <w:t>效益指标</w:t>
            </w:r>
          </w:p>
        </w:tc>
        <w:tc>
          <w:tcPr>
            <w:tcW w:w="1327" w:type="dxa"/>
            <w:vAlign w:val="center"/>
          </w:tcPr>
          <w:p>
            <w:pPr>
              <w:pStyle w:val="10"/>
            </w:pPr>
            <w:r>
              <w:rPr>
                <w:rFonts w:hint="eastAsia"/>
                <w:lang w:eastAsia="zh-CN"/>
              </w:rPr>
              <w:t>经济</w:t>
            </w:r>
            <w:r>
              <w:t>效益指标</w:t>
            </w:r>
          </w:p>
        </w:tc>
        <w:tc>
          <w:tcPr>
            <w:tcW w:w="1919" w:type="dxa"/>
            <w:vAlign w:val="center"/>
          </w:tcPr>
          <w:p>
            <w:pPr>
              <w:pStyle w:val="10"/>
            </w:pPr>
            <w:r>
              <w:t>年度完成工程产值</w:t>
            </w:r>
          </w:p>
        </w:tc>
        <w:tc>
          <w:tcPr>
            <w:tcW w:w="2062" w:type="dxa"/>
            <w:vAlign w:val="center"/>
          </w:tcPr>
          <w:p>
            <w:pPr>
              <w:pStyle w:val="10"/>
            </w:pPr>
            <w:r>
              <w:t>年度完成工程产值</w:t>
            </w:r>
          </w:p>
        </w:tc>
        <w:tc>
          <w:tcPr>
            <w:tcW w:w="1327" w:type="dxa"/>
            <w:vAlign w:val="center"/>
          </w:tcPr>
          <w:p>
            <w:pPr>
              <w:pStyle w:val="10"/>
            </w:pPr>
            <w:r>
              <w:t>≥80000万元</w:t>
            </w:r>
          </w:p>
        </w:tc>
        <w:tc>
          <w:tcPr>
            <w:tcW w:w="1327" w:type="dxa"/>
            <w:vAlign w:val="center"/>
          </w:tcPr>
          <w:p>
            <w:pPr>
              <w:pStyle w:val="10"/>
            </w:pPr>
            <w:r>
              <w:t>初步设计及概算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pStyle w:val="11"/>
            </w:pPr>
          </w:p>
        </w:tc>
        <w:tc>
          <w:tcPr>
            <w:tcW w:w="1327" w:type="dxa"/>
            <w:vAlign w:val="center"/>
          </w:tcPr>
          <w:p>
            <w:pPr>
              <w:pStyle w:val="10"/>
            </w:pPr>
            <w:r>
              <w:t>社会效益指标</w:t>
            </w:r>
          </w:p>
        </w:tc>
        <w:tc>
          <w:tcPr>
            <w:tcW w:w="1919" w:type="dxa"/>
            <w:vAlign w:val="center"/>
          </w:tcPr>
          <w:p>
            <w:pPr>
              <w:pStyle w:val="10"/>
            </w:pPr>
            <w:r>
              <w:t>重大安全事故发生数</w:t>
            </w:r>
          </w:p>
        </w:tc>
        <w:tc>
          <w:tcPr>
            <w:tcW w:w="2062" w:type="dxa"/>
            <w:vAlign w:val="center"/>
          </w:tcPr>
          <w:p>
            <w:pPr>
              <w:pStyle w:val="10"/>
            </w:pPr>
            <w:r>
              <w:t>重大安全事故发生数</w:t>
            </w:r>
          </w:p>
        </w:tc>
        <w:tc>
          <w:tcPr>
            <w:tcW w:w="1327" w:type="dxa"/>
            <w:vAlign w:val="center"/>
          </w:tcPr>
          <w:p>
            <w:pPr>
              <w:pStyle w:val="10"/>
            </w:pPr>
            <w:r>
              <w:t>0起</w:t>
            </w:r>
          </w:p>
        </w:tc>
        <w:tc>
          <w:tcPr>
            <w:tcW w:w="1327" w:type="dxa"/>
            <w:vAlign w:val="center"/>
          </w:tcPr>
          <w:p>
            <w:pPr>
              <w:pStyle w:val="10"/>
            </w:pPr>
            <w:r>
              <w:t>初步设计及概算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1"/>
            </w:pPr>
            <w:r>
              <w:t>满意度指标</w:t>
            </w:r>
          </w:p>
        </w:tc>
        <w:tc>
          <w:tcPr>
            <w:tcW w:w="1327" w:type="dxa"/>
            <w:vAlign w:val="center"/>
          </w:tcPr>
          <w:p>
            <w:pPr>
              <w:pStyle w:val="10"/>
            </w:pPr>
            <w:r>
              <w:t>服务对象满意度指标</w:t>
            </w:r>
          </w:p>
        </w:tc>
        <w:tc>
          <w:tcPr>
            <w:tcW w:w="1919" w:type="dxa"/>
            <w:vAlign w:val="center"/>
          </w:tcPr>
          <w:p>
            <w:pPr>
              <w:pStyle w:val="10"/>
            </w:pPr>
            <w:r>
              <w:t>受益群众满意度</w:t>
            </w:r>
          </w:p>
        </w:tc>
        <w:tc>
          <w:tcPr>
            <w:tcW w:w="2062" w:type="dxa"/>
            <w:vAlign w:val="center"/>
          </w:tcPr>
          <w:p>
            <w:pPr>
              <w:pStyle w:val="10"/>
            </w:pPr>
            <w:r>
              <w:t>受益群众满意度</w:t>
            </w:r>
          </w:p>
        </w:tc>
        <w:tc>
          <w:tcPr>
            <w:tcW w:w="1327" w:type="dxa"/>
            <w:vAlign w:val="center"/>
          </w:tcPr>
          <w:p>
            <w:pPr>
              <w:pStyle w:val="10"/>
            </w:pPr>
            <w:r>
              <w:t>≥90%</w:t>
            </w:r>
          </w:p>
        </w:tc>
        <w:tc>
          <w:tcPr>
            <w:tcW w:w="1327" w:type="dxa"/>
            <w:vAlign w:val="center"/>
          </w:tcPr>
          <w:p>
            <w:pPr>
              <w:pStyle w:val="10"/>
            </w:pPr>
            <w:r>
              <w:t>初步设计及概算</w:t>
            </w:r>
          </w:p>
        </w:tc>
      </w:tr>
    </w:tbl>
    <w:p>
      <w:pPr>
        <w:numPr>
          <w:ilvl w:val="0"/>
          <w:numId w:val="0"/>
        </w:numPr>
        <w:ind w:leftChars="0"/>
        <w:rPr>
          <w:rFonts w:hint="default" w:ascii="黑体" w:hAnsi="黑体" w:eastAsia="黑体" w:cs="黑体"/>
          <w:sz w:val="32"/>
          <w:szCs w:val="32"/>
          <w:lang w:val="en-US" w:eastAsia="zh-CN"/>
        </w:rPr>
      </w:pPr>
    </w:p>
    <w:p>
      <w:pPr>
        <w:jc w:val="both"/>
        <w:rPr>
          <w:rFonts w:hint="default" w:ascii="黑体" w:hAnsi="黑体" w:eastAsia="黑体" w:cs="黑体"/>
          <w:sz w:val="32"/>
          <w:szCs w:val="32"/>
          <w:lang w:val="en-US" w:eastAsia="zh-CN"/>
        </w:rPr>
      </w:pPr>
    </w:p>
    <w:p/>
    <w:p/>
    <w:p/>
    <w:p/>
    <w:p/>
    <w:p/>
    <w:p/>
    <w:p/>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7"/>
            </w:pPr>
            <w:r>
              <w:t>602001青岛市住房和城乡建设局本级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项目编码</w:t>
            </w:r>
          </w:p>
        </w:tc>
        <w:tc>
          <w:tcPr>
            <w:tcW w:w="2608" w:type="dxa"/>
            <w:gridSpan w:val="2"/>
            <w:vAlign w:val="center"/>
          </w:tcPr>
          <w:p>
            <w:pPr>
              <w:pStyle w:val="10"/>
            </w:pPr>
            <w:r>
              <w:t>37020023P55002010034Q</w:t>
            </w:r>
          </w:p>
        </w:tc>
        <w:tc>
          <w:tcPr>
            <w:tcW w:w="1587" w:type="dxa"/>
            <w:vAlign w:val="center"/>
          </w:tcPr>
          <w:p>
            <w:pPr>
              <w:pStyle w:val="9"/>
            </w:pPr>
            <w:r>
              <w:t>项目名称</w:t>
            </w:r>
          </w:p>
        </w:tc>
        <w:tc>
          <w:tcPr>
            <w:tcW w:w="4422" w:type="dxa"/>
            <w:gridSpan w:val="3"/>
            <w:vAlign w:val="center"/>
          </w:tcPr>
          <w:p>
            <w:pPr>
              <w:pStyle w:val="10"/>
            </w:pPr>
            <w:r>
              <w:t>市内三区路灯电费、维护费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预算规模及资金用途</w:t>
            </w:r>
          </w:p>
        </w:tc>
        <w:tc>
          <w:tcPr>
            <w:tcW w:w="1276" w:type="dxa"/>
            <w:vAlign w:val="center"/>
          </w:tcPr>
          <w:p>
            <w:pPr>
              <w:pStyle w:val="9"/>
            </w:pPr>
            <w:r>
              <w:t>预算数</w:t>
            </w:r>
          </w:p>
        </w:tc>
        <w:tc>
          <w:tcPr>
            <w:tcW w:w="1332" w:type="dxa"/>
            <w:vAlign w:val="center"/>
          </w:tcPr>
          <w:p>
            <w:pPr>
              <w:pStyle w:val="10"/>
            </w:pPr>
            <w:r>
              <w:t>10000.00</w:t>
            </w:r>
          </w:p>
        </w:tc>
        <w:tc>
          <w:tcPr>
            <w:tcW w:w="1587" w:type="dxa"/>
            <w:vAlign w:val="center"/>
          </w:tcPr>
          <w:p>
            <w:pPr>
              <w:pStyle w:val="9"/>
            </w:pPr>
            <w:r>
              <w:t>其中：财政    资金</w:t>
            </w:r>
          </w:p>
        </w:tc>
        <w:tc>
          <w:tcPr>
            <w:tcW w:w="1304" w:type="dxa"/>
            <w:vAlign w:val="center"/>
          </w:tcPr>
          <w:p>
            <w:pPr>
              <w:pStyle w:val="10"/>
            </w:pPr>
            <w:r>
              <w:t>10000.00</w:t>
            </w:r>
          </w:p>
        </w:tc>
        <w:tc>
          <w:tcPr>
            <w:tcW w:w="1276" w:type="dxa"/>
            <w:vAlign w:val="center"/>
          </w:tcPr>
          <w:p>
            <w:pPr>
              <w:pStyle w:val="9"/>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用于市内三区路灯设施的维护，确保全年亮灯率达标，保证路灯设施正常运行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pPr>
            <w:r>
              <w:t>资金支出计划</w:t>
            </w:r>
          </w:p>
        </w:tc>
        <w:tc>
          <w:tcPr>
            <w:tcW w:w="2608" w:type="dxa"/>
            <w:gridSpan w:val="2"/>
            <w:vAlign w:val="center"/>
          </w:tcPr>
          <w:p>
            <w:pPr>
              <w:pStyle w:val="9"/>
            </w:pPr>
            <w:r>
              <w:t>3月底</w:t>
            </w:r>
          </w:p>
        </w:tc>
        <w:tc>
          <w:tcPr>
            <w:tcW w:w="1587" w:type="dxa"/>
            <w:vAlign w:val="center"/>
          </w:tcPr>
          <w:p>
            <w:pPr>
              <w:pStyle w:val="9"/>
            </w:pPr>
            <w:r>
              <w:t>6月底</w:t>
            </w:r>
          </w:p>
        </w:tc>
        <w:tc>
          <w:tcPr>
            <w:tcW w:w="1304" w:type="dxa"/>
            <w:vAlign w:val="center"/>
          </w:tcPr>
          <w:p>
            <w:pPr>
              <w:pStyle w:val="9"/>
            </w:pPr>
            <w:r>
              <w:t>10月底</w:t>
            </w:r>
          </w:p>
        </w:tc>
        <w:tc>
          <w:tcPr>
            <w:tcW w:w="3118" w:type="dxa"/>
            <w:gridSpan w:val="2"/>
            <w:vAlign w:val="center"/>
          </w:tcPr>
          <w:p>
            <w:pPr>
              <w:pStyle w:val="9"/>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3000.00</w:t>
            </w:r>
          </w:p>
        </w:tc>
        <w:tc>
          <w:tcPr>
            <w:tcW w:w="1587" w:type="dxa"/>
            <w:vAlign w:val="center"/>
          </w:tcPr>
          <w:p>
            <w:pPr>
              <w:pStyle w:val="11"/>
            </w:pPr>
            <w:r>
              <w:t>8000.00</w:t>
            </w:r>
          </w:p>
        </w:tc>
        <w:tc>
          <w:tcPr>
            <w:tcW w:w="1304" w:type="dxa"/>
            <w:vAlign w:val="center"/>
          </w:tcPr>
          <w:p>
            <w:pPr>
              <w:pStyle w:val="11"/>
            </w:pPr>
            <w:r>
              <w:t>9000.00</w:t>
            </w:r>
          </w:p>
        </w:tc>
        <w:tc>
          <w:tcPr>
            <w:tcW w:w="3118" w:type="dxa"/>
            <w:gridSpan w:val="2"/>
            <w:vAlign w:val="center"/>
          </w:tcPr>
          <w:p>
            <w:pPr>
              <w:pStyle w:val="11"/>
            </w:pPr>
            <w:r>
              <w:t>10000.00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pPr>
            <w:r>
              <w:t>绩效目标</w:t>
            </w:r>
          </w:p>
        </w:tc>
        <w:tc>
          <w:tcPr>
            <w:tcW w:w="8617" w:type="dxa"/>
            <w:gridSpan w:val="6"/>
            <w:vAlign w:val="center"/>
          </w:tcPr>
          <w:p>
            <w:pPr>
              <w:pStyle w:val="10"/>
            </w:pPr>
            <w:r>
              <w:t>用于市内三区路灯设施的维护，确保全年亮灯率达标，保证路灯设施正常运行</w:t>
            </w:r>
          </w:p>
        </w:tc>
      </w:tr>
    </w:tbl>
    <w:p>
      <w:pPr>
        <w:spacing w:line="2" w:lineRule="exact"/>
        <w:jc w:val="center"/>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9"/>
            </w:pPr>
            <w:r>
              <w:t>一级指标</w:t>
            </w:r>
          </w:p>
        </w:tc>
        <w:tc>
          <w:tcPr>
            <w:tcW w:w="1276" w:type="dxa"/>
            <w:vAlign w:val="center"/>
          </w:tcPr>
          <w:p>
            <w:pPr>
              <w:pStyle w:val="9"/>
            </w:pPr>
            <w:r>
              <w:t>二级指标</w:t>
            </w:r>
          </w:p>
        </w:tc>
        <w:tc>
          <w:tcPr>
            <w:tcW w:w="1332" w:type="dxa"/>
            <w:vAlign w:val="center"/>
          </w:tcPr>
          <w:p>
            <w:pPr>
              <w:pStyle w:val="9"/>
            </w:pPr>
            <w:r>
              <w:t>三级指标</w:t>
            </w:r>
          </w:p>
        </w:tc>
        <w:tc>
          <w:tcPr>
            <w:tcW w:w="2891" w:type="dxa"/>
            <w:vAlign w:val="center"/>
          </w:tcPr>
          <w:p>
            <w:pPr>
              <w:pStyle w:val="9"/>
            </w:pPr>
            <w:r>
              <w:t>绩效指标描述</w:t>
            </w:r>
          </w:p>
        </w:tc>
        <w:tc>
          <w:tcPr>
            <w:tcW w:w="1276" w:type="dxa"/>
            <w:vAlign w:val="center"/>
          </w:tcPr>
          <w:p>
            <w:pPr>
              <w:pStyle w:val="9"/>
            </w:pPr>
            <w:r>
              <w:t>指标值</w:t>
            </w:r>
          </w:p>
        </w:tc>
        <w:tc>
          <w:tcPr>
            <w:tcW w:w="1843" w:type="dxa"/>
            <w:vAlign w:val="center"/>
          </w:tcPr>
          <w:p>
            <w:pPr>
              <w:pStyle w:val="9"/>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10"/>
            </w:pPr>
            <w:r>
              <w:t>社会成本指标</w:t>
            </w:r>
          </w:p>
        </w:tc>
        <w:tc>
          <w:tcPr>
            <w:tcW w:w="1332" w:type="dxa"/>
            <w:vAlign w:val="center"/>
          </w:tcPr>
          <w:p>
            <w:pPr>
              <w:pStyle w:val="10"/>
              <w:rPr>
                <w:lang w:val="uk-UA"/>
              </w:rPr>
            </w:pPr>
            <w:r>
              <w:t>市内三区路灯电费、维护费</w:t>
            </w:r>
            <w:r>
              <w:rPr>
                <w:rFonts w:hint="eastAsia"/>
                <w:lang w:eastAsia="zh-CN"/>
              </w:rPr>
              <w:t>成本控制数</w:t>
            </w:r>
          </w:p>
        </w:tc>
        <w:tc>
          <w:tcPr>
            <w:tcW w:w="2891" w:type="dxa"/>
            <w:vAlign w:val="center"/>
          </w:tcPr>
          <w:p>
            <w:pPr>
              <w:pStyle w:val="10"/>
            </w:pPr>
            <w:r>
              <w:t>市内三区路灯电费、维护费</w:t>
            </w:r>
            <w:r>
              <w:rPr>
                <w:rFonts w:hint="eastAsia"/>
                <w:lang w:eastAsia="zh-CN"/>
              </w:rPr>
              <w:t>成本控制数</w:t>
            </w:r>
          </w:p>
        </w:tc>
        <w:tc>
          <w:tcPr>
            <w:tcW w:w="1276" w:type="dxa"/>
            <w:vAlign w:val="center"/>
          </w:tcPr>
          <w:p>
            <w:pPr>
              <w:pStyle w:val="10"/>
            </w:pPr>
            <w:r>
              <w:rPr>
                <w:rFonts w:hint="eastAsia"/>
                <w:lang w:eastAsia="zh-CN"/>
              </w:rPr>
              <w:t>≤</w:t>
            </w:r>
            <w:r>
              <w:t>10000</w:t>
            </w:r>
            <w:r>
              <w:rPr>
                <w:rFonts w:hint="eastAsia"/>
                <w:lang w:eastAsia="zh-CN"/>
              </w:rPr>
              <w:t>万元</w:t>
            </w:r>
          </w:p>
        </w:tc>
        <w:tc>
          <w:tcPr>
            <w:tcW w:w="1843" w:type="dxa"/>
            <w:vAlign w:val="center"/>
          </w:tcPr>
          <w:p>
            <w:pPr>
              <w:pStyle w:val="10"/>
              <w:rPr>
                <w:lang w:val="uk-UA"/>
              </w:rPr>
            </w:pPr>
            <w:r>
              <w:rPr>
                <w:rFonts w:hint="eastAsia"/>
                <w:lang w:eastAsia="zh-CN"/>
              </w:rPr>
              <w:t>计划</w:t>
            </w:r>
            <w:r>
              <w:t>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10"/>
            </w:pPr>
            <w:r>
              <w:t>数量指标</w:t>
            </w:r>
          </w:p>
        </w:tc>
        <w:tc>
          <w:tcPr>
            <w:tcW w:w="1332" w:type="dxa"/>
            <w:vAlign w:val="center"/>
          </w:tcPr>
          <w:p>
            <w:pPr>
              <w:pStyle w:val="10"/>
            </w:pPr>
            <w:r>
              <w:t>供配电室设施数量</w:t>
            </w:r>
          </w:p>
        </w:tc>
        <w:tc>
          <w:tcPr>
            <w:tcW w:w="2891" w:type="dxa"/>
            <w:vAlign w:val="center"/>
          </w:tcPr>
          <w:p>
            <w:pPr>
              <w:pStyle w:val="10"/>
            </w:pPr>
            <w:r>
              <w:t>供配电室设施数量</w:t>
            </w:r>
          </w:p>
        </w:tc>
        <w:tc>
          <w:tcPr>
            <w:tcW w:w="1276" w:type="dxa"/>
            <w:vAlign w:val="center"/>
          </w:tcPr>
          <w:p>
            <w:pPr>
              <w:pStyle w:val="10"/>
            </w:pPr>
            <w:r>
              <w:t>≥421台</w:t>
            </w:r>
          </w:p>
        </w:tc>
        <w:tc>
          <w:tcPr>
            <w:tcW w:w="1843" w:type="dxa"/>
            <w:vAlign w:val="center"/>
          </w:tcPr>
          <w:p>
            <w:pPr>
              <w:pStyle w:val="10"/>
            </w:pPr>
            <w:r>
              <w:rPr>
                <w:rFonts w:hint="eastAsia"/>
                <w:lang w:eastAsia="zh-CN"/>
              </w:rPr>
              <w:t>计划</w:t>
            </w:r>
            <w:r>
              <w:t>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对市内三区现有路灯设施的管理运行和维护数量</w:t>
            </w:r>
          </w:p>
        </w:tc>
        <w:tc>
          <w:tcPr>
            <w:tcW w:w="2891" w:type="dxa"/>
            <w:vAlign w:val="center"/>
          </w:tcPr>
          <w:p>
            <w:pPr>
              <w:pStyle w:val="10"/>
            </w:pPr>
            <w:r>
              <w:t>市内三区现有路灯设施的管理运行和维护</w:t>
            </w:r>
          </w:p>
        </w:tc>
        <w:tc>
          <w:tcPr>
            <w:tcW w:w="1276" w:type="dxa"/>
            <w:vAlign w:val="center"/>
          </w:tcPr>
          <w:p>
            <w:pPr>
              <w:pStyle w:val="10"/>
            </w:pPr>
            <w:r>
              <w:t>≥67874盏</w:t>
            </w:r>
          </w:p>
        </w:tc>
        <w:tc>
          <w:tcPr>
            <w:tcW w:w="1843" w:type="dxa"/>
            <w:vAlign w:val="center"/>
          </w:tcPr>
          <w:p>
            <w:pPr>
              <w:pStyle w:val="10"/>
            </w:pPr>
            <w:r>
              <w:rPr>
                <w:rFonts w:hint="eastAsia"/>
                <w:lang w:eastAsia="zh-CN"/>
              </w:rPr>
              <w:t>计划</w:t>
            </w:r>
            <w:r>
              <w:t>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隐患排查后及时检修</w:t>
            </w:r>
          </w:p>
        </w:tc>
        <w:tc>
          <w:tcPr>
            <w:tcW w:w="2891" w:type="dxa"/>
            <w:vAlign w:val="center"/>
          </w:tcPr>
          <w:p>
            <w:pPr>
              <w:pStyle w:val="10"/>
            </w:pPr>
            <w:r>
              <w:t>隐患排查后及时检修</w:t>
            </w:r>
          </w:p>
        </w:tc>
        <w:tc>
          <w:tcPr>
            <w:tcW w:w="1276" w:type="dxa"/>
            <w:vAlign w:val="center"/>
          </w:tcPr>
          <w:p>
            <w:pPr>
              <w:pStyle w:val="10"/>
            </w:pPr>
            <w:r>
              <w:t>100%</w:t>
            </w:r>
          </w:p>
        </w:tc>
        <w:tc>
          <w:tcPr>
            <w:tcW w:w="1843" w:type="dxa"/>
            <w:vAlign w:val="center"/>
          </w:tcPr>
          <w:p>
            <w:pPr>
              <w:pStyle w:val="10"/>
              <w:rPr>
                <w:lang w:val="uk-UA"/>
              </w:rPr>
            </w:pPr>
            <w:r>
              <w:rPr>
                <w:rFonts w:hint="eastAsia"/>
                <w:lang w:eastAsia="zh-CN"/>
              </w:rPr>
              <w:t>计划</w:t>
            </w:r>
            <w:r>
              <w:t>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设备完好情况</w:t>
            </w:r>
          </w:p>
        </w:tc>
        <w:tc>
          <w:tcPr>
            <w:tcW w:w="2891" w:type="dxa"/>
            <w:vAlign w:val="center"/>
          </w:tcPr>
          <w:p>
            <w:pPr>
              <w:pStyle w:val="10"/>
            </w:pPr>
            <w:r>
              <w:t>设备完好情况</w:t>
            </w:r>
          </w:p>
        </w:tc>
        <w:tc>
          <w:tcPr>
            <w:tcW w:w="1276" w:type="dxa"/>
            <w:vAlign w:val="center"/>
          </w:tcPr>
          <w:p>
            <w:pPr>
              <w:pStyle w:val="10"/>
            </w:pPr>
            <w:r>
              <w:t>≥95%</w:t>
            </w:r>
          </w:p>
        </w:tc>
        <w:tc>
          <w:tcPr>
            <w:tcW w:w="1843" w:type="dxa"/>
            <w:vAlign w:val="center"/>
          </w:tcPr>
          <w:p>
            <w:pPr>
              <w:pStyle w:val="10"/>
            </w:pPr>
            <w:r>
              <w:rPr>
                <w:rFonts w:hint="eastAsia"/>
                <w:lang w:eastAsia="zh-CN"/>
              </w:rPr>
              <w:t>计划</w:t>
            </w:r>
            <w:r>
              <w:t>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w:t>
            </w:r>
            <w:r>
              <w:rPr>
                <w:rFonts w:hint="eastAsia"/>
                <w:lang w:eastAsia="zh-CN"/>
              </w:rPr>
              <w:t>及时率</w:t>
            </w:r>
          </w:p>
        </w:tc>
        <w:tc>
          <w:tcPr>
            <w:tcW w:w="2891" w:type="dxa"/>
            <w:vAlign w:val="center"/>
          </w:tcPr>
          <w:p>
            <w:pPr>
              <w:pStyle w:val="10"/>
            </w:pPr>
            <w:r>
              <w:t>完成</w:t>
            </w:r>
            <w:r>
              <w:rPr>
                <w:rFonts w:hint="eastAsia"/>
                <w:lang w:eastAsia="zh-CN"/>
              </w:rPr>
              <w:t>及时率</w:t>
            </w:r>
          </w:p>
        </w:tc>
        <w:tc>
          <w:tcPr>
            <w:tcW w:w="1276" w:type="dxa"/>
            <w:vAlign w:val="center"/>
          </w:tcPr>
          <w:p>
            <w:pPr>
              <w:pStyle w:val="10"/>
            </w:pPr>
            <w:r>
              <w:t>100%</w:t>
            </w:r>
          </w:p>
        </w:tc>
        <w:tc>
          <w:tcPr>
            <w:tcW w:w="1843" w:type="dxa"/>
            <w:vAlign w:val="center"/>
          </w:tcPr>
          <w:p>
            <w:pPr>
              <w:pStyle w:val="10"/>
              <w:rPr>
                <w:lang w:val="uk-UA"/>
              </w:rPr>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10"/>
            </w:pPr>
            <w:r>
              <w:t>社会效益指标</w:t>
            </w:r>
          </w:p>
        </w:tc>
        <w:tc>
          <w:tcPr>
            <w:tcW w:w="1332" w:type="dxa"/>
            <w:vAlign w:val="center"/>
          </w:tcPr>
          <w:p>
            <w:pPr>
              <w:pStyle w:val="10"/>
            </w:pPr>
            <w:r>
              <w:t>确保市内三区路灯设施的全年路灯设施的供电可靠性</w:t>
            </w:r>
          </w:p>
        </w:tc>
        <w:tc>
          <w:tcPr>
            <w:tcW w:w="2891" w:type="dxa"/>
            <w:vAlign w:val="center"/>
          </w:tcPr>
          <w:p>
            <w:pPr>
              <w:pStyle w:val="10"/>
            </w:pPr>
            <w:r>
              <w:t>市内三区路灯设施的全年路灯设施的正常供电率</w:t>
            </w:r>
          </w:p>
        </w:tc>
        <w:tc>
          <w:tcPr>
            <w:tcW w:w="1276" w:type="dxa"/>
            <w:vAlign w:val="center"/>
          </w:tcPr>
          <w:p>
            <w:pPr>
              <w:pStyle w:val="10"/>
            </w:pPr>
            <w:r>
              <w:t>≥98%</w:t>
            </w:r>
          </w:p>
        </w:tc>
        <w:tc>
          <w:tcPr>
            <w:tcW w:w="1843" w:type="dxa"/>
            <w:vAlign w:val="center"/>
          </w:tcPr>
          <w:p>
            <w:pPr>
              <w:pStyle w:val="10"/>
              <w:rPr>
                <w:lang w:val="uk-UA"/>
              </w:rPr>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10"/>
            </w:pPr>
            <w:r>
              <w:t>服务对象满意度指标</w:t>
            </w:r>
          </w:p>
        </w:tc>
        <w:tc>
          <w:tcPr>
            <w:tcW w:w="1332" w:type="dxa"/>
            <w:vAlign w:val="center"/>
          </w:tcPr>
          <w:p>
            <w:pPr>
              <w:pStyle w:val="10"/>
              <w:rPr>
                <w:lang w:val="uk-UA"/>
              </w:rPr>
            </w:pPr>
            <w:r>
              <w:t>社会公众满意度</w:t>
            </w:r>
          </w:p>
        </w:tc>
        <w:tc>
          <w:tcPr>
            <w:tcW w:w="2891" w:type="dxa"/>
            <w:vAlign w:val="center"/>
          </w:tcPr>
          <w:p>
            <w:pPr>
              <w:pStyle w:val="10"/>
            </w:pPr>
            <w:r>
              <w:t>社会公众满意度</w:t>
            </w:r>
          </w:p>
        </w:tc>
        <w:tc>
          <w:tcPr>
            <w:tcW w:w="1276" w:type="dxa"/>
            <w:vAlign w:val="center"/>
          </w:tcPr>
          <w:p>
            <w:pPr>
              <w:pStyle w:val="10"/>
            </w:pPr>
            <w:r>
              <w:t>≥90%</w:t>
            </w:r>
          </w:p>
        </w:tc>
        <w:tc>
          <w:tcPr>
            <w:tcW w:w="1843" w:type="dxa"/>
            <w:vAlign w:val="center"/>
          </w:tcPr>
          <w:p>
            <w:pPr>
              <w:pStyle w:val="10"/>
            </w:pPr>
            <w:r>
              <w:t>其他标准</w:t>
            </w:r>
          </w:p>
        </w:tc>
      </w:tr>
    </w:tbl>
    <w:p>
      <w:pPr>
        <w:sectPr>
          <w:pgSz w:w="11900" w:h="16840"/>
          <w:pgMar w:top="1984" w:right="1304" w:bottom="1134" w:left="1304" w:header="720" w:footer="720" w:gutter="0"/>
          <w:cols w:space="720" w:num="1"/>
        </w:sectPr>
      </w:pPr>
    </w:p>
    <w:p/>
    <w:p/>
    <w:p/>
    <w:p/>
    <w:p/>
    <w:p/>
    <w:p/>
    <w:p/>
    <w:p/>
    <w:p/>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altName w:val="宋体"/>
    <w:panose1 w:val="00000000000000000000"/>
    <w:charset w:val="86"/>
    <w:family w:val="roman"/>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43475"/>
    <w:multiLevelType w:val="singleLevel"/>
    <w:tmpl w:val="9F243475"/>
    <w:lvl w:ilvl="0" w:tentative="0">
      <w:start w:val="1"/>
      <w:numFmt w:val="decimal"/>
      <w:lvlText w:val="%1."/>
      <w:lvlJc w:val="left"/>
      <w:pPr>
        <w:tabs>
          <w:tab w:val="left" w:pos="312"/>
        </w:tabs>
      </w:pPr>
    </w:lvl>
  </w:abstractNum>
  <w:abstractNum w:abstractNumId="1">
    <w:nsid w:val="B7E3F5C7"/>
    <w:multiLevelType w:val="singleLevel"/>
    <w:tmpl w:val="B7E3F5C7"/>
    <w:lvl w:ilvl="0" w:tentative="0">
      <w:start w:val="4"/>
      <w:numFmt w:val="decimal"/>
      <w:lvlText w:val="%1."/>
      <w:lvlJc w:val="left"/>
      <w:pPr>
        <w:tabs>
          <w:tab w:val="left" w:pos="312"/>
        </w:tabs>
      </w:pPr>
    </w:lvl>
  </w:abstractNum>
  <w:abstractNum w:abstractNumId="2">
    <w:nsid w:val="E6857523"/>
    <w:multiLevelType w:val="singleLevel"/>
    <w:tmpl w:val="E6857523"/>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3ODljYTAwM2E3MmMxN2JkZjYwOTA1ZmY4NzdjOTcifQ=="/>
  </w:docVars>
  <w:rsids>
    <w:rsidRoot w:val="5D2510A6"/>
    <w:rsid w:val="01E643D9"/>
    <w:rsid w:val="02693733"/>
    <w:rsid w:val="2B417A2C"/>
    <w:rsid w:val="32BF69C0"/>
    <w:rsid w:val="52167FE1"/>
    <w:rsid w:val="5D2510A6"/>
    <w:rsid w:val="6B841E8D"/>
    <w:rsid w:val="76C97426"/>
    <w:rsid w:val="776E2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4">
    <w:name w:val="toc 1"/>
    <w:basedOn w:val="1"/>
    <w:next w:val="1"/>
    <w:qFormat/>
    <w:uiPriority w:val="0"/>
    <w:pPr>
      <w:spacing w:before="120"/>
    </w:pPr>
    <w:rPr>
      <w:rFonts w:eastAsia="方正仿宋_GBK"/>
      <w:color w:val="000000"/>
      <w:sz w:val="28"/>
    </w:rPr>
  </w:style>
  <w:style w:type="paragraph" w:customStyle="1" w:styleId="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1"/>
    <w:basedOn w:val="1"/>
    <w:qFormat/>
    <w:uiPriority w:val="0"/>
    <w:pPr>
      <w:jc w:val="center"/>
    </w:pPr>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150</Pages>
  <Words>66153</Words>
  <Characters>75084</Characters>
  <Lines>1</Lines>
  <Paragraphs>1</Paragraphs>
  <TotalTime>6</TotalTime>
  <ScaleCrop>false</ScaleCrop>
  <LinksUpToDate>false</LinksUpToDate>
  <CharactersWithSpaces>76275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2023-02-16T02:18:00Z</dcterms:created>
  <dc:creator>滚滚</dc:creator>
  <cp:lastModifiedBy>滚滚</cp:lastModifiedBy>
  <dcterms:modified xsi:type="dcterms:W3CDTF">2023-03-07T08:14:59Z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4253004965DD4E428085BD02A7D4F0CD</vt:lpwstr>
  </property>
</Properties>
</file>