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62" w:rsidRDefault="005221DD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青岛市住房和城乡建设局</w:t>
      </w:r>
    </w:p>
    <w:p w:rsidR="00D26B62" w:rsidRDefault="00BC441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2020</w:t>
      </w:r>
      <w:r w:rsidR="005221DD">
        <w:rPr>
          <w:rFonts w:ascii="方正小标宋_GBK" w:eastAsia="方正小标宋_GBK" w:hint="eastAsia"/>
          <w:sz w:val="44"/>
          <w:szCs w:val="44"/>
        </w:rPr>
        <w:t>年政府信息公开工作报告</w:t>
      </w:r>
    </w:p>
    <w:p w:rsidR="00D26B62" w:rsidRDefault="00D26B6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26B62" w:rsidRDefault="005221D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BC4412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年，青岛市住房和城乡建设局全面贯彻落实《中华人民共和国政府信息公开条例》、《20</w:t>
      </w:r>
      <w:r w:rsidR="00BC4412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年青岛市政务公开工作要点》（青政办字[2</w:t>
      </w:r>
      <w:r w:rsidR="00BC4412">
        <w:rPr>
          <w:rFonts w:ascii="仿宋_GB2312" w:eastAsia="仿宋_GB2312" w:hint="eastAsia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]</w:t>
      </w:r>
      <w:r w:rsidR="00BC4412">
        <w:rPr>
          <w:rFonts w:ascii="仿宋_GB2312" w:eastAsia="仿宋_GB2312" w:hint="eastAsia"/>
          <w:sz w:val="32"/>
          <w:szCs w:val="32"/>
        </w:rPr>
        <w:t>58</w:t>
      </w:r>
      <w:r>
        <w:rPr>
          <w:rFonts w:ascii="仿宋_GB2312" w:eastAsia="仿宋_GB2312" w:hint="eastAsia"/>
          <w:sz w:val="32"/>
          <w:szCs w:val="32"/>
        </w:rPr>
        <w:t>号）号等文件精神，按照</w:t>
      </w:r>
      <w:r w:rsidR="00C86A04">
        <w:rPr>
          <w:rFonts w:ascii="仿宋_GB2312" w:eastAsia="仿宋_GB2312" w:hint="eastAsia"/>
          <w:sz w:val="32"/>
          <w:szCs w:val="32"/>
        </w:rPr>
        <w:t>省、市</w:t>
      </w:r>
      <w:r>
        <w:rPr>
          <w:rFonts w:ascii="仿宋_GB2312" w:eastAsia="仿宋_GB2312" w:hint="eastAsia"/>
          <w:sz w:val="32"/>
          <w:szCs w:val="32"/>
        </w:rPr>
        <w:t>政务公开考核工作</w:t>
      </w:r>
      <w:r w:rsidR="00F63877">
        <w:rPr>
          <w:rFonts w:ascii="仿宋_GB2312" w:eastAsia="仿宋_GB2312" w:hint="eastAsia"/>
          <w:sz w:val="32"/>
          <w:szCs w:val="32"/>
        </w:rPr>
        <w:t>要求</w:t>
      </w:r>
      <w:r w:rsidR="00C86A04">
        <w:rPr>
          <w:rFonts w:ascii="仿宋_GB2312" w:eastAsia="仿宋_GB2312" w:hint="eastAsia"/>
          <w:sz w:val="32"/>
          <w:szCs w:val="32"/>
        </w:rPr>
        <w:t>和</w:t>
      </w:r>
      <w:r w:rsidR="00C86A04">
        <w:rPr>
          <w:rFonts w:ascii="仿宋_GB2312" w:eastAsia="仿宋_GB2312" w:hAnsi="仿宋" w:hint="eastAsia"/>
          <w:sz w:val="32"/>
          <w:szCs w:val="32"/>
        </w:rPr>
        <w:t>《青岛市住房和城乡建设局全面推进政务公开工作的实施方案》</w:t>
      </w:r>
      <w:r>
        <w:rPr>
          <w:rFonts w:ascii="仿宋_GB2312" w:eastAsia="仿宋_GB2312" w:hint="eastAsia"/>
          <w:sz w:val="32"/>
          <w:szCs w:val="32"/>
        </w:rPr>
        <w:t>，认真推行政府信息公开工作。现将有关情况报告如下。</w:t>
      </w:r>
    </w:p>
    <w:p w:rsidR="00D26B62" w:rsidRDefault="005221DD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总体情况</w:t>
      </w:r>
    </w:p>
    <w:p w:rsidR="00D26B62" w:rsidRPr="00A3526D" w:rsidRDefault="00C86A04" w:rsidP="00A3526D">
      <w:pPr>
        <w:autoSpaceDE w:val="0"/>
        <w:spacing w:line="560" w:lineRule="exact"/>
        <w:ind w:firstLineChars="200" w:firstLine="643"/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局党组高度重视</w:t>
      </w:r>
      <w:r w:rsidR="005221DD">
        <w:rPr>
          <w:rFonts w:ascii="仿宋_GB2312" w:eastAsia="仿宋_GB2312" w:hint="eastAsia"/>
          <w:b/>
          <w:bCs/>
          <w:sz w:val="32"/>
          <w:szCs w:val="32"/>
        </w:rPr>
        <w:t>，</w:t>
      </w:r>
      <w:r w:rsidR="00A3526D" w:rsidRPr="00F63877">
        <w:rPr>
          <w:rFonts w:ascii="仿宋_GB2312" w:eastAsia="仿宋_GB2312" w:hint="eastAsia"/>
          <w:b/>
          <w:bCs/>
          <w:sz w:val="32"/>
          <w:szCs w:val="32"/>
        </w:rPr>
        <w:t>推进政务运行全过程公开</w:t>
      </w:r>
      <w:r w:rsidR="005221DD">
        <w:rPr>
          <w:rFonts w:ascii="仿宋_GB2312" w:eastAsia="仿宋_GB2312" w:hint="eastAsia"/>
          <w:b/>
          <w:bCs/>
          <w:sz w:val="32"/>
          <w:szCs w:val="32"/>
        </w:rPr>
        <w:t>。</w:t>
      </w:r>
      <w:r w:rsidR="00567909" w:rsidRPr="00567909">
        <w:rPr>
          <w:rFonts w:ascii="仿宋_GB2312" w:eastAsia="仿宋_GB2312" w:hint="eastAsia"/>
          <w:sz w:val="32"/>
          <w:szCs w:val="32"/>
        </w:rPr>
        <w:t>及时修订局政务公开领导小组，</w:t>
      </w:r>
      <w:r w:rsidR="005221DD">
        <w:rPr>
          <w:rFonts w:ascii="仿宋_GB2312" w:eastAsia="仿宋_GB2312" w:hint="eastAsia"/>
          <w:sz w:val="32"/>
          <w:szCs w:val="32"/>
        </w:rPr>
        <w:t>由局主要领导任</w:t>
      </w:r>
      <w:r w:rsidR="002D02AD">
        <w:rPr>
          <w:rFonts w:ascii="仿宋_GB2312" w:eastAsia="仿宋_GB2312" w:hint="eastAsia"/>
          <w:sz w:val="32"/>
          <w:szCs w:val="32"/>
        </w:rPr>
        <w:t>政务公开领导小组</w:t>
      </w:r>
      <w:r w:rsidR="005221DD">
        <w:rPr>
          <w:rFonts w:ascii="仿宋_GB2312" w:eastAsia="仿宋_GB2312" w:hint="eastAsia"/>
          <w:sz w:val="32"/>
          <w:szCs w:val="32"/>
        </w:rPr>
        <w:t>组长并亲自分管全局政务公开工作，局班子成员为成员</w:t>
      </w:r>
      <w:r w:rsidR="00602F23">
        <w:rPr>
          <w:rFonts w:ascii="仿宋_GB2312" w:eastAsia="仿宋_GB2312" w:hint="eastAsia"/>
          <w:sz w:val="32"/>
          <w:szCs w:val="32"/>
        </w:rPr>
        <w:t>，</w:t>
      </w:r>
      <w:r w:rsidR="005221DD">
        <w:rPr>
          <w:rFonts w:ascii="仿宋_GB2312" w:eastAsia="仿宋_GB2312" w:hint="eastAsia"/>
          <w:sz w:val="32"/>
          <w:szCs w:val="32"/>
        </w:rPr>
        <w:t>小组办公室设在局办公室，牵头全局政务公开工作。</w:t>
      </w:r>
    </w:p>
    <w:p w:rsidR="002D02AD" w:rsidRDefault="002D02A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按照主动公开目录，主动公开本机关机构信息、公文法规、人事任命、政策解读、规划计划、财政财务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信息、工作信息以及业务信息等信息共375</w:t>
      </w:r>
      <w:r w:rsidR="00F63877">
        <w:rPr>
          <w:rFonts w:ascii="仿宋_GB2312" w:eastAsia="仿宋_GB2312" w:hAnsi="宋体" w:cs="宋体" w:hint="eastAsia"/>
          <w:kern w:val="0"/>
          <w:sz w:val="32"/>
          <w:szCs w:val="32"/>
        </w:rPr>
        <w:t>篇</w:t>
      </w:r>
      <w:r w:rsidR="00717527"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针对</w:t>
      </w:r>
      <w:r>
        <w:rPr>
          <w:rFonts w:ascii="仿宋_GB2312" w:eastAsia="仿宋_GB2312" w:hint="eastAsia"/>
          <w:sz w:val="32"/>
          <w:szCs w:val="32"/>
        </w:rPr>
        <w:t>涉及面广、社会关注度高的政策文件，做到文件与解读同步起草、同步审批、同步发布，积极创新解读方式和内容，全年共发布政策解读10篇</w:t>
      </w:r>
      <w:r w:rsidR="007175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D26B62" w:rsidRDefault="0056790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平台建设成效明显</w:t>
      </w:r>
      <w:r w:rsidR="005221DD">
        <w:rPr>
          <w:rFonts w:ascii="仿宋_GB2312" w:eastAsia="仿宋_GB2312" w:hint="eastAsia"/>
          <w:b/>
          <w:bCs/>
          <w:sz w:val="32"/>
          <w:szCs w:val="32"/>
        </w:rPr>
        <w:t>。</w:t>
      </w:r>
      <w:r w:rsidR="00717527">
        <w:rPr>
          <w:rFonts w:ascii="仿宋_GB2312" w:eastAsia="仿宋_GB2312" w:hAnsi="仿宋" w:hint="eastAsia"/>
          <w:sz w:val="32"/>
          <w:szCs w:val="32"/>
        </w:rPr>
        <w:t>推进行政决策、执行、管理、服务、结果公开和重点领域信息公开，保障人民群众知情权、参与权、表达权、监督权。</w:t>
      </w:r>
      <w:r w:rsidR="005221DD">
        <w:rPr>
          <w:rFonts w:ascii="仿宋_GB2312" w:eastAsia="仿宋_GB2312" w:hint="eastAsia"/>
          <w:sz w:val="32"/>
          <w:szCs w:val="32"/>
        </w:rPr>
        <w:t>在青岛政务网和局</w:t>
      </w:r>
      <w:r w:rsidR="00717527">
        <w:rPr>
          <w:rFonts w:ascii="仿宋_GB2312" w:eastAsia="仿宋_GB2312" w:hint="eastAsia"/>
          <w:sz w:val="32"/>
          <w:szCs w:val="32"/>
        </w:rPr>
        <w:t>官方网站对</w:t>
      </w:r>
      <w:r w:rsidR="00717527" w:rsidRPr="00717527">
        <w:rPr>
          <w:rFonts w:ascii="仿宋_GB2312" w:eastAsia="仿宋_GB2312" w:hint="eastAsia"/>
          <w:sz w:val="32"/>
          <w:szCs w:val="32"/>
        </w:rPr>
        <w:t>《关于进一步加强新建商品住宅全装修建设管理的通知》</w:t>
      </w:r>
      <w:r w:rsidR="005221DD">
        <w:rPr>
          <w:rFonts w:ascii="仿宋_GB2312" w:eastAsia="仿宋_GB2312" w:hint="eastAsia"/>
          <w:sz w:val="32"/>
          <w:szCs w:val="32"/>
        </w:rPr>
        <w:t>等</w:t>
      </w:r>
      <w:r w:rsidR="00717527">
        <w:rPr>
          <w:rFonts w:ascii="仿宋_GB2312" w:eastAsia="仿宋_GB2312" w:hint="eastAsia"/>
          <w:sz w:val="32"/>
          <w:szCs w:val="32"/>
        </w:rPr>
        <w:t>10</w:t>
      </w:r>
      <w:r w:rsidR="005221DD">
        <w:rPr>
          <w:rFonts w:ascii="仿宋_GB2312" w:eastAsia="仿宋_GB2312" w:hint="eastAsia"/>
          <w:sz w:val="32"/>
          <w:szCs w:val="32"/>
        </w:rPr>
        <w:t>个</w:t>
      </w:r>
      <w:r w:rsidR="005221DD">
        <w:rPr>
          <w:rFonts w:ascii="仿宋_GB2312" w:eastAsia="仿宋_GB2312" w:hint="eastAsia"/>
          <w:sz w:val="32"/>
          <w:szCs w:val="32"/>
        </w:rPr>
        <w:lastRenderedPageBreak/>
        <w:t>规范性文件进行了政策解读。组织网络问政22场，</w:t>
      </w:r>
      <w:r w:rsidR="00717527">
        <w:rPr>
          <w:rFonts w:ascii="仿宋_GB2312" w:eastAsia="仿宋_GB2312" w:hint="eastAsia"/>
          <w:sz w:val="32"/>
          <w:szCs w:val="32"/>
        </w:rPr>
        <w:t>网民提问数量677条</w:t>
      </w:r>
      <w:r w:rsidR="005221DD">
        <w:rPr>
          <w:rFonts w:ascii="仿宋_GB2312" w:eastAsia="仿宋_GB2312" w:hint="eastAsia"/>
          <w:sz w:val="32"/>
          <w:szCs w:val="32"/>
        </w:rPr>
        <w:t>，</w:t>
      </w:r>
      <w:r w:rsidR="00717527">
        <w:rPr>
          <w:rFonts w:ascii="仿宋_GB2312" w:eastAsia="仿宋_GB2312" w:hint="eastAsia"/>
          <w:sz w:val="32"/>
          <w:szCs w:val="32"/>
        </w:rPr>
        <w:t>均全部按期回复</w:t>
      </w:r>
      <w:r w:rsidR="005221DD">
        <w:rPr>
          <w:rFonts w:ascii="仿宋_GB2312" w:eastAsia="仿宋_GB2312" w:hint="eastAsia"/>
          <w:sz w:val="32"/>
          <w:szCs w:val="32"/>
        </w:rPr>
        <w:t>。</w:t>
      </w:r>
      <w:r w:rsidR="005221DD" w:rsidRPr="00A66E0C">
        <w:rPr>
          <w:rFonts w:ascii="仿宋_GB2312" w:eastAsia="仿宋_GB2312" w:hint="eastAsia"/>
          <w:sz w:val="32"/>
          <w:szCs w:val="32"/>
        </w:rPr>
        <w:t>局党组班子</w:t>
      </w:r>
      <w:r w:rsidR="0087705C" w:rsidRPr="00A66E0C">
        <w:rPr>
          <w:rFonts w:ascii="仿宋_GB2312" w:eastAsia="仿宋_GB2312" w:hint="eastAsia"/>
          <w:sz w:val="32"/>
          <w:szCs w:val="32"/>
        </w:rPr>
        <w:t>5位成员</w:t>
      </w:r>
      <w:r w:rsidR="005221DD" w:rsidRPr="00A66E0C">
        <w:rPr>
          <w:rFonts w:ascii="仿宋_GB2312" w:eastAsia="仿宋_GB2312" w:hint="eastAsia"/>
          <w:sz w:val="32"/>
          <w:szCs w:val="32"/>
        </w:rPr>
        <w:t>到电视台完成行风在线</w:t>
      </w:r>
      <w:r w:rsidR="0087705C" w:rsidRPr="00A66E0C">
        <w:rPr>
          <w:rFonts w:ascii="仿宋_GB2312" w:eastAsia="仿宋_GB2312" w:hint="eastAsia"/>
          <w:sz w:val="32"/>
          <w:szCs w:val="32"/>
        </w:rPr>
        <w:t>上半年专题、下半年</w:t>
      </w:r>
      <w:r w:rsidR="005221DD" w:rsidRPr="00A66E0C">
        <w:rPr>
          <w:rFonts w:ascii="仿宋_GB2312" w:eastAsia="仿宋_GB2312" w:hint="eastAsia"/>
          <w:sz w:val="32"/>
          <w:szCs w:val="32"/>
        </w:rPr>
        <w:t>包周活动，共收到市民反映各类问题</w:t>
      </w:r>
      <w:r w:rsidR="0087705C" w:rsidRPr="00A66E0C">
        <w:rPr>
          <w:rFonts w:ascii="仿宋_GB2312" w:eastAsia="仿宋_GB2312" w:hint="eastAsia"/>
          <w:sz w:val="32"/>
          <w:szCs w:val="32"/>
        </w:rPr>
        <w:t>514</w:t>
      </w:r>
      <w:r w:rsidR="005221DD" w:rsidRPr="00A66E0C">
        <w:rPr>
          <w:rFonts w:ascii="仿宋_GB2312" w:eastAsia="仿宋_GB2312" w:hint="eastAsia"/>
          <w:sz w:val="32"/>
          <w:szCs w:val="32"/>
        </w:rPr>
        <w:t>个，回复率均为100%，办理工作受到行风点评员的好评。局主要领导参加“民生在线”网谈活动，参与网民人数达</w:t>
      </w:r>
      <w:r w:rsidR="00A66E0C" w:rsidRPr="00A66E0C">
        <w:rPr>
          <w:rFonts w:ascii="仿宋_GB2312" w:eastAsia="仿宋_GB2312" w:hint="eastAsia"/>
          <w:sz w:val="32"/>
          <w:szCs w:val="32"/>
        </w:rPr>
        <w:t>6</w:t>
      </w:r>
      <w:r w:rsidR="005221DD" w:rsidRPr="00A66E0C">
        <w:rPr>
          <w:rFonts w:ascii="仿宋_GB2312" w:eastAsia="仿宋_GB2312" w:hint="eastAsia"/>
          <w:sz w:val="32"/>
          <w:szCs w:val="32"/>
        </w:rPr>
        <w:t>万余人次，回复网民问题5</w:t>
      </w:r>
      <w:r w:rsidR="00A66E0C" w:rsidRPr="00A66E0C">
        <w:rPr>
          <w:rFonts w:ascii="仿宋_GB2312" w:eastAsia="仿宋_GB2312" w:hint="eastAsia"/>
          <w:sz w:val="32"/>
          <w:szCs w:val="32"/>
        </w:rPr>
        <w:t>64</w:t>
      </w:r>
      <w:r w:rsidR="005221DD" w:rsidRPr="00A66E0C">
        <w:rPr>
          <w:rFonts w:ascii="仿宋_GB2312" w:eastAsia="仿宋_GB2312" w:hint="eastAsia"/>
          <w:sz w:val="32"/>
          <w:szCs w:val="32"/>
        </w:rPr>
        <w:t>个。认真完成“三民活动”相关工作，共收到各渠道意见建议</w:t>
      </w:r>
      <w:r w:rsidR="0087705C" w:rsidRPr="00A66E0C">
        <w:rPr>
          <w:rFonts w:ascii="仿宋_GB2312" w:eastAsia="仿宋_GB2312" w:hint="eastAsia"/>
          <w:sz w:val="32"/>
          <w:szCs w:val="32"/>
        </w:rPr>
        <w:t>376</w:t>
      </w:r>
      <w:r w:rsidR="005221DD" w:rsidRPr="00A66E0C">
        <w:rPr>
          <w:rFonts w:ascii="仿宋_GB2312" w:eastAsia="仿宋_GB2312" w:hint="eastAsia"/>
          <w:sz w:val="32"/>
          <w:szCs w:val="32"/>
        </w:rPr>
        <w:t>个，均全部回复。</w:t>
      </w:r>
      <w:r w:rsidR="005221DD" w:rsidRPr="00A66E0C">
        <w:rPr>
          <w:rFonts w:ascii="仿宋_GB2312" w:eastAsia="仿宋_GB2312"/>
          <w:sz w:val="32"/>
          <w:szCs w:val="32"/>
        </w:rPr>
        <w:t>全年承办</w:t>
      </w:r>
      <w:r w:rsidR="005221DD" w:rsidRPr="00A66E0C">
        <w:rPr>
          <w:rFonts w:ascii="仿宋_GB2312" w:eastAsia="仿宋_GB2312" w:hint="eastAsia"/>
          <w:sz w:val="32"/>
          <w:szCs w:val="32"/>
        </w:rPr>
        <w:t>“</w:t>
      </w:r>
      <w:r w:rsidR="005221DD" w:rsidRPr="00A66E0C">
        <w:rPr>
          <w:rFonts w:ascii="仿宋_GB2312" w:eastAsia="仿宋_GB2312"/>
          <w:sz w:val="32"/>
          <w:szCs w:val="32"/>
        </w:rPr>
        <w:t>两会</w:t>
      </w:r>
      <w:r w:rsidR="005221DD" w:rsidRPr="00A66E0C">
        <w:rPr>
          <w:rFonts w:ascii="仿宋_GB2312" w:eastAsia="仿宋_GB2312" w:hint="eastAsia"/>
          <w:sz w:val="32"/>
          <w:szCs w:val="32"/>
        </w:rPr>
        <w:t>”</w:t>
      </w:r>
      <w:r w:rsidR="0087705C" w:rsidRPr="00A66E0C">
        <w:rPr>
          <w:rFonts w:ascii="仿宋_GB2312" w:eastAsia="仿宋_GB2312" w:hint="eastAsia"/>
          <w:sz w:val="32"/>
          <w:szCs w:val="32"/>
        </w:rPr>
        <w:t>现场</w:t>
      </w:r>
      <w:r w:rsidR="005221DD" w:rsidRPr="00A66E0C">
        <w:rPr>
          <w:rFonts w:ascii="仿宋_GB2312" w:eastAsia="仿宋_GB2312"/>
          <w:sz w:val="32"/>
          <w:szCs w:val="32"/>
        </w:rPr>
        <w:t>建议</w:t>
      </w:r>
      <w:r w:rsidR="0087705C" w:rsidRPr="00A66E0C">
        <w:rPr>
          <w:rFonts w:ascii="仿宋_GB2312" w:eastAsia="仿宋_GB2312" w:hint="eastAsia"/>
          <w:sz w:val="32"/>
          <w:szCs w:val="32"/>
        </w:rPr>
        <w:t>126</w:t>
      </w:r>
      <w:r w:rsidR="005221DD" w:rsidRPr="00A66E0C">
        <w:rPr>
          <w:rFonts w:ascii="仿宋_GB2312" w:eastAsia="仿宋_GB2312"/>
          <w:sz w:val="32"/>
          <w:szCs w:val="32"/>
        </w:rPr>
        <w:t>件，</w:t>
      </w:r>
      <w:r w:rsidR="0087705C" w:rsidRPr="00A66E0C">
        <w:rPr>
          <w:rFonts w:ascii="仿宋_GB2312" w:eastAsia="仿宋_GB2312" w:hint="eastAsia"/>
          <w:sz w:val="32"/>
          <w:szCs w:val="32"/>
        </w:rPr>
        <w:t>完成人大建议、政协提案160件，</w:t>
      </w:r>
      <w:r w:rsidR="005221DD" w:rsidRPr="00A66E0C">
        <w:rPr>
          <w:rFonts w:ascii="仿宋_GB2312" w:eastAsia="仿宋_GB2312"/>
          <w:sz w:val="32"/>
          <w:szCs w:val="32"/>
        </w:rPr>
        <w:t>做到面复率100%，办复率100%。邀请人大代表、政协委员、各民主党派、工商联、无党派人士等参加我局的各类视察、座谈活动6次，通报有关工作动态情况</w:t>
      </w:r>
      <w:r w:rsidR="0087705C" w:rsidRPr="00A66E0C">
        <w:rPr>
          <w:rFonts w:ascii="仿宋_GB2312" w:eastAsia="仿宋_GB2312" w:hint="eastAsia"/>
          <w:sz w:val="32"/>
          <w:szCs w:val="32"/>
        </w:rPr>
        <w:t>31</w:t>
      </w:r>
      <w:r w:rsidR="005221DD" w:rsidRPr="00A66E0C">
        <w:rPr>
          <w:rFonts w:ascii="仿宋_GB2312" w:eastAsia="仿宋_GB2312"/>
          <w:sz w:val="32"/>
          <w:szCs w:val="32"/>
        </w:rPr>
        <w:t>份。</w:t>
      </w:r>
    </w:p>
    <w:p w:rsidR="00D26B62" w:rsidRDefault="00717527" w:rsidP="00567909">
      <w:pPr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监督保障机制健全完善</w:t>
      </w:r>
      <w:r w:rsidR="005221DD">
        <w:rPr>
          <w:rFonts w:ascii="仿宋_GB2312" w:eastAsia="仿宋_GB2312"/>
          <w:b/>
          <w:bCs/>
          <w:sz w:val="32"/>
          <w:szCs w:val="32"/>
        </w:rPr>
        <w:t>。</w:t>
      </w:r>
      <w:r w:rsidR="00567909" w:rsidRPr="00567909">
        <w:rPr>
          <w:rFonts w:ascii="仿宋_GB2312" w:eastAsia="仿宋_GB2312" w:hint="eastAsia"/>
          <w:color w:val="000000"/>
          <w:sz w:val="32"/>
          <w:szCs w:val="32"/>
        </w:rPr>
        <w:t>一是在局信</w:t>
      </w:r>
      <w:r w:rsidR="00567909">
        <w:rPr>
          <w:rFonts w:ascii="仿宋_GB2312" w:eastAsia="仿宋_GB2312" w:hint="eastAsia"/>
          <w:sz w:val="32"/>
          <w:szCs w:val="32"/>
        </w:rPr>
        <w:t>息公开领导小组领导下</w:t>
      </w:r>
      <w:r>
        <w:rPr>
          <w:rFonts w:ascii="仿宋_GB2312" w:eastAsia="仿宋_GB2312" w:hint="eastAsia"/>
          <w:sz w:val="32"/>
          <w:szCs w:val="32"/>
        </w:rPr>
        <w:t>，</w:t>
      </w:r>
      <w:r w:rsidRPr="00717527">
        <w:rPr>
          <w:rFonts w:ascii="仿宋_GB2312" w:eastAsia="仿宋_GB2312" w:hint="eastAsia"/>
          <w:sz w:val="32"/>
          <w:szCs w:val="32"/>
        </w:rPr>
        <w:t>安排专人负责政务公开日常工作，并</w:t>
      </w:r>
      <w:r w:rsidR="00F63877">
        <w:rPr>
          <w:rFonts w:ascii="仿宋_GB2312" w:eastAsia="仿宋_GB2312" w:hint="eastAsia"/>
          <w:sz w:val="32"/>
          <w:szCs w:val="32"/>
        </w:rPr>
        <w:t>分解</w:t>
      </w:r>
      <w:r w:rsidRPr="00717527">
        <w:rPr>
          <w:rFonts w:ascii="仿宋_GB2312" w:eastAsia="仿宋_GB2312" w:hint="eastAsia"/>
          <w:sz w:val="32"/>
          <w:szCs w:val="32"/>
        </w:rPr>
        <w:t>责任到处室、落实到个人。</w:t>
      </w:r>
      <w:r w:rsidR="00567909">
        <w:rPr>
          <w:rFonts w:ascii="仿宋_GB2312" w:eastAsia="仿宋_GB2312" w:hint="eastAsia"/>
          <w:sz w:val="32"/>
          <w:szCs w:val="32"/>
        </w:rPr>
        <w:t>二是</w:t>
      </w:r>
      <w:r w:rsidR="00567909">
        <w:rPr>
          <w:rFonts w:ascii="仿宋_GB2312" w:eastAsia="仿宋_GB2312" w:hint="eastAsia"/>
          <w:color w:val="000000"/>
          <w:sz w:val="32"/>
          <w:szCs w:val="32"/>
        </w:rPr>
        <w:t>将政务公开纳入局年底考核办法，对未按规定公开信息和做好信息公开目录内容保障的、公开内容不完整、不准确、不按时限的、或因依申请公开办理程序违法导致纠错及败诉的部门，将在局年底考核中予以减分，并严格追究相关负责人的责任。三是</w:t>
      </w:r>
      <w:r w:rsidR="005221DD">
        <w:rPr>
          <w:rFonts w:ascii="仿宋_GB2312" w:eastAsia="仿宋_GB2312"/>
          <w:sz w:val="32"/>
          <w:szCs w:val="32"/>
        </w:rPr>
        <w:t>严格执行政府信息公开保密审查及监督检查</w:t>
      </w:r>
      <w:r w:rsidR="005221DD">
        <w:rPr>
          <w:rFonts w:ascii="仿宋_GB2312" w:eastAsia="仿宋_GB2312" w:hint="eastAsia"/>
          <w:sz w:val="32"/>
          <w:szCs w:val="32"/>
        </w:rPr>
        <w:t>，认真落实信息公开保密审查工作，规范保密审查流程。</w:t>
      </w:r>
      <w:r w:rsidR="005221DD">
        <w:rPr>
          <w:rFonts w:ascii="仿宋_GB2312" w:eastAsia="仿宋_GB2312"/>
          <w:sz w:val="32"/>
          <w:szCs w:val="32"/>
        </w:rPr>
        <w:t>以机制建设为保障，严格执行信息发布审核机制</w:t>
      </w:r>
      <w:r w:rsidR="005221DD">
        <w:rPr>
          <w:rFonts w:ascii="仿宋_GB2312" w:eastAsia="仿宋_GB2312" w:hint="eastAsia"/>
          <w:sz w:val="32"/>
          <w:szCs w:val="32"/>
        </w:rPr>
        <w:t>，</w:t>
      </w:r>
      <w:r w:rsidR="005221DD">
        <w:rPr>
          <w:rFonts w:ascii="仿宋_GB2312" w:eastAsia="仿宋_GB2312"/>
          <w:sz w:val="32"/>
          <w:szCs w:val="32"/>
        </w:rPr>
        <w:t>全面落实监督岗位责任。</w:t>
      </w:r>
    </w:p>
    <w:p w:rsidR="00D26B62" w:rsidRDefault="005221DD">
      <w:pPr>
        <w:spacing w:line="560" w:lineRule="exact"/>
        <w:ind w:firstLine="645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二、主动公开政府信息情况</w:t>
      </w:r>
    </w:p>
    <w:p w:rsidR="00D26B62" w:rsidRDefault="00D26B62">
      <w:pPr>
        <w:snapToGrid w:val="0"/>
        <w:spacing w:line="220" w:lineRule="exact"/>
        <w:jc w:val="left"/>
        <w:rPr>
          <w:rFonts w:ascii="黑体" w:eastAsia="黑体" w:hAnsi="黑体"/>
          <w:color w:val="000000"/>
          <w:sz w:val="16"/>
          <w:szCs w:val="16"/>
        </w:rPr>
      </w:pP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0"/>
        <w:gridCol w:w="2098"/>
        <w:gridCol w:w="2133"/>
        <w:gridCol w:w="2268"/>
      </w:tblGrid>
      <w:tr w:rsidR="00D26B62">
        <w:trPr>
          <w:trHeight w:val="495"/>
          <w:jc w:val="center"/>
        </w:trPr>
        <w:tc>
          <w:tcPr>
            <w:tcW w:w="9039" w:type="dxa"/>
            <w:gridSpan w:val="4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第二十条第（一）项</w:t>
            </w:r>
          </w:p>
        </w:tc>
      </w:tr>
      <w:tr w:rsidR="00D26B62">
        <w:trPr>
          <w:trHeight w:val="544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本年新制作数量</w:t>
            </w:r>
          </w:p>
        </w:tc>
        <w:tc>
          <w:tcPr>
            <w:tcW w:w="2133" w:type="dxa"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本年新公开数量</w:t>
            </w:r>
          </w:p>
        </w:tc>
        <w:tc>
          <w:tcPr>
            <w:tcW w:w="226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对外公开总数量</w:t>
            </w:r>
          </w:p>
        </w:tc>
      </w:tr>
      <w:tr w:rsidR="00D26B62">
        <w:trPr>
          <w:trHeight w:val="523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规章</w:t>
            </w:r>
          </w:p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（市政府令）</w:t>
            </w:r>
          </w:p>
        </w:tc>
        <w:tc>
          <w:tcPr>
            <w:tcW w:w="209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133" w:type="dxa"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18</w:t>
            </w:r>
          </w:p>
        </w:tc>
      </w:tr>
      <w:tr w:rsidR="00D26B62">
        <w:trPr>
          <w:trHeight w:val="471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规范性文件</w:t>
            </w:r>
          </w:p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（有规范性文件登记号）</w:t>
            </w:r>
          </w:p>
        </w:tc>
        <w:tc>
          <w:tcPr>
            <w:tcW w:w="2098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11</w:t>
            </w:r>
          </w:p>
        </w:tc>
        <w:tc>
          <w:tcPr>
            <w:tcW w:w="2133" w:type="dxa"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11</w:t>
            </w:r>
          </w:p>
        </w:tc>
        <w:tc>
          <w:tcPr>
            <w:tcW w:w="2268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115</w:t>
            </w:r>
          </w:p>
        </w:tc>
      </w:tr>
      <w:tr w:rsidR="00D26B62">
        <w:trPr>
          <w:trHeight w:val="480"/>
          <w:jc w:val="center"/>
        </w:trPr>
        <w:tc>
          <w:tcPr>
            <w:tcW w:w="9039" w:type="dxa"/>
            <w:gridSpan w:val="4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第二十条第（五）项</w:t>
            </w:r>
          </w:p>
        </w:tc>
      </w:tr>
      <w:tr w:rsidR="00D26B62">
        <w:trPr>
          <w:trHeight w:val="545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上一年项目数量</w:t>
            </w:r>
          </w:p>
        </w:tc>
        <w:tc>
          <w:tcPr>
            <w:tcW w:w="2133" w:type="dxa"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本年增/减</w:t>
            </w:r>
          </w:p>
        </w:tc>
        <w:tc>
          <w:tcPr>
            <w:tcW w:w="226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处理决定数量</w:t>
            </w:r>
          </w:p>
        </w:tc>
      </w:tr>
      <w:tr w:rsidR="00D26B62">
        <w:trPr>
          <w:trHeight w:val="528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行政许可</w:t>
            </w:r>
          </w:p>
        </w:tc>
        <w:tc>
          <w:tcPr>
            <w:tcW w:w="209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134</w:t>
            </w:r>
          </w:p>
        </w:tc>
        <w:tc>
          <w:tcPr>
            <w:tcW w:w="2133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96</w:t>
            </w:r>
          </w:p>
        </w:tc>
        <w:tc>
          <w:tcPr>
            <w:tcW w:w="2268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230</w:t>
            </w:r>
          </w:p>
        </w:tc>
      </w:tr>
      <w:tr w:rsidR="00D26B62">
        <w:trPr>
          <w:trHeight w:val="550"/>
          <w:jc w:val="center"/>
        </w:trPr>
        <w:tc>
          <w:tcPr>
            <w:tcW w:w="2540" w:type="dxa"/>
            <w:noWrap/>
            <w:vAlign w:val="center"/>
          </w:tcPr>
          <w:p w:rsidR="00D26B62" w:rsidRDefault="005221DD" w:rsidP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其他对外管理服务事项</w:t>
            </w:r>
          </w:p>
        </w:tc>
        <w:tc>
          <w:tcPr>
            <w:tcW w:w="2098" w:type="dxa"/>
            <w:noWrap/>
            <w:vAlign w:val="center"/>
          </w:tcPr>
          <w:p w:rsidR="00D26B62" w:rsidRPr="00567909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133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trHeight w:val="406"/>
          <w:jc w:val="center"/>
        </w:trPr>
        <w:tc>
          <w:tcPr>
            <w:tcW w:w="9039" w:type="dxa"/>
            <w:gridSpan w:val="4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第二十条第（六）项</w:t>
            </w:r>
          </w:p>
        </w:tc>
      </w:tr>
      <w:tr w:rsidR="00D26B62">
        <w:trPr>
          <w:trHeight w:val="531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上一年项目数量</w:t>
            </w:r>
          </w:p>
        </w:tc>
        <w:tc>
          <w:tcPr>
            <w:tcW w:w="2133" w:type="dxa"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本年增/减</w:t>
            </w:r>
          </w:p>
        </w:tc>
        <w:tc>
          <w:tcPr>
            <w:tcW w:w="226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处理决定数量</w:t>
            </w:r>
          </w:p>
        </w:tc>
      </w:tr>
      <w:tr w:rsidR="00D26B62">
        <w:trPr>
          <w:trHeight w:val="430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行政处罚</w:t>
            </w:r>
          </w:p>
        </w:tc>
        <w:tc>
          <w:tcPr>
            <w:tcW w:w="2098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199</w:t>
            </w:r>
          </w:p>
        </w:tc>
        <w:tc>
          <w:tcPr>
            <w:tcW w:w="2133" w:type="dxa"/>
            <w:noWrap/>
            <w:vAlign w:val="center"/>
          </w:tcPr>
          <w:p w:rsidR="00D26B62" w:rsidRDefault="005221DD" w:rsidP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-</w:t>
            </w:r>
            <w:r w:rsidR="00567909">
              <w:rPr>
                <w:rFonts w:ascii="黑体" w:eastAsia="黑体" w:hAnsi="黑体" w:hint="eastAsia"/>
                <w:sz w:val="22"/>
                <w:szCs w:val="22"/>
              </w:rPr>
              <w:t>104</w:t>
            </w:r>
          </w:p>
        </w:tc>
        <w:tc>
          <w:tcPr>
            <w:tcW w:w="2268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95</w:t>
            </w:r>
          </w:p>
        </w:tc>
      </w:tr>
      <w:tr w:rsidR="00D26B62">
        <w:trPr>
          <w:trHeight w:val="409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行政强制</w:t>
            </w:r>
          </w:p>
        </w:tc>
        <w:tc>
          <w:tcPr>
            <w:tcW w:w="209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133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trHeight w:val="474"/>
          <w:jc w:val="center"/>
        </w:trPr>
        <w:tc>
          <w:tcPr>
            <w:tcW w:w="9039" w:type="dxa"/>
            <w:gridSpan w:val="4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第二十条第（八）项</w:t>
            </w:r>
          </w:p>
        </w:tc>
      </w:tr>
      <w:tr w:rsidR="00D26B62">
        <w:trPr>
          <w:trHeight w:val="270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上一年项目数量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本年增/减</w:t>
            </w:r>
          </w:p>
        </w:tc>
      </w:tr>
      <w:tr w:rsidR="00D26B62">
        <w:trPr>
          <w:trHeight w:val="551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行政事业性收费</w:t>
            </w:r>
          </w:p>
        </w:tc>
        <w:tc>
          <w:tcPr>
            <w:tcW w:w="2098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43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9</w:t>
            </w:r>
          </w:p>
        </w:tc>
      </w:tr>
      <w:tr w:rsidR="00D26B62">
        <w:trPr>
          <w:trHeight w:val="476"/>
          <w:jc w:val="center"/>
        </w:trPr>
        <w:tc>
          <w:tcPr>
            <w:tcW w:w="9039" w:type="dxa"/>
            <w:gridSpan w:val="4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第二十条第（九）项</w:t>
            </w:r>
          </w:p>
        </w:tc>
      </w:tr>
      <w:tr w:rsidR="00D26B62">
        <w:trPr>
          <w:trHeight w:val="585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采购项目数量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采购总金额</w:t>
            </w:r>
          </w:p>
        </w:tc>
      </w:tr>
      <w:tr w:rsidR="00D26B62">
        <w:trPr>
          <w:trHeight w:val="539"/>
          <w:jc w:val="center"/>
        </w:trPr>
        <w:tc>
          <w:tcPr>
            <w:tcW w:w="2540" w:type="dxa"/>
            <w:noWrap/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政府集中采购</w:t>
            </w:r>
          </w:p>
        </w:tc>
        <w:tc>
          <w:tcPr>
            <w:tcW w:w="2098" w:type="dxa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182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D26B62" w:rsidRDefault="00567909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59016.806506</w:t>
            </w:r>
            <w:r w:rsidR="005221DD">
              <w:rPr>
                <w:rFonts w:ascii="黑体" w:eastAsia="黑体" w:hAnsi="黑体" w:hint="eastAsia"/>
                <w:sz w:val="22"/>
                <w:szCs w:val="22"/>
              </w:rPr>
              <w:t>万元</w:t>
            </w:r>
          </w:p>
        </w:tc>
      </w:tr>
    </w:tbl>
    <w:p w:rsidR="00D26B62" w:rsidRDefault="005221DD">
      <w:pPr>
        <w:snapToGrid w:val="0"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　　三、收到和处理政府信息公开申请情况</w:t>
      </w:r>
    </w:p>
    <w:p w:rsidR="00D26B62" w:rsidRDefault="00D26B62">
      <w:pPr>
        <w:snapToGrid w:val="0"/>
        <w:spacing w:line="22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876"/>
        <w:gridCol w:w="2056"/>
        <w:gridCol w:w="814"/>
        <w:gridCol w:w="749"/>
        <w:gridCol w:w="749"/>
        <w:gridCol w:w="806"/>
        <w:gridCol w:w="962"/>
        <w:gridCol w:w="706"/>
        <w:gridCol w:w="697"/>
      </w:tblGrid>
      <w:tr w:rsidR="00D26B62">
        <w:trPr>
          <w:jc w:val="center"/>
        </w:trPr>
        <w:tc>
          <w:tcPr>
            <w:tcW w:w="35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54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申请人情况</w:t>
            </w:r>
          </w:p>
        </w:tc>
      </w:tr>
      <w:tr w:rsidR="00D26B62">
        <w:trPr>
          <w:jc w:val="center"/>
        </w:trPr>
        <w:tc>
          <w:tcPr>
            <w:tcW w:w="35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自然人</w:t>
            </w:r>
          </w:p>
        </w:tc>
        <w:tc>
          <w:tcPr>
            <w:tcW w:w="39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法人或其他组织</w:t>
            </w:r>
          </w:p>
        </w:tc>
        <w:tc>
          <w:tcPr>
            <w:tcW w:w="6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总计</w:t>
            </w:r>
          </w:p>
        </w:tc>
      </w:tr>
      <w:tr w:rsidR="00D26B62">
        <w:trPr>
          <w:jc w:val="center"/>
        </w:trPr>
        <w:tc>
          <w:tcPr>
            <w:tcW w:w="35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商业企业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科研机构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社会公益组织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法律服务机构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其他</w:t>
            </w:r>
          </w:p>
        </w:tc>
        <w:tc>
          <w:tcPr>
            <w:tcW w:w="6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D26B62">
        <w:trPr>
          <w:jc w:val="center"/>
        </w:trPr>
        <w:tc>
          <w:tcPr>
            <w:tcW w:w="35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157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166</w:t>
            </w:r>
          </w:p>
        </w:tc>
      </w:tr>
      <w:tr w:rsidR="00D26B62">
        <w:trPr>
          <w:jc w:val="center"/>
        </w:trPr>
        <w:tc>
          <w:tcPr>
            <w:tcW w:w="35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4</w:t>
            </w:r>
          </w:p>
        </w:tc>
      </w:tr>
      <w:tr w:rsidR="00D26B62">
        <w:trPr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三、本年度办理结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果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/>
                <w:sz w:val="22"/>
                <w:szCs w:val="22"/>
              </w:rPr>
              <w:lastRenderedPageBreak/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32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21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（三）不予公开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（四）无法提供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71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1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（五）不予处理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66E0C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3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5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  <w:r>
              <w:rPr>
                <w:rFonts w:eastAsia="黑体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0</w:t>
            </w:r>
          </w:p>
        </w:tc>
      </w:tr>
      <w:tr w:rsidR="00D26B62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126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133</w:t>
            </w:r>
          </w:p>
        </w:tc>
      </w:tr>
      <w:tr w:rsidR="00D26B62">
        <w:trPr>
          <w:jc w:val="center"/>
        </w:trPr>
        <w:tc>
          <w:tcPr>
            <w:tcW w:w="35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</w:p>
        </w:tc>
      </w:tr>
    </w:tbl>
    <w:p w:rsidR="00D26B62" w:rsidRDefault="005221DD">
      <w:pPr>
        <w:snapToGrid w:val="0"/>
        <w:spacing w:line="420" w:lineRule="exact"/>
        <w:jc w:val="left"/>
        <w:rPr>
          <w:rFonts w:ascii="仿宋_GB2312" w:eastAsia="仿宋_GB2312" w:hAnsi="宋体" w:cs="宋体"/>
          <w:color w:val="333333"/>
          <w:kern w:val="0"/>
          <w:sz w:val="22"/>
          <w:szCs w:val="2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kern w:val="0"/>
          <w:sz w:val="22"/>
          <w:szCs w:val="22"/>
          <w:shd w:val="clear" w:color="auto" w:fill="FFFFFF"/>
        </w:rPr>
        <w:t xml:space="preserve">　　注：“其他处理”项目，主要是考虑新旧条例执行衔接以及极少数特殊情况。原则上，所有的政府信息公开申请，都应当按照法定的处理方式做出处理。</w:t>
      </w:r>
    </w:p>
    <w:p w:rsidR="00D26B62" w:rsidRDefault="005221DD">
      <w:pPr>
        <w:snapToGrid w:val="0"/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    四、政府信息公开行政复议、行政诉讼情况</w:t>
      </w:r>
    </w:p>
    <w:p w:rsidR="00D26B62" w:rsidRDefault="00D26B62">
      <w:pPr>
        <w:snapToGrid w:val="0"/>
        <w:spacing w:line="22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D26B62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行政诉讼</w:t>
            </w:r>
          </w:p>
        </w:tc>
      </w:tr>
      <w:tr w:rsidR="00D26B62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结果维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结果纠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其他结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尚未审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复议后起诉</w:t>
            </w:r>
          </w:p>
        </w:tc>
      </w:tr>
      <w:tr w:rsidR="00D26B62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D26B62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结果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结果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其他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尚未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结果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结果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其他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尚未</w:t>
            </w: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lastRenderedPageBreak/>
              <w:t>总计</w:t>
            </w:r>
          </w:p>
        </w:tc>
      </w:tr>
      <w:tr w:rsidR="00D26B62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lastRenderedPageBreak/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>
              <w:rPr>
                <w:rFonts w:eastAsia="黑体" w:hint="eastAsia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</w:t>
            </w:r>
            <w:r w:rsidR="00A66E0C">
              <w:rPr>
                <w:rFonts w:eastAsia="黑体" w:hint="eastAsia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 w:rsidP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5221DD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6B62" w:rsidRDefault="00A66E0C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0</w:t>
            </w:r>
          </w:p>
        </w:tc>
      </w:tr>
    </w:tbl>
    <w:p w:rsidR="00D26B62" w:rsidRDefault="005221DD">
      <w:pPr>
        <w:pStyle w:val="a3"/>
        <w:widowControl/>
        <w:shd w:val="clear" w:color="auto" w:fill="FFFFFF"/>
        <w:spacing w:beforeAutospacing="0" w:afterAutospacing="0"/>
        <w:ind w:firstLine="400"/>
        <w:jc w:val="both"/>
        <w:rPr>
          <w:rFonts w:ascii="仿宋_GB2312" w:eastAsia="仿宋_GB2312" w:hAnsi="宋体" w:cs="宋体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22"/>
          <w:szCs w:val="22"/>
          <w:shd w:val="clear" w:color="auto" w:fill="FFFFFF"/>
        </w:rPr>
        <w:t>注：行政复议机关作为共同被告的行政诉讼案件，只计算原行为主体的案件数量，不计算行政复议机关的案件数量。</w:t>
      </w:r>
    </w:p>
    <w:p w:rsidR="00D26B62" w:rsidRDefault="005221D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五、存在的主要问题及改进情况</w:t>
      </w:r>
    </w:p>
    <w:p w:rsidR="005221DD" w:rsidRPr="005221DD" w:rsidRDefault="005221DD" w:rsidP="005221DD">
      <w:pPr>
        <w:widowControl/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A66E0C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年我局政府信息公开工作取得了一定成效，但在工作中也存在着一些</w:t>
      </w:r>
      <w:r w:rsidR="00A66E0C">
        <w:rPr>
          <w:rFonts w:ascii="仿宋_GB2312" w:eastAsia="仿宋_GB2312" w:hint="eastAsia"/>
          <w:sz w:val="32"/>
          <w:szCs w:val="32"/>
        </w:rPr>
        <w:t>问题</w:t>
      </w:r>
      <w:r>
        <w:rPr>
          <w:rFonts w:ascii="仿宋_GB2312" w:eastAsia="仿宋_GB2312" w:hint="eastAsia"/>
          <w:sz w:val="32"/>
          <w:szCs w:val="32"/>
        </w:rPr>
        <w:t>和</w:t>
      </w:r>
      <w:r w:rsidR="00A66E0C">
        <w:rPr>
          <w:rFonts w:ascii="仿宋_GB2312" w:eastAsia="仿宋_GB2312" w:hint="eastAsia"/>
          <w:sz w:val="32"/>
          <w:szCs w:val="32"/>
        </w:rPr>
        <w:t>不足</w:t>
      </w:r>
      <w:r>
        <w:rPr>
          <w:rFonts w:ascii="仿宋_GB2312" w:eastAsia="仿宋_GB2312" w:hint="eastAsia"/>
          <w:sz w:val="32"/>
          <w:szCs w:val="32"/>
        </w:rPr>
        <w:t>,主要表现在:一是</w:t>
      </w:r>
      <w:r w:rsidR="00A66E0C">
        <w:rPr>
          <w:rFonts w:ascii="仿宋_GB2312" w:eastAsia="仿宋_GB2312" w:hint="eastAsia"/>
          <w:sz w:val="32"/>
          <w:szCs w:val="32"/>
        </w:rPr>
        <w:t>政府信息公开</w:t>
      </w:r>
      <w:r>
        <w:rPr>
          <w:rFonts w:ascii="仿宋_GB2312" w:eastAsia="仿宋_GB2312" w:hint="eastAsia"/>
          <w:sz w:val="32"/>
          <w:szCs w:val="32"/>
        </w:rPr>
        <w:t>规范化</w:t>
      </w:r>
      <w:r w:rsidR="00A66E0C">
        <w:rPr>
          <w:rFonts w:ascii="仿宋_GB2312" w:eastAsia="仿宋_GB2312" w:hint="eastAsia"/>
          <w:sz w:val="32"/>
          <w:szCs w:val="32"/>
        </w:rPr>
        <w:t>还需要进一步</w:t>
      </w:r>
      <w:r>
        <w:rPr>
          <w:rFonts w:ascii="仿宋_GB2312" w:eastAsia="仿宋_GB2312" w:hint="eastAsia"/>
          <w:sz w:val="32"/>
          <w:szCs w:val="32"/>
        </w:rPr>
        <w:t>加强。</w:t>
      </w:r>
      <w:r w:rsidR="00A06A12">
        <w:rPr>
          <w:rFonts w:ascii="仿宋_GB2312" w:eastAsia="仿宋_GB2312" w:hint="eastAsia"/>
          <w:sz w:val="32"/>
          <w:szCs w:val="32"/>
        </w:rPr>
        <w:t>对政务信息公开的新要求、重要性认识还存在一定不足，对信息公开内容还要进一步</w:t>
      </w:r>
      <w:r w:rsidR="00F63877">
        <w:rPr>
          <w:rFonts w:ascii="仿宋_GB2312" w:eastAsia="仿宋_GB2312" w:hint="eastAsia"/>
          <w:sz w:val="32"/>
          <w:szCs w:val="32"/>
        </w:rPr>
        <w:t>精准</w:t>
      </w:r>
      <w:r>
        <w:rPr>
          <w:rFonts w:ascii="仿宋_GB2312" w:eastAsia="仿宋_GB2312" w:hint="eastAsia"/>
          <w:sz w:val="32"/>
          <w:szCs w:val="32"/>
        </w:rPr>
        <w:t>。二是</w:t>
      </w:r>
      <w:r w:rsidRPr="005221DD">
        <w:rPr>
          <w:rFonts w:ascii="仿宋_GB2312" w:eastAsia="仿宋_GB2312" w:hint="eastAsia"/>
          <w:sz w:val="32"/>
          <w:szCs w:val="32"/>
        </w:rPr>
        <w:t>政府信息公开队伍建设有待加强。</w:t>
      </w:r>
      <w:r>
        <w:rPr>
          <w:rFonts w:ascii="仿宋_GB2312" w:eastAsia="仿宋_GB2312" w:hint="eastAsia"/>
          <w:sz w:val="32"/>
          <w:szCs w:val="32"/>
        </w:rPr>
        <w:t>部分人员信息公开意识不足，公开范围的</w:t>
      </w:r>
      <w:r w:rsidRPr="005221DD">
        <w:rPr>
          <w:rFonts w:ascii="仿宋_GB2312" w:eastAsia="仿宋_GB2312" w:hint="eastAsia"/>
          <w:sz w:val="32"/>
          <w:szCs w:val="32"/>
        </w:rPr>
        <w:t>随意性较大</w:t>
      </w:r>
      <w:r>
        <w:rPr>
          <w:rFonts w:ascii="仿宋_GB2312" w:eastAsia="仿宋_GB2312" w:hint="eastAsia"/>
          <w:sz w:val="32"/>
          <w:szCs w:val="32"/>
        </w:rPr>
        <w:t>，工作人员</w:t>
      </w:r>
      <w:r w:rsidR="00F63877">
        <w:rPr>
          <w:rFonts w:ascii="仿宋_GB2312" w:eastAsia="仿宋_GB2312" w:hint="eastAsia"/>
          <w:sz w:val="32"/>
          <w:szCs w:val="32"/>
        </w:rPr>
        <w:t>日常工作量繁重</w:t>
      </w:r>
      <w:r>
        <w:rPr>
          <w:rFonts w:ascii="仿宋_GB2312" w:eastAsia="仿宋_GB2312" w:hint="eastAsia"/>
          <w:sz w:val="32"/>
          <w:szCs w:val="32"/>
        </w:rPr>
        <w:t>，信息公开队伍有待专业化、精准化。</w:t>
      </w:r>
    </w:p>
    <w:p w:rsidR="00D26B62" w:rsidRDefault="005221D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2021年，我局将从以下方面改进政府信息公开工作。一是规范信息公开内容，对照国家、省、市要求，围绕住房城乡建设和群众关切，做好政府信息公开工作。同时严把质量关、保密关、审查关。二是加强政务公开信息人员业务培训。完善管理制度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组织开展信息公开工作人员的业务培训，增强工作人员政治意识、大局意识，</w:t>
      </w:r>
      <w:bookmarkStart w:id="0" w:name="_GoBack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提高政府信息收集、编辑、管理能力，努力提高政府信息公开水平。</w:t>
      </w:r>
    </w:p>
    <w:bookmarkEnd w:id="0"/>
    <w:p w:rsidR="00D26B62" w:rsidRPr="005221DD" w:rsidRDefault="00D26B6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26B62" w:rsidRDefault="005221DD">
      <w:pPr>
        <w:wordWrap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青岛市住房和城乡建设局    </w:t>
      </w:r>
    </w:p>
    <w:p w:rsidR="00D26B62" w:rsidRDefault="005221DD">
      <w:pPr>
        <w:wordWrap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2021年1月29日       </w:t>
      </w:r>
    </w:p>
    <w:p w:rsidR="00D26B62" w:rsidRDefault="00D26B62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D2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E139"/>
    <w:multiLevelType w:val="singleLevel"/>
    <w:tmpl w:val="246BE13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65AD9"/>
    <w:rsid w:val="002D02AD"/>
    <w:rsid w:val="005221DD"/>
    <w:rsid w:val="00567909"/>
    <w:rsid w:val="00602F23"/>
    <w:rsid w:val="00717527"/>
    <w:rsid w:val="0087705C"/>
    <w:rsid w:val="00A06A12"/>
    <w:rsid w:val="00A3526D"/>
    <w:rsid w:val="00A66E0C"/>
    <w:rsid w:val="00BC4412"/>
    <w:rsid w:val="00C86A04"/>
    <w:rsid w:val="00D26B62"/>
    <w:rsid w:val="00F63877"/>
    <w:rsid w:val="060C5459"/>
    <w:rsid w:val="167A291A"/>
    <w:rsid w:val="2D124C08"/>
    <w:rsid w:val="44172AC6"/>
    <w:rsid w:val="5C1F5E52"/>
    <w:rsid w:val="6B06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  <w:style w:type="paragraph" w:customStyle="1" w:styleId="5CharCharCharChar">
    <w:name w:val="5 Char Char Char Char"/>
    <w:basedOn w:val="a"/>
    <w:rsid w:val="00C86A04"/>
    <w:pPr>
      <w:widowControl/>
      <w:spacing w:after="160" w:line="240" w:lineRule="exact"/>
      <w:jc w:val="left"/>
    </w:pPr>
    <w:rPr>
      <w:rFonts w:ascii="Verdana" w:eastAsia="楷体_GB2312" w:hAnsi="Verdana" w:cs="Times New Roman"/>
      <w:b/>
      <w:i/>
      <w:iCs/>
      <w:color w:val="000000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  <w:style w:type="paragraph" w:customStyle="1" w:styleId="5CharCharCharChar">
    <w:name w:val="5 Char Char Char Char"/>
    <w:basedOn w:val="a"/>
    <w:rsid w:val="00C86A04"/>
    <w:pPr>
      <w:widowControl/>
      <w:spacing w:after="160" w:line="240" w:lineRule="exact"/>
      <w:jc w:val="left"/>
    </w:pPr>
    <w:rPr>
      <w:rFonts w:ascii="Verdana" w:eastAsia="楷体_GB2312" w:hAnsi="Verdana" w:cs="Times New Roman"/>
      <w:b/>
      <w:i/>
      <w:iCs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2410</Words>
  <Characters>688</Characters>
  <Application>Microsoft Office Word</Application>
  <DocSecurity>0</DocSecurity>
  <Lines>5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狮鹫</dc:creator>
  <cp:lastModifiedBy>xb21cn</cp:lastModifiedBy>
  <cp:revision>3</cp:revision>
  <dcterms:created xsi:type="dcterms:W3CDTF">2021-01-29T08:26:00Z</dcterms:created>
  <dcterms:modified xsi:type="dcterms:W3CDTF">2021-01-29T08:45:00Z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