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t>青岛市市政公用工程评审专家履职行为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t>记分告知单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评审专家姓名：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因你在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项目（施工许可证编号：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专项施工方案论证的评审专家期间，存在以下行为，现依据《青岛市市政公用工程评审专家评价实施细则（试行）》，对你作出记分处理，具体如下：</w:t>
      </w:r>
    </w:p>
    <w:tbl>
      <w:tblPr>
        <w:tblStyle w:val="3"/>
        <w:tblW w:w="0" w:type="auto"/>
        <w:tblInd w:w="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4842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记分事由</w:t>
            </w:r>
          </w:p>
        </w:tc>
        <w:tc>
          <w:tcPr>
            <w:tcW w:w="1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记分值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1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你在记分周期（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日）期间，记分结果为扣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分/加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如记分结果达到《青岛市市政公用工程评审专家评价实施细则（试行）》第十三条规定的有关标准，将采取相应措施，作进一步处理。若对记分有异议的，可在5个工作日内向市市政公用监督站提出异议并提供书面证明材料。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青岛市市政公用工程质量安全监督站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5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2025-12-26T09:25:40Z</dcterms:created>
  <dc:creator>Administrator</dc:creator>
  <cp:lastModifiedBy>刘超</cp:lastModifiedBy>
  <dcterms:modified xsi:type="dcterms:W3CDTF">2025-12-26T09:26:09Z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