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560" w:lineRule="exact"/>
        <w:jc w:val="left"/>
        <w:textAlignment w:val="baseline"/>
        <w:rPr>
          <w:rFonts w:ascii="宋体"/>
          <w:b w:val="0"/>
          <w:bCs w:val="0"/>
          <w:color w:val="auto"/>
          <w:sz w:val="24"/>
        </w:rPr>
      </w:pPr>
      <w:r>
        <w:rPr>
          <w:rFonts w:hint="eastAsia" w:ascii="黑体" w:hAnsi="黑体" w:eastAsia="黑体" w:cs="黑体"/>
          <w:b w:val="0"/>
          <w:bCs w:val="0"/>
          <w:color w:val="auto"/>
          <w:sz w:val="32"/>
          <w:szCs w:val="32"/>
          <w:lang w:val="en-US" w:eastAsia="zh-CN"/>
        </w:rPr>
        <w:t>附件1</w:t>
      </w:r>
    </w:p>
    <w:p>
      <w:pPr>
        <w:jc w:val="center"/>
        <w:rPr>
          <w:rFonts w:ascii="方正小标宋简体" w:hAnsi="Calibri" w:eastAsia="方正小标宋简体"/>
          <w:bCs/>
          <w:color w:val="auto"/>
          <w:sz w:val="44"/>
          <w:szCs w:val="44"/>
        </w:rPr>
      </w:pPr>
      <w:r>
        <w:rPr>
          <w:rFonts w:hint="eastAsia" w:ascii="方正小标宋简体" w:hAnsi="Calibri" w:eastAsia="方正小标宋简体"/>
          <w:bCs/>
          <w:color w:val="auto"/>
          <w:sz w:val="44"/>
          <w:szCs w:val="44"/>
        </w:rPr>
        <w:t>建设工程施工扬尘防治检查评分表</w:t>
      </w:r>
    </w:p>
    <w:tbl>
      <w:tblPr>
        <w:tblStyle w:val="13"/>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294"/>
        <w:gridCol w:w="367"/>
        <w:gridCol w:w="3271"/>
        <w:gridCol w:w="1178"/>
        <w:gridCol w:w="1253"/>
        <w:gridCol w:w="22"/>
        <w:gridCol w:w="754"/>
        <w:gridCol w:w="661"/>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项目名称</w:t>
            </w:r>
          </w:p>
        </w:tc>
        <w:tc>
          <w:tcPr>
            <w:tcW w:w="48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形象进度</w:t>
            </w:r>
          </w:p>
        </w:tc>
        <w:tc>
          <w:tcPr>
            <w:tcW w:w="21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项目地址</w:t>
            </w:r>
          </w:p>
        </w:tc>
        <w:tc>
          <w:tcPr>
            <w:tcW w:w="36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建设单位</w:t>
            </w:r>
          </w:p>
        </w:tc>
        <w:tc>
          <w:tcPr>
            <w:tcW w:w="339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施工单位</w:t>
            </w:r>
          </w:p>
        </w:tc>
        <w:tc>
          <w:tcPr>
            <w:tcW w:w="36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监理单位</w:t>
            </w:r>
          </w:p>
        </w:tc>
        <w:tc>
          <w:tcPr>
            <w:tcW w:w="339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05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评分</w:t>
            </w:r>
          </w:p>
          <w:p>
            <w:pPr>
              <w:widowControl/>
              <w:autoSpaceDE w:val="0"/>
              <w:spacing w:line="280" w:lineRule="exact"/>
              <w:jc w:val="center"/>
              <w:rPr>
                <w:rFonts w:ascii="黑体" w:eastAsia="黑体"/>
                <w:color w:val="auto"/>
                <w:szCs w:val="21"/>
              </w:rPr>
            </w:pPr>
            <w:r>
              <w:rPr>
                <w:rFonts w:hint="eastAsia" w:ascii="黑体" w:hAnsi="黑体" w:eastAsia="黑体"/>
                <w:color w:val="auto"/>
                <w:szCs w:val="21"/>
              </w:rPr>
              <w:t>项目</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序号</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评</w:t>
            </w:r>
            <w:r>
              <w:rPr>
                <w:rFonts w:hint="eastAsia" w:ascii="黑体" w:eastAsia="黑体"/>
                <w:color w:val="auto"/>
                <w:szCs w:val="21"/>
              </w:rPr>
              <w:t xml:space="preserve"> </w:t>
            </w:r>
            <w:r>
              <w:rPr>
                <w:rFonts w:hint="eastAsia" w:ascii="黑体" w:hAnsi="黑体" w:eastAsia="黑体"/>
                <w:color w:val="auto"/>
                <w:szCs w:val="21"/>
              </w:rPr>
              <w:t xml:space="preserve"> 分  标</w:t>
            </w:r>
            <w:r>
              <w:rPr>
                <w:rFonts w:hint="eastAsia" w:ascii="黑体" w:eastAsia="黑体"/>
                <w:color w:val="auto"/>
                <w:szCs w:val="21"/>
              </w:rPr>
              <w:t xml:space="preserve"> </w:t>
            </w:r>
            <w:r>
              <w:rPr>
                <w:rFonts w:hint="eastAsia" w:ascii="黑体" w:hAnsi="黑体" w:eastAsia="黑体"/>
                <w:color w:val="auto"/>
                <w:szCs w:val="21"/>
              </w:rPr>
              <w:t xml:space="preserve"> 准</w:t>
            </w:r>
          </w:p>
        </w:tc>
        <w:tc>
          <w:tcPr>
            <w:tcW w:w="7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应得分数</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扣减分数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实得分数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hAnsi="黑体" w:eastAsia="黑体"/>
                <w:color w:val="auto"/>
                <w:szCs w:val="21"/>
              </w:rPr>
            </w:pPr>
            <w:r>
              <w:rPr>
                <w:rFonts w:hint="eastAsia" w:ascii="黑体" w:eastAsia="黑体"/>
                <w:color w:val="auto"/>
                <w:szCs w:val="21"/>
              </w:rPr>
              <w:t>责任落实</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施工单位承担施工扬尘防治主体责任，应建立以项目经理为第一责任人的扬尘防治体系，明确各级、各工序扬尘污染防治责任人。施工总承包单位、分包单位等施工企业应在施工现场配备专(兼)职扬尘防治管理人员，负责日常检查施工现场扬尘措施落实情况。落实不到位扣5分。□（本项未扣分请打√，本项扣分打×，余同）</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5</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2</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在工地大门口显著位置设置扬尘防治公示牌，明确各责任主体扬尘管理负责人，公布扬尘污染监督举报电话，接受社会和舆论监督。未设置公示牌或设置位置不规范扣5分，公示信息应符合《山东省房屋建筑施工扬尘防治技术规程》附录A、附录B有关要求，信息不全扣2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工地围挡</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3</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hint="eastAsia" w:ascii="宋体"/>
                <w:color w:val="auto"/>
                <w:szCs w:val="21"/>
              </w:rPr>
            </w:pPr>
            <w:r>
              <w:rPr>
                <w:rFonts w:hint="eastAsia" w:ascii="宋体"/>
                <w:color w:val="auto"/>
                <w:szCs w:val="21"/>
              </w:rPr>
              <w:t>设置连续封闭式硬质围挡。未设置围挡扣10分，围挡不连续的每处扣5分。围挡设置应符合《山东省房屋建筑施工扬尘防治技术规程》《山东省房屋建筑施工扬尘防治措施标准化指导图集》及《青岛市市政公用工程施工现场安全文明标准化管理图集》</w:t>
            </w:r>
            <w:r>
              <w:rPr>
                <w:rFonts w:hint="eastAsia" w:ascii="宋体"/>
                <w:color w:val="auto"/>
                <w:szCs w:val="21"/>
                <w:lang w:eastAsia="zh-CN"/>
              </w:rPr>
              <w:t>等</w:t>
            </w:r>
            <w:r>
              <w:rPr>
                <w:rFonts w:hint="eastAsia" w:ascii="宋体"/>
                <w:color w:val="auto"/>
                <w:szCs w:val="21"/>
              </w:rPr>
              <w:t>有关要求。□</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5"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4</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围挡高度、底座、顶端喷淋应符合标准要求。</w:t>
            </w:r>
          </w:p>
          <w:p>
            <w:pPr>
              <w:numPr>
                <w:ilvl w:val="0"/>
                <w:numId w:val="1"/>
              </w:numPr>
              <w:spacing w:line="280" w:lineRule="exact"/>
              <w:ind w:firstLine="420" w:firstLineChars="200"/>
              <w:rPr>
                <w:rFonts w:ascii="宋体"/>
                <w:color w:val="auto"/>
                <w:szCs w:val="21"/>
              </w:rPr>
            </w:pPr>
            <w:r>
              <w:rPr>
                <w:rFonts w:hint="eastAsia" w:ascii="宋体"/>
                <w:color w:val="auto"/>
                <w:szCs w:val="21"/>
              </w:rPr>
              <w:t>市区主要路段建筑工地的围挡高度不低于2.5m，一般道路的围挡高度不低于1.8m，且应符合有关部门的最新要求。围挡高度不符合要求扣5分。□</w:t>
            </w:r>
          </w:p>
          <w:p>
            <w:pPr>
              <w:numPr>
                <w:ilvl w:val="0"/>
                <w:numId w:val="1"/>
              </w:numPr>
              <w:spacing w:line="280" w:lineRule="exact"/>
              <w:ind w:firstLine="420" w:firstLineChars="200"/>
              <w:rPr>
                <w:rFonts w:ascii="宋体"/>
                <w:color w:val="auto"/>
                <w:szCs w:val="21"/>
              </w:rPr>
            </w:pPr>
            <w:r>
              <w:rPr>
                <w:rFonts w:hint="eastAsia" w:ascii="宋体"/>
                <w:color w:val="auto"/>
                <w:szCs w:val="21"/>
              </w:rPr>
              <w:t>围挡底部应与基础或路面贴合严密，围挡基础应采用砖基础或现浇混凝土基础等形式，亦可采用预制成品底座，基底应平整、夯实。围挡底部或基础做法不符合的扣5分。□</w:t>
            </w:r>
          </w:p>
          <w:p>
            <w:pPr>
              <w:numPr>
                <w:ilvl w:val="0"/>
                <w:numId w:val="1"/>
              </w:numPr>
              <w:spacing w:line="280" w:lineRule="exact"/>
              <w:ind w:firstLine="420" w:firstLineChars="200"/>
              <w:rPr>
                <w:rFonts w:ascii="宋体"/>
                <w:color w:val="auto"/>
                <w:szCs w:val="21"/>
              </w:rPr>
            </w:pPr>
            <w:r>
              <w:rPr>
                <w:rFonts w:hint="eastAsia" w:ascii="宋体"/>
                <w:color w:val="auto"/>
                <w:szCs w:val="21"/>
              </w:rPr>
              <w:t>围挡顶端应设置喷雾系统，喷射水雾的方向应朝向施工现场，沿工地四周围挡连续设置，每隔4m设置不少于一组的喷头。未设置围挡喷雾或未规范开启扣5分，间距不符合要求扣3分，喷头损坏未及时维修的每处扣1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5</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围挡保持整洁、美观。落实不到位扣3分。□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道路硬化</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6</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hint="eastAsia" w:ascii="宋体"/>
                <w:color w:val="auto"/>
                <w:szCs w:val="21"/>
              </w:rPr>
            </w:pPr>
            <w:r>
              <w:rPr>
                <w:rFonts w:hint="eastAsia" w:ascii="宋体"/>
                <w:color w:val="auto"/>
                <w:szCs w:val="21"/>
              </w:rPr>
              <w:t>施工现场出入口地面、主要道路应硬化处理。短期使用的临时性道路应采取铺设砾石、预制混凝土块或者钢板等措施硬化，其中基坑坡道应优先选择铺设砾石措施硬化，坡道两侧根据现场实际支护加固或苫盖。主要道路或临时道路未硬化扣10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7</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硬化路面应保持清洁，现场应配备洒水车等降尘设施。</w:t>
            </w:r>
          </w:p>
          <w:p>
            <w:pPr>
              <w:spacing w:line="280" w:lineRule="exact"/>
              <w:ind w:firstLine="420" w:firstLineChars="200"/>
              <w:rPr>
                <w:rFonts w:ascii="宋体"/>
                <w:color w:val="auto"/>
                <w:szCs w:val="21"/>
              </w:rPr>
            </w:pPr>
            <w:r>
              <w:rPr>
                <w:rFonts w:hint="eastAsia" w:ascii="宋体"/>
                <w:color w:val="auto"/>
                <w:szCs w:val="21"/>
              </w:rPr>
              <w:t>（1）施工现场应保持硬化路面清洁，无明显积土浮尘。落实不到位扣3分。□</w:t>
            </w:r>
          </w:p>
          <w:p>
            <w:pPr>
              <w:spacing w:line="280" w:lineRule="exact"/>
              <w:ind w:firstLine="420" w:firstLineChars="200"/>
              <w:rPr>
                <w:rFonts w:ascii="宋体"/>
                <w:color w:val="auto"/>
                <w:szCs w:val="21"/>
              </w:rPr>
            </w:pPr>
            <w:r>
              <w:rPr>
                <w:rFonts w:hint="eastAsia" w:ascii="宋体"/>
                <w:color w:val="auto"/>
                <w:szCs w:val="21"/>
              </w:rPr>
              <w:t>（2）施工单位应根据施工需要配备洒水车、清扫车、高压水枪等机械设备，安排人员每天定时洒水清扫路面。落实不到位扣5分。□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车辆冲洗</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8</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施工现场车辆主要出入口应规范设置车辆冲洗设施。未设置车辆冲洗设施，扣10分。□</w:t>
            </w:r>
          </w:p>
          <w:p>
            <w:pPr>
              <w:spacing w:line="260" w:lineRule="exact"/>
              <w:ind w:firstLine="420" w:firstLineChars="200"/>
              <w:rPr>
                <w:rFonts w:ascii="宋体"/>
                <w:color w:val="auto"/>
                <w:szCs w:val="21"/>
              </w:rPr>
            </w:pPr>
            <w:r>
              <w:rPr>
                <w:rFonts w:hint="eastAsia" w:ascii="宋体"/>
                <w:color w:val="auto"/>
                <w:szCs w:val="21"/>
              </w:rPr>
              <w:t>（1）冲洗平台应设置于出入口内侧，长度不宜小于9m，宽度不应小于4m。洗车平台设置不符合要求或规格不符合要求且未设置辅助冲洗设备扣5分。□</w:t>
            </w:r>
          </w:p>
          <w:p>
            <w:pPr>
              <w:spacing w:line="260" w:lineRule="exact"/>
              <w:ind w:firstLine="420" w:firstLineChars="200"/>
              <w:rPr>
                <w:rFonts w:ascii="宋体"/>
                <w:color w:val="auto"/>
                <w:szCs w:val="21"/>
              </w:rPr>
            </w:pPr>
            <w:r>
              <w:rPr>
                <w:rFonts w:hint="eastAsia" w:ascii="宋体"/>
                <w:color w:val="auto"/>
                <w:szCs w:val="21"/>
              </w:rPr>
              <w:t>（2）冲洗平台周边应设排水沟，排水沟应与三级沉淀池相连。落实不到位扣5分。□</w:t>
            </w:r>
          </w:p>
          <w:p>
            <w:pPr>
              <w:spacing w:line="260" w:lineRule="exact"/>
              <w:ind w:firstLine="420" w:firstLineChars="200"/>
              <w:rPr>
                <w:rFonts w:ascii="宋体"/>
                <w:color w:val="auto"/>
                <w:szCs w:val="21"/>
              </w:rPr>
            </w:pPr>
            <w:r>
              <w:rPr>
                <w:rFonts w:hint="eastAsia" w:ascii="宋体"/>
                <w:color w:val="auto"/>
                <w:szCs w:val="21"/>
              </w:rPr>
              <w:t>（3）洗车污水应经三级沉淀。严禁将未沉淀污水直接排入市政管网或排放到城市道路。落实不到位扣10分。□</w:t>
            </w:r>
          </w:p>
          <w:p>
            <w:pPr>
              <w:spacing w:line="260" w:lineRule="exact"/>
              <w:ind w:firstLine="420" w:firstLineChars="200"/>
              <w:rPr>
                <w:rFonts w:ascii="宋体"/>
                <w:color w:val="auto"/>
                <w:szCs w:val="21"/>
              </w:rPr>
            </w:pPr>
            <w:r>
              <w:rPr>
                <w:rFonts w:hint="eastAsia" w:ascii="宋体"/>
                <w:color w:val="auto"/>
                <w:szCs w:val="21"/>
              </w:rPr>
              <w:t>（4）沉淀池、排水沟应定人定期清理淤积物，避免因阻塞造成污水满溢。沉淀物严禁直接清运或倾倒市政管网，宜采取晾晒、密闭运输等处理措施。沉淀池出水口应设置格栅阻隔异物。落实不到位扣5分。□</w:t>
            </w:r>
          </w:p>
          <w:p>
            <w:pPr>
              <w:spacing w:line="260" w:lineRule="exact"/>
              <w:ind w:firstLine="420" w:firstLineChars="200"/>
              <w:rPr>
                <w:rFonts w:ascii="宋体"/>
                <w:color w:val="auto"/>
                <w:szCs w:val="21"/>
              </w:rPr>
            </w:pPr>
            <w:r>
              <w:rPr>
                <w:rFonts w:hint="eastAsia" w:ascii="宋体"/>
                <w:color w:val="auto"/>
                <w:szCs w:val="21"/>
              </w:rPr>
              <w:t>（5）现场出入口场地狭小，无法设置洗车平台的，应在出入口设置专门的洗车区域，配备不少于两台高压水枪对车辆进行冲洗，车辆冲洗不到位污染大门两侧市政道路的扣10分。□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9</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施工单位应安排专人负责车辆冲洗。车辆冲洗应达到车体整洁可见本色、车轮干净可见轮毂、不带泥污上路的效果。未设置专人冲洗扣5分，车辆冲洗不到位污染大门两侧市政道路的扣10分。□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土石方湿法作业</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土石方施工现场应配备雾炮、喷淋等降尘设施。施工作业时，雾炮配备数量应与开挖土方规模相适应。雾炮喷雾有效面积应能够覆盖土方施工作业面，非土方施工作业面必须苫盖到位。未采取有效降尘措施或非土方施工作业面苫盖不到位扣10分，雾炮数量不足抑尘效果较差的扣5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11</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施工现场用作回填的土方，应集中堆放，采取覆盖、绿化等防尘措施。落实不到位扣5分。□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2"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裸土及产尘物料覆盖</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12</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ind w:firstLine="420" w:firstLineChars="200"/>
              <w:rPr>
                <w:rFonts w:ascii="宋体"/>
                <w:color w:val="auto"/>
                <w:szCs w:val="21"/>
              </w:rPr>
            </w:pPr>
            <w:r>
              <w:rPr>
                <w:rFonts w:hint="eastAsia" w:ascii="宋体"/>
                <w:color w:val="auto"/>
                <w:szCs w:val="21"/>
              </w:rPr>
              <w:t>（1）施工现场裸露场地应采取覆盖防尘网、铺装、硬化、绿化等防尘降尘措施，防止起尘。防尘网规格应不低于6针3线5扣，且每平方米重量不低于30g。</w:t>
            </w:r>
          </w:p>
          <w:p>
            <w:pPr>
              <w:spacing w:line="280" w:lineRule="exact"/>
              <w:ind w:firstLine="420" w:firstLineChars="200"/>
              <w:rPr>
                <w:rFonts w:ascii="宋体"/>
                <w:color w:val="auto"/>
                <w:szCs w:val="21"/>
              </w:rPr>
            </w:pPr>
            <w:r>
              <w:rPr>
                <w:rFonts w:hint="eastAsia" w:ascii="宋体"/>
                <w:color w:val="auto"/>
                <w:szCs w:val="21"/>
              </w:rPr>
              <w:t>（2）施工作业期间，除因施工需求必须暴露裸土区域外，其他非动土作业面裸露土地必须保持上述防尘降尘措施，施工过程中途停班及施工结束后立即对暴露区域进行苫盖。</w:t>
            </w:r>
          </w:p>
          <w:p>
            <w:pPr>
              <w:spacing w:line="280" w:lineRule="exact"/>
              <w:ind w:firstLine="420" w:firstLineChars="200"/>
              <w:rPr>
                <w:rFonts w:ascii="宋体"/>
                <w:color w:val="auto"/>
                <w:szCs w:val="21"/>
              </w:rPr>
            </w:pPr>
            <w:r>
              <w:rPr>
                <w:rFonts w:hint="eastAsia" w:ascii="宋体"/>
                <w:color w:val="auto"/>
                <w:szCs w:val="21"/>
              </w:rPr>
              <w:t>（3）裸土覆盖不到位或防尘网不符合要求扣10分。□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13</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现场产尘物料应按要求存放。</w:t>
            </w:r>
          </w:p>
          <w:p>
            <w:pPr>
              <w:spacing w:line="260" w:lineRule="exact"/>
              <w:ind w:firstLine="420" w:firstLineChars="200"/>
              <w:rPr>
                <w:rFonts w:ascii="宋体"/>
                <w:color w:val="auto"/>
                <w:szCs w:val="21"/>
              </w:rPr>
            </w:pPr>
            <w:r>
              <w:rPr>
                <w:rFonts w:hint="eastAsia" w:ascii="宋体"/>
                <w:color w:val="auto"/>
                <w:szCs w:val="21"/>
              </w:rPr>
              <w:t>（1）涂料、油漆存放应设置密闭存储室单独存放，并做好防火措施。管道、配件等喷涂作业应在密闭房间进行，并采取相应的人员防护措施。严禁露天喷涂脚手架管等配件。落实不到位扣2分。□</w:t>
            </w:r>
          </w:p>
          <w:p>
            <w:pPr>
              <w:spacing w:line="260" w:lineRule="exact"/>
              <w:ind w:firstLine="420" w:firstLineChars="200"/>
              <w:rPr>
                <w:rFonts w:ascii="宋体"/>
                <w:color w:val="auto"/>
                <w:szCs w:val="21"/>
              </w:rPr>
            </w:pPr>
            <w:r>
              <w:rPr>
                <w:rFonts w:hint="eastAsia" w:ascii="宋体"/>
                <w:color w:val="auto"/>
                <w:szCs w:val="21"/>
              </w:rPr>
              <w:t>（2）建筑施工现场应使用预拌混凝土和预拌砂浆，减少扬尘污染。因场地、条件限制等特殊情形确需现场搅拌的，应搭建封闭式搅拌防护棚。落实不到位扣5分。□</w:t>
            </w:r>
          </w:p>
          <w:p>
            <w:pPr>
              <w:spacing w:line="260" w:lineRule="exact"/>
              <w:ind w:firstLine="420" w:firstLineChars="200"/>
              <w:rPr>
                <w:rFonts w:ascii="宋体"/>
                <w:color w:val="auto"/>
                <w:szCs w:val="21"/>
              </w:rPr>
            </w:pPr>
            <w:r>
              <w:rPr>
                <w:rFonts w:hint="eastAsia" w:ascii="宋体"/>
                <w:color w:val="auto"/>
                <w:szCs w:val="21"/>
              </w:rPr>
              <w:t>（3）现场储存水泥、袋装预拌砂浆等产尘物料，应放置于密闭仓库内;使用储罐式散装水泥或干混砂浆，储罐下部应采取封闭措施。落实不到位扣3分。□</w:t>
            </w:r>
          </w:p>
          <w:p>
            <w:pPr>
              <w:spacing w:line="260" w:lineRule="exact"/>
              <w:ind w:firstLine="420" w:firstLineChars="200"/>
              <w:rPr>
                <w:rFonts w:ascii="宋体"/>
                <w:color w:val="auto"/>
                <w:szCs w:val="21"/>
              </w:rPr>
            </w:pPr>
            <w:r>
              <w:rPr>
                <w:rFonts w:hint="eastAsia" w:ascii="宋体"/>
                <w:color w:val="auto"/>
                <w:szCs w:val="21"/>
              </w:rPr>
              <w:t>（4）楼层内产尘物料应覆盖严密。产尘作业应采取防尘降尘措施。落实不到位扣2分。□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 w:val="10"/>
                <w:szCs w:val="10"/>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14</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配套管网、园林绿化、临时道路破除、临时设施拆除等施工阶段，应在施工操作面采取洒水、喷雾等降尘措施。每日工作完毕，施工单位应将工作面、裸土及未能及时清运的建筑垃圾等严密覆盖。落实不到位扣5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 w:val="10"/>
                <w:szCs w:val="10"/>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105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非道路移动机械</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15</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hint="eastAsia" w:ascii="宋体"/>
                <w:color w:val="auto"/>
                <w:szCs w:val="21"/>
              </w:rPr>
            </w:pPr>
            <w:r>
              <w:rPr>
                <w:rFonts w:hint="eastAsia" w:ascii="宋体"/>
                <w:color w:val="auto"/>
                <w:szCs w:val="21"/>
              </w:rPr>
              <w:t>施工现场使用的非道路移动机械须符合国家、省关于非道路移动机械的环保规定要求。无环保标识等不满足环保要求的非道路移动机械，严禁进入施工现场。落实不到位扣5分。□</w:t>
            </w:r>
          </w:p>
        </w:tc>
        <w:tc>
          <w:tcPr>
            <w:tcW w:w="7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建筑垃圾处置</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16</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建筑垃圾应及时清运，清运建筑垃圾时应做好洒水降尘等措施。不能及时清运的，应集中堆放，采取覆盖防尘网等措施。落实不到位扣5分。□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5</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17</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楼层内积尘清扫应采取洒水降尘措施，垃圾应集中装袋堆放，高层建筑应搭设封闭式垃圾道、封闭式容器或装袋清运严禁高空抛洒。落实不到位扣5分。□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 w:val="10"/>
                <w:szCs w:val="10"/>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4" w:hRule="atLeast"/>
          <w:jc w:val="center"/>
        </w:trPr>
        <w:tc>
          <w:tcPr>
            <w:tcW w:w="105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eastAsia="黑体"/>
                <w:color w:val="auto"/>
                <w:szCs w:val="21"/>
              </w:rPr>
              <w:t>渣土运输</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18</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渣土运输车辆必须采取全密闭措施，装车高度不得高出车厢挡板，不得沿途飞扬、撒漏。</w:t>
            </w:r>
          </w:p>
          <w:p>
            <w:pPr>
              <w:spacing w:line="260" w:lineRule="exact"/>
              <w:ind w:firstLine="420" w:firstLineChars="200"/>
              <w:rPr>
                <w:rFonts w:ascii="宋体"/>
                <w:color w:val="auto"/>
                <w:szCs w:val="21"/>
              </w:rPr>
            </w:pPr>
            <w:r>
              <w:rPr>
                <w:rFonts w:hint="eastAsia" w:ascii="宋体"/>
                <w:color w:val="auto"/>
                <w:szCs w:val="21"/>
              </w:rPr>
              <w:t>1.建筑垃圾运输未在委托合同中明确运输单位扬尘污染防治责任，扣2分。□</w:t>
            </w:r>
          </w:p>
          <w:p>
            <w:pPr>
              <w:spacing w:line="260" w:lineRule="exact"/>
              <w:ind w:firstLine="420" w:firstLineChars="200"/>
              <w:rPr>
                <w:rFonts w:ascii="宋体"/>
                <w:color w:val="auto"/>
                <w:szCs w:val="21"/>
              </w:rPr>
            </w:pPr>
            <w:r>
              <w:rPr>
                <w:rFonts w:hint="eastAsia" w:ascii="宋体"/>
                <w:color w:val="auto"/>
                <w:szCs w:val="21"/>
              </w:rPr>
              <w:t>2.建筑垃圾运输车辆运营运输手续、证件不齐全（含备案地址与实际运输地址不一致），每辆扣2分，该条扣分超出此项应得分数则于总分内扣除。□</w:t>
            </w:r>
          </w:p>
          <w:p>
            <w:pPr>
              <w:spacing w:line="260" w:lineRule="exact"/>
              <w:ind w:firstLine="420" w:firstLineChars="200"/>
              <w:rPr>
                <w:rFonts w:hint="eastAsia" w:ascii="宋体"/>
                <w:color w:val="auto"/>
                <w:szCs w:val="21"/>
              </w:rPr>
            </w:pPr>
            <w:r>
              <w:rPr>
                <w:rFonts w:hint="eastAsia" w:ascii="宋体"/>
                <w:color w:val="auto"/>
                <w:szCs w:val="21"/>
              </w:rPr>
              <w:t>3.建筑垃圾运输车辆出场时未采取严格的密封密闭措施，每辆扣2分，该条扣分超出此项应得分数则于总分内扣除。□</w:t>
            </w:r>
          </w:p>
        </w:tc>
        <w:tc>
          <w:tcPr>
            <w:tcW w:w="7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 w:val="10"/>
                <w:szCs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1"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hAnsi="黑体" w:eastAsia="黑体"/>
                <w:color w:val="auto"/>
                <w:szCs w:val="21"/>
              </w:rPr>
            </w:pPr>
            <w:r>
              <w:rPr>
                <w:rFonts w:hint="eastAsia" w:ascii="黑体" w:eastAsia="黑体"/>
                <w:color w:val="auto"/>
                <w:szCs w:val="21"/>
              </w:rPr>
              <w:t>扬尘在线监测与视频监控</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19</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50" w:lineRule="exact"/>
              <w:ind w:firstLine="420" w:firstLineChars="200"/>
              <w:rPr>
                <w:rFonts w:ascii="宋体"/>
                <w:color w:val="auto"/>
                <w:szCs w:val="21"/>
              </w:rPr>
            </w:pPr>
            <w:r>
              <w:rPr>
                <w:rFonts w:hint="eastAsia" w:ascii="宋体"/>
                <w:color w:val="auto"/>
                <w:szCs w:val="21"/>
              </w:rPr>
              <w:t>施工现场应按照相关主管部门规定安装扬尘在线监测设备，并与主管部门监管平台联网。未安装扬尘在线监测设备扣10分，未接入主管部门监管平台扣5分。□</w:t>
            </w:r>
          </w:p>
          <w:p>
            <w:pPr>
              <w:spacing w:line="250" w:lineRule="exact"/>
              <w:ind w:firstLine="420" w:firstLineChars="200"/>
              <w:rPr>
                <w:rFonts w:ascii="宋体"/>
                <w:color w:val="auto"/>
                <w:szCs w:val="21"/>
              </w:rPr>
            </w:pPr>
            <w:r>
              <w:rPr>
                <w:rFonts w:hint="eastAsia" w:ascii="宋体"/>
                <w:color w:val="auto"/>
                <w:szCs w:val="21"/>
              </w:rPr>
              <w:t>（1）扬尘在线监测应在开工前完成安装及调试工作，明确专人负责，定期维护保养，确保施工期间系统的各项功能正常。落实不到位扣5分。□</w:t>
            </w:r>
          </w:p>
          <w:p>
            <w:pPr>
              <w:spacing w:line="250" w:lineRule="exact"/>
              <w:ind w:firstLine="420" w:firstLineChars="200"/>
              <w:rPr>
                <w:rFonts w:ascii="宋体"/>
                <w:color w:val="auto"/>
                <w:szCs w:val="21"/>
              </w:rPr>
            </w:pPr>
            <w:r>
              <w:rPr>
                <w:rFonts w:hint="eastAsia" w:ascii="宋体"/>
                <w:color w:val="auto"/>
                <w:szCs w:val="21"/>
              </w:rPr>
              <w:t>（2）在线监测点设置数量应按照施工场地占地面积确定。占地面积小于1万平方米设置不少于1个监测点，面积1万~2万平方米设置不少于2个监测点，面积大于2万平方米设置不少于3个监测点。每缺少一个监控点位扣3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5"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20</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50" w:lineRule="exact"/>
              <w:ind w:firstLine="420" w:firstLineChars="200"/>
              <w:rPr>
                <w:rFonts w:ascii="宋体"/>
                <w:color w:val="auto"/>
                <w:szCs w:val="21"/>
              </w:rPr>
            </w:pPr>
            <w:r>
              <w:rPr>
                <w:rFonts w:hint="eastAsia" w:ascii="宋体"/>
                <w:color w:val="auto"/>
                <w:szCs w:val="21"/>
              </w:rPr>
              <w:t>施工现场应按照相关主管部门规定安装视频监控，并与主管部门监管平台联网。未安装视频监控设备扣10分，未接入主管部门监管平台扣5分。□</w:t>
            </w:r>
          </w:p>
          <w:p>
            <w:pPr>
              <w:spacing w:line="250" w:lineRule="exact"/>
              <w:ind w:firstLine="420" w:firstLineChars="200"/>
              <w:rPr>
                <w:rFonts w:ascii="宋体"/>
                <w:color w:val="auto"/>
                <w:szCs w:val="21"/>
              </w:rPr>
            </w:pPr>
            <w:r>
              <w:rPr>
                <w:rFonts w:hint="eastAsia" w:ascii="宋体"/>
                <w:color w:val="auto"/>
                <w:szCs w:val="21"/>
              </w:rPr>
              <w:t>（1）视频监控应在开工前完成安装及调试工作，明确专人负责，定期维护保养，确保施工期间系统的各项功能正常。落实不到位扣5分。□</w:t>
            </w:r>
          </w:p>
          <w:p>
            <w:pPr>
              <w:spacing w:line="250" w:lineRule="exact"/>
              <w:ind w:firstLine="420" w:firstLineChars="200"/>
              <w:rPr>
                <w:rFonts w:ascii="宋体"/>
                <w:color w:val="auto"/>
                <w:szCs w:val="21"/>
              </w:rPr>
            </w:pPr>
            <w:r>
              <w:rPr>
                <w:rFonts w:hint="eastAsia" w:ascii="宋体"/>
                <w:color w:val="auto"/>
                <w:szCs w:val="21"/>
              </w:rPr>
              <w:t>（2）视频监控应重点监控出入口、洗车台、作业区、塔吊、围挡四角等部位，洗车台、主要施工作业区和塔吊上至少各安装1个，满足施工现场全覆盖、无盲区、24小时全时段监控要求。每缺少一个监控点位扣3分。□</w:t>
            </w:r>
          </w:p>
          <w:p>
            <w:pPr>
              <w:spacing w:line="250" w:lineRule="exact"/>
              <w:ind w:firstLine="420" w:firstLineChars="200"/>
              <w:rPr>
                <w:rFonts w:ascii="宋体"/>
                <w:color w:val="auto"/>
                <w:szCs w:val="21"/>
              </w:rPr>
            </w:pPr>
            <w:r>
              <w:rPr>
                <w:rFonts w:hint="eastAsia" w:ascii="宋体"/>
                <w:color w:val="auto"/>
                <w:szCs w:val="21"/>
              </w:rPr>
              <w:t>（3）视频监控点数量应根据工程建筑面积确定，面积小于5万平方米设置不少于3个监控点，面积5万~10万平方米设置不少于5个监控点，面积大于10万平方米设置不少于8个监控点。每缺少一个监控点位扣3分。□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hAnsi="黑体" w:eastAsia="黑体"/>
                <w:color w:val="auto"/>
                <w:szCs w:val="21"/>
              </w:rPr>
            </w:pPr>
            <w:r>
              <w:rPr>
                <w:rFonts w:hint="eastAsia" w:ascii="黑体" w:eastAsia="黑体"/>
                <w:color w:val="auto"/>
                <w:szCs w:val="21"/>
              </w:rPr>
              <w:t>检查情况</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21</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firstLine="420" w:firstLineChars="200"/>
              <w:rPr>
                <w:rFonts w:ascii="宋体"/>
                <w:color w:val="auto"/>
                <w:szCs w:val="21"/>
              </w:rPr>
            </w:pPr>
            <w:r>
              <w:rPr>
                <w:rFonts w:hint="eastAsia" w:ascii="宋体"/>
                <w:color w:val="auto"/>
                <w:szCs w:val="21"/>
              </w:rPr>
              <w:t>施工单位扬尘防治管理人员应每天检查工地扬尘措施落实情况，填写《房屋建筑施工扬尘防治检查评分表》（本表）。施工单位项目经理应每周组织扬尘防治管理人员、分包单位负责人等有关人员进行不少于1次的扬尘防治专项检查，检查中发现的扬尘污染问题应下达整改通知单。落实不到位扣5分。□</w:t>
            </w:r>
          </w:p>
        </w:tc>
        <w:tc>
          <w:tcPr>
            <w:tcW w:w="7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10</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22</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50" w:lineRule="exact"/>
              <w:ind w:firstLine="420" w:firstLineChars="200"/>
              <w:rPr>
                <w:rFonts w:ascii="宋体"/>
                <w:color w:val="auto"/>
                <w:szCs w:val="21"/>
              </w:rPr>
            </w:pPr>
            <w:r>
              <w:rPr>
                <w:rFonts w:hint="eastAsia" w:ascii="宋体"/>
                <w:color w:val="auto"/>
                <w:szCs w:val="21"/>
              </w:rPr>
              <w:t>监理单位应加强对施工现场扬尘防治情况的日常检查巡查，督促施工单位落实扬尘防治方案各项防治措施，监理单位发现施工单位有违反扬尘防治要求或者未按专项方案落实扬尘防治措施的行为，应当要求施工单位予以整改并下发整改通知单。落实不到位扣5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74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hAnsi="黑体" w:eastAsia="黑体"/>
                <w:color w:val="auto"/>
                <w:szCs w:val="21"/>
              </w:rPr>
            </w:pP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23</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50" w:lineRule="exact"/>
              <w:ind w:firstLine="420" w:firstLineChars="200"/>
              <w:rPr>
                <w:rFonts w:ascii="宋体"/>
                <w:color w:val="auto"/>
                <w:szCs w:val="21"/>
              </w:rPr>
            </w:pPr>
            <w:r>
              <w:rPr>
                <w:rFonts w:hint="eastAsia" w:ascii="宋体"/>
                <w:color w:val="auto"/>
                <w:szCs w:val="21"/>
              </w:rPr>
              <w:t>属地主管部门检查及整改落实情况。属地主管检查发现扬尘污染问题下发整改通知单，施工单位按要求整改完成并回复。落实不到位扣5分。□</w:t>
            </w:r>
          </w:p>
        </w:tc>
        <w:tc>
          <w:tcPr>
            <w:tcW w:w="28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jc w:val="center"/>
        </w:trPr>
        <w:tc>
          <w:tcPr>
            <w:tcW w:w="105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hAnsi="黑体" w:eastAsia="黑体"/>
                <w:color w:val="auto"/>
                <w:szCs w:val="21"/>
              </w:rPr>
            </w:pPr>
            <w:r>
              <w:rPr>
                <w:rFonts w:hint="eastAsia" w:ascii="黑体" w:eastAsia="黑体"/>
                <w:color w:val="auto"/>
                <w:szCs w:val="21"/>
              </w:rPr>
              <w:t>资料管理</w:t>
            </w:r>
          </w:p>
        </w:tc>
        <w:tc>
          <w:tcPr>
            <w:tcW w:w="6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24</w:t>
            </w:r>
          </w:p>
        </w:tc>
        <w:tc>
          <w:tcPr>
            <w:tcW w:w="570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50" w:lineRule="exact"/>
              <w:ind w:firstLine="414"/>
              <w:rPr>
                <w:rFonts w:ascii="宋体"/>
                <w:color w:val="auto"/>
                <w:szCs w:val="21"/>
              </w:rPr>
            </w:pPr>
            <w:r>
              <w:rPr>
                <w:rFonts w:hint="eastAsia" w:ascii="宋体"/>
                <w:color w:val="auto"/>
                <w:szCs w:val="21"/>
              </w:rPr>
              <w:t>（1）施工单位、监理单位应如实记录施工现场扬尘防治检查情况,记录内容应真实可靠，具有可追溯性。落实不到位扣5分。□</w:t>
            </w:r>
          </w:p>
          <w:p>
            <w:pPr>
              <w:spacing w:line="250" w:lineRule="exact"/>
              <w:ind w:firstLine="412"/>
              <w:rPr>
                <w:rFonts w:ascii="宋体"/>
                <w:color w:val="auto"/>
                <w:szCs w:val="21"/>
              </w:rPr>
            </w:pPr>
            <w:r>
              <w:rPr>
                <w:rFonts w:hint="eastAsia" w:ascii="宋体"/>
                <w:color w:val="auto"/>
                <w:szCs w:val="21"/>
              </w:rPr>
              <w:t>（2）施工现场应齐备施工扬尘防治有关技术资料，落实不到位扣2分□。至少包括：</w:t>
            </w:r>
          </w:p>
          <w:p>
            <w:pPr>
              <w:kinsoku w:val="0"/>
              <w:autoSpaceDE w:val="0"/>
              <w:autoSpaceDN w:val="0"/>
              <w:spacing w:line="250" w:lineRule="exact"/>
              <w:ind w:firstLine="420" w:firstLineChars="200"/>
              <w:rPr>
                <w:rFonts w:hint="eastAsia" w:ascii="宋体" w:eastAsia="宋体"/>
                <w:color w:val="auto"/>
                <w:szCs w:val="21"/>
                <w:lang w:eastAsia="zh-CN"/>
              </w:rPr>
            </w:pPr>
            <w:r>
              <w:rPr>
                <w:rFonts w:hint="eastAsia" w:ascii="宋体"/>
                <w:color w:val="auto"/>
                <w:szCs w:val="21"/>
              </w:rPr>
              <w:t>1.《山东省房屋建筑施工扬尘防治技术规程》(DB37T5252-2023FDIS)</w:t>
            </w:r>
            <w:r>
              <w:rPr>
                <w:rFonts w:hint="eastAsia" w:ascii="宋体"/>
                <w:color w:val="auto"/>
                <w:szCs w:val="21"/>
                <w:lang w:eastAsia="zh-CN"/>
              </w:rPr>
              <w:t>；</w:t>
            </w:r>
          </w:p>
          <w:p>
            <w:pPr>
              <w:spacing w:line="250" w:lineRule="exact"/>
              <w:ind w:firstLine="420" w:firstLineChars="200"/>
              <w:rPr>
                <w:rFonts w:hint="eastAsia" w:ascii="宋体" w:eastAsia="宋体"/>
                <w:color w:val="auto"/>
                <w:szCs w:val="21"/>
                <w:lang w:eastAsia="zh-CN"/>
              </w:rPr>
            </w:pPr>
            <w:r>
              <w:rPr>
                <w:rFonts w:hint="eastAsia" w:ascii="宋体"/>
                <w:color w:val="auto"/>
                <w:szCs w:val="21"/>
              </w:rPr>
              <w:t>2.《山东省房屋建筑施工扬尘防治措施标准化指导图集》</w:t>
            </w:r>
            <w:r>
              <w:rPr>
                <w:rFonts w:hint="eastAsia" w:ascii="宋体"/>
                <w:color w:val="auto"/>
                <w:szCs w:val="21"/>
                <w:lang w:eastAsia="zh-CN"/>
              </w:rPr>
              <w:t>；</w:t>
            </w:r>
          </w:p>
          <w:p>
            <w:pPr>
              <w:spacing w:line="250" w:lineRule="exact"/>
              <w:ind w:firstLine="420" w:firstLineChars="200"/>
              <w:rPr>
                <w:rFonts w:hint="default" w:ascii="宋体" w:eastAsia="宋体"/>
                <w:color w:val="auto"/>
                <w:szCs w:val="21"/>
                <w:lang w:val="en-US" w:eastAsia="zh-CN"/>
              </w:rPr>
            </w:pPr>
            <w:r>
              <w:rPr>
                <w:rFonts w:hint="eastAsia" w:ascii="宋体"/>
                <w:color w:val="auto"/>
                <w:szCs w:val="21"/>
                <w:lang w:val="en-US" w:eastAsia="zh-CN"/>
              </w:rPr>
              <w:t>3.市政公用工程还应包括《青岛市市政公用工程施工现场安全文明标准化管理图集》。</w:t>
            </w:r>
          </w:p>
          <w:p>
            <w:pPr>
              <w:spacing w:line="250" w:lineRule="exact"/>
              <w:ind w:firstLine="420" w:firstLineChars="200"/>
              <w:rPr>
                <w:rFonts w:ascii="宋体"/>
                <w:color w:val="auto"/>
                <w:szCs w:val="21"/>
              </w:rPr>
            </w:pPr>
            <w:r>
              <w:rPr>
                <w:rFonts w:hint="eastAsia" w:ascii="宋体"/>
                <w:color w:val="auto"/>
                <w:szCs w:val="21"/>
              </w:rPr>
              <w:t>检查过程中，对施工现场扬尘防治负责人随机提问2条以上《图集》或《规程》中有关要求，回答不准确扣2分。□</w:t>
            </w:r>
          </w:p>
          <w:p>
            <w:pPr>
              <w:spacing w:line="250" w:lineRule="exact"/>
              <w:ind w:firstLine="420" w:firstLineChars="200"/>
              <w:rPr>
                <w:rFonts w:ascii="宋体"/>
                <w:color w:val="auto"/>
                <w:szCs w:val="21"/>
              </w:rPr>
            </w:pPr>
            <w:r>
              <w:rPr>
                <w:rFonts w:hint="eastAsia" w:ascii="宋体"/>
                <w:color w:val="auto"/>
                <w:szCs w:val="21"/>
              </w:rPr>
              <w:t>（3）施工、监理单位应建立扬尘防治资料专卷，现场资料不全、不实的扣5分。□</w:t>
            </w:r>
          </w:p>
          <w:p>
            <w:pPr>
              <w:spacing w:line="250" w:lineRule="exact"/>
              <w:ind w:firstLine="420" w:firstLineChars="200"/>
              <w:rPr>
                <w:rFonts w:ascii="宋体"/>
                <w:color w:val="auto"/>
                <w:szCs w:val="21"/>
              </w:rPr>
            </w:pPr>
            <w:r>
              <w:rPr>
                <w:rFonts w:hint="eastAsia" w:ascii="宋体"/>
                <w:color w:val="auto"/>
                <w:szCs w:val="21"/>
              </w:rPr>
              <w:t>施工单位专卷应包括以下资料：</w:t>
            </w:r>
          </w:p>
          <w:p>
            <w:pPr>
              <w:spacing w:line="250" w:lineRule="exact"/>
              <w:ind w:firstLine="420" w:firstLineChars="200"/>
              <w:rPr>
                <w:rFonts w:ascii="宋体"/>
                <w:color w:val="auto"/>
                <w:szCs w:val="21"/>
              </w:rPr>
            </w:pPr>
            <w:r>
              <w:rPr>
                <w:rFonts w:hint="eastAsia" w:ascii="宋体"/>
                <w:color w:val="auto"/>
                <w:szCs w:val="21"/>
              </w:rPr>
              <w:t>1.施工现场扬尘防治专项方案；</w:t>
            </w:r>
          </w:p>
          <w:p>
            <w:pPr>
              <w:spacing w:line="250" w:lineRule="exact"/>
              <w:ind w:firstLine="420" w:firstLineChars="200"/>
              <w:rPr>
                <w:rFonts w:ascii="宋体"/>
                <w:color w:val="auto"/>
                <w:szCs w:val="21"/>
              </w:rPr>
            </w:pPr>
            <w:r>
              <w:rPr>
                <w:rFonts w:hint="eastAsia" w:ascii="宋体"/>
                <w:color w:val="auto"/>
                <w:szCs w:val="21"/>
              </w:rPr>
              <w:t>2.扬尘防治技术交底；</w:t>
            </w:r>
          </w:p>
          <w:p>
            <w:pPr>
              <w:spacing w:line="250" w:lineRule="exact"/>
              <w:ind w:firstLine="420" w:firstLineChars="200"/>
              <w:rPr>
                <w:rFonts w:ascii="宋体"/>
                <w:color w:val="auto"/>
                <w:szCs w:val="21"/>
              </w:rPr>
            </w:pPr>
            <w:r>
              <w:rPr>
                <w:rFonts w:hint="eastAsia" w:ascii="宋体"/>
                <w:color w:val="auto"/>
                <w:szCs w:val="21"/>
              </w:rPr>
              <w:t>3.每日现场检查情况（本表）；</w:t>
            </w:r>
          </w:p>
          <w:p>
            <w:pPr>
              <w:spacing w:line="250" w:lineRule="exact"/>
              <w:ind w:firstLine="420" w:firstLineChars="200"/>
              <w:rPr>
                <w:rFonts w:ascii="宋体"/>
                <w:color w:val="auto"/>
                <w:szCs w:val="21"/>
              </w:rPr>
            </w:pPr>
            <w:r>
              <w:rPr>
                <w:rFonts w:hint="eastAsia" w:ascii="宋体"/>
                <w:color w:val="auto"/>
                <w:szCs w:val="21"/>
              </w:rPr>
              <w:t>4.主管部门下达的检查表（本表）、扬尘防治问题整改通知单及整改报告；</w:t>
            </w:r>
          </w:p>
          <w:p>
            <w:pPr>
              <w:spacing w:line="250" w:lineRule="exact"/>
              <w:ind w:firstLine="420" w:firstLineChars="200"/>
              <w:rPr>
                <w:rFonts w:ascii="宋体"/>
                <w:color w:val="auto"/>
                <w:szCs w:val="21"/>
              </w:rPr>
            </w:pPr>
            <w:r>
              <w:rPr>
                <w:rFonts w:hint="eastAsia" w:ascii="宋体"/>
                <w:color w:val="auto"/>
                <w:szCs w:val="21"/>
              </w:rPr>
              <w:t>5.非道路移动机械出入登记台账；</w:t>
            </w:r>
          </w:p>
          <w:p>
            <w:pPr>
              <w:spacing w:line="250" w:lineRule="exact"/>
              <w:ind w:firstLine="420" w:firstLineChars="200"/>
              <w:rPr>
                <w:rFonts w:ascii="宋体"/>
                <w:color w:val="auto"/>
                <w:szCs w:val="21"/>
              </w:rPr>
            </w:pPr>
            <w:r>
              <w:rPr>
                <w:rFonts w:hint="eastAsia" w:ascii="宋体"/>
                <w:color w:val="auto"/>
                <w:szCs w:val="21"/>
              </w:rPr>
              <w:t>6.渣土运输车辆出场冲洗台账及洗车机沉淀池淤积物清理记录；</w:t>
            </w:r>
          </w:p>
          <w:p>
            <w:pPr>
              <w:spacing w:line="250" w:lineRule="exact"/>
              <w:ind w:firstLine="420" w:firstLineChars="200"/>
              <w:rPr>
                <w:rFonts w:hint="eastAsia" w:ascii="宋体" w:eastAsia="宋体"/>
                <w:color w:val="auto"/>
                <w:szCs w:val="21"/>
                <w:lang w:eastAsia="zh-CN"/>
              </w:rPr>
            </w:pPr>
            <w:r>
              <w:rPr>
                <w:rFonts w:hint="eastAsia" w:ascii="宋体"/>
                <w:color w:val="auto"/>
                <w:szCs w:val="21"/>
              </w:rPr>
              <w:t>7.扬尘监测仪定期维护保养及校准记录及视频监控维护保养记录</w:t>
            </w:r>
            <w:r>
              <w:rPr>
                <w:rFonts w:hint="eastAsia" w:ascii="宋体"/>
                <w:color w:val="auto"/>
                <w:szCs w:val="21"/>
                <w:lang w:eastAsia="zh-CN"/>
              </w:rPr>
              <w:t>；</w:t>
            </w:r>
          </w:p>
          <w:p>
            <w:pPr>
              <w:spacing w:line="250" w:lineRule="exact"/>
              <w:ind w:firstLine="420" w:firstLineChars="200"/>
              <w:rPr>
                <w:rFonts w:hint="eastAsia" w:ascii="宋体"/>
                <w:color w:val="auto"/>
                <w:szCs w:val="21"/>
              </w:rPr>
            </w:pPr>
            <w:r>
              <w:rPr>
                <w:rFonts w:hint="eastAsia" w:ascii="宋体"/>
                <w:color w:val="auto"/>
                <w:szCs w:val="21"/>
              </w:rPr>
              <w:t>8.主管部门下发的有关扬尘整治文件。</w:t>
            </w:r>
          </w:p>
          <w:p>
            <w:pPr>
              <w:spacing w:line="250" w:lineRule="exact"/>
              <w:ind w:firstLine="420" w:firstLineChars="200"/>
              <w:rPr>
                <w:rFonts w:ascii="宋体"/>
                <w:color w:val="auto"/>
                <w:szCs w:val="21"/>
              </w:rPr>
            </w:pPr>
            <w:r>
              <w:rPr>
                <w:rFonts w:hint="eastAsia" w:ascii="宋体"/>
                <w:color w:val="auto"/>
                <w:szCs w:val="21"/>
              </w:rPr>
              <w:t>监理单位专卷应包括以下资料：</w:t>
            </w:r>
          </w:p>
          <w:p>
            <w:pPr>
              <w:spacing w:line="250" w:lineRule="exact"/>
              <w:ind w:firstLine="420" w:firstLineChars="200"/>
              <w:rPr>
                <w:rFonts w:hint="eastAsia" w:ascii="宋体"/>
                <w:color w:val="auto"/>
                <w:szCs w:val="21"/>
              </w:rPr>
            </w:pPr>
            <w:r>
              <w:rPr>
                <w:rFonts w:hint="eastAsia" w:ascii="宋体"/>
                <w:color w:val="auto"/>
                <w:szCs w:val="21"/>
              </w:rPr>
              <w:t>1.施工现场扬尘防治检查记录及现场照片；</w:t>
            </w:r>
          </w:p>
          <w:p>
            <w:pPr>
              <w:spacing w:line="250" w:lineRule="exact"/>
              <w:ind w:firstLine="420" w:firstLineChars="200"/>
              <w:rPr>
                <w:rFonts w:ascii="宋体"/>
                <w:color w:val="auto"/>
                <w:szCs w:val="21"/>
              </w:rPr>
            </w:pPr>
            <w:r>
              <w:rPr>
                <w:rFonts w:hint="eastAsia" w:ascii="宋体"/>
                <w:color w:val="auto"/>
                <w:szCs w:val="21"/>
              </w:rPr>
              <w:t>2.监理工程师整改通知单；</w:t>
            </w:r>
          </w:p>
          <w:p>
            <w:pPr>
              <w:spacing w:line="250" w:lineRule="exact"/>
              <w:ind w:firstLine="420" w:firstLineChars="200"/>
              <w:rPr>
                <w:rFonts w:ascii="宋体"/>
                <w:color w:val="auto"/>
                <w:szCs w:val="21"/>
              </w:rPr>
            </w:pPr>
            <w:r>
              <w:rPr>
                <w:rFonts w:hint="eastAsia" w:ascii="宋体"/>
                <w:color w:val="auto"/>
                <w:szCs w:val="21"/>
              </w:rPr>
              <w:t>3.施工单位问题整改报告（应附清晰整改照片）；</w:t>
            </w:r>
          </w:p>
          <w:p>
            <w:pPr>
              <w:spacing w:line="250" w:lineRule="exact"/>
              <w:ind w:firstLine="420" w:firstLineChars="200"/>
              <w:rPr>
                <w:rFonts w:ascii="宋体"/>
                <w:color w:val="auto"/>
                <w:szCs w:val="21"/>
              </w:rPr>
            </w:pPr>
            <w:r>
              <w:rPr>
                <w:rFonts w:hint="eastAsia" w:ascii="宋体"/>
                <w:color w:val="auto"/>
                <w:szCs w:val="21"/>
              </w:rPr>
              <w:t>4.施工现场扬尘防治检查表。</w:t>
            </w:r>
          </w:p>
        </w:tc>
        <w:tc>
          <w:tcPr>
            <w:tcW w:w="7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eastAsia="黑体"/>
                <w:color w:val="auto"/>
                <w:szCs w:val="21"/>
              </w:rPr>
            </w:pPr>
            <w:r>
              <w:rPr>
                <w:rFonts w:hint="eastAsia" w:ascii="黑体" w:eastAsia="黑体"/>
                <w:color w:val="auto"/>
                <w:szCs w:val="21"/>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42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320" w:lineRule="exact"/>
              <w:ind w:firstLine="420" w:firstLineChars="200"/>
              <w:rPr>
                <w:rFonts w:ascii="宋体"/>
                <w:color w:val="auto"/>
                <w:szCs w:val="21"/>
              </w:rPr>
            </w:pPr>
            <w:r>
              <w:rPr>
                <w:rFonts w:hint="eastAsia" w:ascii="黑体" w:hAnsi="黑体" w:eastAsia="黑体"/>
                <w:color w:val="auto"/>
                <w:szCs w:val="21"/>
              </w:rPr>
              <w:t>评分分数</w:t>
            </w:r>
          </w:p>
        </w:tc>
        <w:tc>
          <w:tcPr>
            <w:tcW w:w="7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r>
              <w:rPr>
                <w:rFonts w:hint="eastAsia" w:ascii="黑体" w:hAnsi="黑体" w:eastAsia="黑体"/>
                <w:color w:val="auto"/>
                <w:szCs w:val="21"/>
              </w:rPr>
              <w:t>100分</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280" w:lineRule="exact"/>
              <w:jc w:val="center"/>
              <w:rPr>
                <w:rFonts w:ascii="黑体" w:eastAsia="黑体"/>
                <w:color w:val="auto"/>
                <w:szCs w:val="21"/>
              </w:rPr>
            </w:pPr>
          </w:p>
        </w:tc>
      </w:tr>
    </w:tbl>
    <w:p>
      <w:pPr>
        <w:widowControl/>
        <w:autoSpaceDE w:val="0"/>
        <w:spacing w:line="320" w:lineRule="exact"/>
        <w:ind w:firstLine="420" w:firstLineChars="200"/>
        <w:rPr>
          <w:rFonts w:ascii="黑体" w:hAnsi="黑体" w:eastAsia="黑体"/>
          <w:color w:val="auto"/>
          <w:szCs w:val="21"/>
        </w:rPr>
      </w:pPr>
      <w:r>
        <w:rPr>
          <w:rFonts w:hint="eastAsia" w:ascii="黑体" w:hAnsi="黑体" w:eastAsia="黑体"/>
          <w:color w:val="auto"/>
          <w:szCs w:val="21"/>
        </w:rPr>
        <w:t>备注：1.扣分不得出现小数，扣分原因应在对应项检查内容里标记或简要注释。</w:t>
      </w:r>
    </w:p>
    <w:p>
      <w:pPr>
        <w:widowControl/>
        <w:autoSpaceDE w:val="0"/>
        <w:spacing w:line="320" w:lineRule="exact"/>
        <w:ind w:firstLine="1050" w:firstLineChars="500"/>
        <w:rPr>
          <w:rFonts w:hint="eastAsia" w:ascii="黑体" w:hAnsi="黑体" w:eastAsia="黑体"/>
          <w:color w:val="auto"/>
          <w:szCs w:val="21"/>
        </w:rPr>
      </w:pPr>
      <w:r>
        <w:rPr>
          <w:rFonts w:hint="eastAsia" w:ascii="黑体" w:hAnsi="黑体" w:eastAsia="黑体"/>
          <w:color w:val="auto"/>
          <w:szCs w:val="21"/>
        </w:rPr>
        <w:t>2.除评分项内有明确额外扣分要求外，其余项扣除分值不超过该项应得分。</w:t>
      </w:r>
    </w:p>
    <w:p>
      <w:pPr>
        <w:widowControl/>
        <w:autoSpaceDE w:val="0"/>
        <w:spacing w:line="320" w:lineRule="exact"/>
        <w:ind w:left="1260" w:leftChars="500" w:hanging="210" w:hangingChars="100"/>
        <w:rPr>
          <w:rFonts w:ascii="黑体" w:hAnsi="黑体" w:eastAsia="黑体"/>
          <w:color w:val="auto"/>
          <w:szCs w:val="21"/>
        </w:rPr>
      </w:pPr>
      <w:r>
        <w:rPr>
          <w:rFonts w:hint="eastAsia" w:ascii="黑体" w:hAnsi="黑体" w:eastAsia="黑体"/>
          <w:color w:val="auto"/>
          <w:szCs w:val="21"/>
        </w:rPr>
        <w:t>3.部分评分项因工序原因不具备检查条件的，对应评分项计满分分值。</w:t>
      </w:r>
    </w:p>
    <w:p>
      <w:pPr>
        <w:widowControl/>
        <w:autoSpaceDE w:val="0"/>
        <w:spacing w:line="320" w:lineRule="exact"/>
        <w:rPr>
          <w:rFonts w:ascii="黑体" w:hAnsi="黑体" w:eastAsia="黑体"/>
          <w:color w:val="auto"/>
          <w:szCs w:val="21"/>
        </w:rPr>
      </w:pPr>
    </w:p>
    <w:p>
      <w:pPr>
        <w:widowControl/>
        <w:autoSpaceDE w:val="0"/>
        <w:spacing w:line="320" w:lineRule="exact"/>
        <w:rPr>
          <w:rFonts w:ascii="黑体" w:hAnsi="黑体" w:eastAsia="黑体"/>
          <w:color w:val="auto"/>
          <w:szCs w:val="21"/>
        </w:rPr>
      </w:pPr>
    </w:p>
    <w:p>
      <w:pPr>
        <w:widowControl/>
        <w:autoSpaceDE w:val="0"/>
        <w:spacing w:line="320" w:lineRule="exact"/>
        <w:rPr>
          <w:rFonts w:ascii="仿宋_GB2312" w:hAnsi="Calibri" w:eastAsia="仿宋_GB2312"/>
          <w:color w:val="auto"/>
          <w:sz w:val="32"/>
          <w:szCs w:val="32"/>
        </w:rPr>
      </w:pPr>
    </w:p>
    <w:p>
      <w:pPr>
        <w:widowControl/>
        <w:autoSpaceDE w:val="0"/>
        <w:spacing w:line="320" w:lineRule="exact"/>
        <w:rPr>
          <w:rFonts w:ascii="仿宋_GB2312" w:hAnsi="Calibri" w:eastAsia="仿宋_GB2312"/>
          <w:color w:val="auto"/>
          <w:sz w:val="32"/>
          <w:szCs w:val="32"/>
        </w:rPr>
      </w:pPr>
      <w:r>
        <w:rPr>
          <w:rFonts w:hint="eastAsia" w:ascii="仿宋_GB2312" w:hAnsi="Calibri" w:eastAsia="仿宋_GB2312"/>
          <w:color w:val="auto"/>
          <w:sz w:val="32"/>
          <w:szCs w:val="32"/>
        </w:rPr>
        <w:t>检查人员：                           检查日期：</w:t>
      </w:r>
    </w:p>
    <w:p>
      <w:pPr>
        <w:widowControl/>
        <w:autoSpaceDE w:val="0"/>
        <w:spacing w:line="320" w:lineRule="exact"/>
        <w:rPr>
          <w:rFonts w:ascii="仿宋_GB2312" w:hAnsi="Calibri" w:eastAsia="仿宋_GB2312"/>
          <w:color w:val="auto"/>
          <w:sz w:val="32"/>
          <w:szCs w:val="32"/>
        </w:rPr>
      </w:pPr>
    </w:p>
    <w:p>
      <w:pPr>
        <w:widowControl/>
        <w:autoSpaceDE w:val="0"/>
        <w:spacing w:line="320" w:lineRule="exact"/>
        <w:rPr>
          <w:rFonts w:ascii="仿宋_GB2312" w:hAnsi="Calibri" w:eastAsia="仿宋_GB2312"/>
          <w:color w:val="auto"/>
          <w:sz w:val="32"/>
          <w:szCs w:val="32"/>
        </w:rPr>
      </w:pPr>
    </w:p>
    <w:p>
      <w:pPr>
        <w:widowControl/>
        <w:autoSpaceDE w:val="0"/>
        <w:spacing w:line="320" w:lineRule="exact"/>
        <w:rPr>
          <w:rFonts w:ascii="仿宋_GB2312" w:hAnsi="等线" w:eastAsia="仿宋_GB2312"/>
          <w:color w:val="auto"/>
          <w:sz w:val="32"/>
          <w:szCs w:val="32"/>
        </w:rPr>
      </w:pPr>
      <w:r>
        <w:rPr>
          <w:rFonts w:hint="eastAsia" w:hAnsi="Calibri" w:eastAsia="仿宋_GB2312"/>
          <w:color w:val="auto"/>
          <w:sz w:val="32"/>
          <w:szCs w:val="32"/>
        </w:rPr>
        <w:t>施工单位</w:t>
      </w:r>
      <w:r>
        <w:rPr>
          <w:rFonts w:hint="eastAsia" w:ascii="仿宋_GB2312" w:hAnsi="Calibri" w:eastAsia="仿宋_GB2312"/>
          <w:color w:val="auto"/>
          <w:sz w:val="32"/>
          <w:szCs w:val="32"/>
        </w:rPr>
        <w:t>负责人签字：                 联系电话：</w:t>
      </w: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hint="eastAsia" w:ascii="宋体"/>
          <w:b/>
          <w:bCs/>
          <w:color w:val="auto"/>
          <w:sz w:val="24"/>
        </w:rPr>
      </w:pPr>
    </w:p>
    <w:p>
      <w:pPr>
        <w:kinsoku w:val="0"/>
        <w:autoSpaceDE w:val="0"/>
        <w:autoSpaceDN w:val="0"/>
        <w:adjustRightInd w:val="0"/>
        <w:snapToGrid w:val="0"/>
        <w:spacing w:line="560" w:lineRule="exact"/>
        <w:jc w:val="center"/>
        <w:textAlignment w:val="baseline"/>
        <w:rPr>
          <w:rFonts w:hint="eastAsia"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insoku w:val="0"/>
        <w:autoSpaceDE w:val="0"/>
        <w:autoSpaceDN w:val="0"/>
        <w:adjustRightInd w:val="0"/>
        <w:snapToGrid w:val="0"/>
        <w:spacing w:line="560" w:lineRule="exact"/>
        <w:jc w:val="center"/>
        <w:textAlignment w:val="baseline"/>
        <w:rPr>
          <w:rFonts w:ascii="宋体"/>
          <w:b/>
          <w:bCs/>
          <w:color w:val="auto"/>
          <w:sz w:val="24"/>
        </w:rPr>
      </w:pPr>
    </w:p>
    <w:p>
      <w:pPr>
        <w:keepNext w:val="0"/>
        <w:keepLines w:val="0"/>
        <w:pageBreakBefore w:val="0"/>
        <w:kinsoku/>
        <w:wordWrap/>
        <w:overflowPunct/>
        <w:topLinePunct w:val="0"/>
        <w:autoSpaceDE/>
        <w:autoSpaceDN/>
        <w:bidi w:val="0"/>
        <w:spacing w:line="560" w:lineRule="exact"/>
        <w:rPr>
          <w:rFonts w:ascii="仿宋_GB2312" w:hAnsi="Times New Roman" w:eastAsia="仿宋_GB2312" w:cs="Times New Roman"/>
          <w:sz w:val="28"/>
          <w:szCs w:val="28"/>
        </w:rPr>
      </w:pPr>
      <w:bookmarkStart w:id="0" w:name="_GoBack"/>
      <w:bookmarkEnd w:id="0"/>
    </w:p>
    <w:sectPr>
      <w:footerReference r:id="rId3" w:type="default"/>
      <w:pgSz w:w="11906" w:h="16838"/>
      <w:pgMar w:top="2098" w:right="1474" w:bottom="1985" w:left="1588" w:header="851" w:footer="964"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-22225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- 3 -</w:t>
                          </w:r>
                          <w:r>
                            <w:rPr>
                              <w:rFonts w:hint="eastAsia" w:asciiTheme="minorEastAsia" w:hAnsiTheme="minorEastAsia" w:eastAsiaTheme="minorEastAsia" w:cstheme="minorEastAsia"/>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5pt;height:144pt;width:144pt;mso-position-horizontal:outside;mso-position-horizontal-relative:margin;mso-wrap-style:none;z-index:251659264;mso-width-relative:page;mso-height-relative:page;" filled="f" stroked="f" coordsize="21600,21600" o:gfxdata="UEsDBAoAAAAAAIdO4kAAAAAAAAAAAAAAAAAEAAAAZHJzL1BLAwQUAAAACACHTuJADzm+It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zA8HuOs95cboO2x3I&#10;qpT/+atf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zm+It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9"/>
                      <w:rPr>
                        <w:rFonts w:hint="default"/>
                        <w:lang w:val="en-US"/>
                      </w:rPr>
                    </w:pPr>
                    <w:r>
                      <w:rPr>
                        <w:rFonts w:hint="eastAsia" w:asciiTheme="minorEastAsia" w:hAnsiTheme="minorEastAsia" w:eastAsiaTheme="minorEastAsia" w:cstheme="minorEastAsia"/>
                        <w:sz w:val="28"/>
                        <w:szCs w:val="28"/>
                        <w:lang w:val="en-US"/>
                      </w:rPr>
                      <w:fldChar w:fldCharType="begin"/>
                    </w:r>
                    <w:r>
                      <w:rPr>
                        <w:rFonts w:hint="eastAsia" w:asciiTheme="minorEastAsia" w:hAnsiTheme="minorEastAsia" w:eastAsiaTheme="minorEastAsia" w:cstheme="minorEastAsia"/>
                        <w:sz w:val="28"/>
                        <w:szCs w:val="28"/>
                        <w:lang w:val="en-US"/>
                      </w:rPr>
                      <w:instrText xml:space="preserve"> PAGE  \* MERGEFORMAT </w:instrText>
                    </w:r>
                    <w:r>
                      <w:rPr>
                        <w:rFonts w:hint="eastAsia" w:asciiTheme="minorEastAsia" w:hAnsiTheme="minorEastAsia" w:eastAsiaTheme="minorEastAsia" w:cstheme="minorEastAsia"/>
                        <w:sz w:val="28"/>
                        <w:szCs w:val="28"/>
                        <w:lang w:val="en-US"/>
                      </w:rPr>
                      <w:fldChar w:fldCharType="separate"/>
                    </w:r>
                    <w:r>
                      <w:rPr>
                        <w:rFonts w:hint="eastAsia" w:asciiTheme="minorEastAsia" w:hAnsiTheme="minorEastAsia" w:eastAsiaTheme="minorEastAsia" w:cstheme="minorEastAsia"/>
                        <w:sz w:val="28"/>
                        <w:szCs w:val="28"/>
                        <w:lang w:val="en-US"/>
                      </w:rPr>
                      <w:t>- 3 -</w:t>
                    </w:r>
                    <w:r>
                      <w:rPr>
                        <w:rFonts w:hint="eastAsia" w:asciiTheme="minorEastAsia" w:hAnsiTheme="minorEastAsia" w:eastAsiaTheme="minorEastAsia" w:cstheme="minorEastAsia"/>
                        <w:sz w:val="28"/>
                        <w:szCs w:val="2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62845"/>
    <w:multiLevelType w:val="singleLevel"/>
    <w:tmpl w:val="84462845"/>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NTU5NTc0ZTkzY2Q1NGI1NzQxMjcxMzQxM2M0ODMifQ=="/>
  </w:docVars>
  <w:rsids>
    <w:rsidRoot w:val="002E62DC"/>
    <w:rsid w:val="00054BC7"/>
    <w:rsid w:val="000D142D"/>
    <w:rsid w:val="00180622"/>
    <w:rsid w:val="001F6BC3"/>
    <w:rsid w:val="00230C18"/>
    <w:rsid w:val="00235B11"/>
    <w:rsid w:val="002E62DC"/>
    <w:rsid w:val="00391E11"/>
    <w:rsid w:val="003972E9"/>
    <w:rsid w:val="003C6478"/>
    <w:rsid w:val="00426CFD"/>
    <w:rsid w:val="00441B17"/>
    <w:rsid w:val="004826FE"/>
    <w:rsid w:val="0049681D"/>
    <w:rsid w:val="005E27F8"/>
    <w:rsid w:val="00646D05"/>
    <w:rsid w:val="006D5345"/>
    <w:rsid w:val="0076097D"/>
    <w:rsid w:val="008B6A3E"/>
    <w:rsid w:val="008F08AA"/>
    <w:rsid w:val="00946480"/>
    <w:rsid w:val="00955D59"/>
    <w:rsid w:val="00A17D90"/>
    <w:rsid w:val="00A451BA"/>
    <w:rsid w:val="00A66316"/>
    <w:rsid w:val="00C877B7"/>
    <w:rsid w:val="00C91D82"/>
    <w:rsid w:val="00CA0C78"/>
    <w:rsid w:val="00CF2A5B"/>
    <w:rsid w:val="00D52870"/>
    <w:rsid w:val="00DA1422"/>
    <w:rsid w:val="00E0184E"/>
    <w:rsid w:val="00EA1B85"/>
    <w:rsid w:val="00ED16B0"/>
    <w:rsid w:val="00ED73A0"/>
    <w:rsid w:val="00F33D77"/>
    <w:rsid w:val="00FD0531"/>
    <w:rsid w:val="01251F41"/>
    <w:rsid w:val="01305AF9"/>
    <w:rsid w:val="01BC018B"/>
    <w:rsid w:val="02A364B4"/>
    <w:rsid w:val="03466DAF"/>
    <w:rsid w:val="06772E0C"/>
    <w:rsid w:val="08C41E39"/>
    <w:rsid w:val="092E3471"/>
    <w:rsid w:val="098E457E"/>
    <w:rsid w:val="0C821224"/>
    <w:rsid w:val="0CCA2C66"/>
    <w:rsid w:val="0D32484A"/>
    <w:rsid w:val="0D9C5DB7"/>
    <w:rsid w:val="0E37295D"/>
    <w:rsid w:val="0EEA080D"/>
    <w:rsid w:val="0F1B49AC"/>
    <w:rsid w:val="0FBA6EF9"/>
    <w:rsid w:val="120E598F"/>
    <w:rsid w:val="12254A93"/>
    <w:rsid w:val="122E01F5"/>
    <w:rsid w:val="132C048B"/>
    <w:rsid w:val="146658D0"/>
    <w:rsid w:val="15EC1468"/>
    <w:rsid w:val="16616399"/>
    <w:rsid w:val="16695FF8"/>
    <w:rsid w:val="17F762A6"/>
    <w:rsid w:val="18DA6DB2"/>
    <w:rsid w:val="19140610"/>
    <w:rsid w:val="1ABA5495"/>
    <w:rsid w:val="1B301D00"/>
    <w:rsid w:val="1C2D4A07"/>
    <w:rsid w:val="1CE07DCD"/>
    <w:rsid w:val="1E6E2954"/>
    <w:rsid w:val="1EBA5CDF"/>
    <w:rsid w:val="21700CF0"/>
    <w:rsid w:val="232E3B02"/>
    <w:rsid w:val="23636778"/>
    <w:rsid w:val="2434155E"/>
    <w:rsid w:val="24FA0369"/>
    <w:rsid w:val="26011CA1"/>
    <w:rsid w:val="277A58B0"/>
    <w:rsid w:val="2A0630C0"/>
    <w:rsid w:val="2B660242"/>
    <w:rsid w:val="2BB40E81"/>
    <w:rsid w:val="2C1E456E"/>
    <w:rsid w:val="2C4E3489"/>
    <w:rsid w:val="2C7E340A"/>
    <w:rsid w:val="2CD77178"/>
    <w:rsid w:val="2DAA2222"/>
    <w:rsid w:val="2E6D142C"/>
    <w:rsid w:val="2EE83B52"/>
    <w:rsid w:val="31E24995"/>
    <w:rsid w:val="347D6DD6"/>
    <w:rsid w:val="35B65920"/>
    <w:rsid w:val="35C92AF4"/>
    <w:rsid w:val="3742448A"/>
    <w:rsid w:val="38190CFD"/>
    <w:rsid w:val="38541A1F"/>
    <w:rsid w:val="38AA1FC8"/>
    <w:rsid w:val="38C32E54"/>
    <w:rsid w:val="393F308C"/>
    <w:rsid w:val="3A701C9A"/>
    <w:rsid w:val="3B5746DF"/>
    <w:rsid w:val="3C080FEF"/>
    <w:rsid w:val="3C3D4E7C"/>
    <w:rsid w:val="3DBB4E88"/>
    <w:rsid w:val="3E683D47"/>
    <w:rsid w:val="3F204B67"/>
    <w:rsid w:val="3F66114F"/>
    <w:rsid w:val="422D4E74"/>
    <w:rsid w:val="423143D6"/>
    <w:rsid w:val="438A0E5F"/>
    <w:rsid w:val="43E471BF"/>
    <w:rsid w:val="469B38CA"/>
    <w:rsid w:val="46AA6E78"/>
    <w:rsid w:val="4782223A"/>
    <w:rsid w:val="47862C4A"/>
    <w:rsid w:val="47A47F60"/>
    <w:rsid w:val="4AE95C53"/>
    <w:rsid w:val="4B925FFF"/>
    <w:rsid w:val="4BDB00EC"/>
    <w:rsid w:val="4BF918E8"/>
    <w:rsid w:val="4EE0412E"/>
    <w:rsid w:val="50060936"/>
    <w:rsid w:val="5013170C"/>
    <w:rsid w:val="506D3D50"/>
    <w:rsid w:val="50955CD7"/>
    <w:rsid w:val="53747D16"/>
    <w:rsid w:val="53A20178"/>
    <w:rsid w:val="562F3CC9"/>
    <w:rsid w:val="56A828B2"/>
    <w:rsid w:val="5717398E"/>
    <w:rsid w:val="589A776B"/>
    <w:rsid w:val="5AAE6820"/>
    <w:rsid w:val="5B3E0EC2"/>
    <w:rsid w:val="5CAF0AA7"/>
    <w:rsid w:val="5D82582F"/>
    <w:rsid w:val="5EB13F7E"/>
    <w:rsid w:val="5F67192A"/>
    <w:rsid w:val="5FA9191A"/>
    <w:rsid w:val="60195285"/>
    <w:rsid w:val="610F7C66"/>
    <w:rsid w:val="618F466C"/>
    <w:rsid w:val="61951E19"/>
    <w:rsid w:val="61BA65EB"/>
    <w:rsid w:val="63CC1451"/>
    <w:rsid w:val="642533BB"/>
    <w:rsid w:val="64373EFD"/>
    <w:rsid w:val="651128F3"/>
    <w:rsid w:val="65BF183A"/>
    <w:rsid w:val="663F4506"/>
    <w:rsid w:val="66701E1D"/>
    <w:rsid w:val="66741945"/>
    <w:rsid w:val="66F32F8A"/>
    <w:rsid w:val="681E6AF6"/>
    <w:rsid w:val="69D17E02"/>
    <w:rsid w:val="6BC34E59"/>
    <w:rsid w:val="6BD352CF"/>
    <w:rsid w:val="6C6E61BC"/>
    <w:rsid w:val="6C83547B"/>
    <w:rsid w:val="71B514E1"/>
    <w:rsid w:val="71E8399A"/>
    <w:rsid w:val="72105DF0"/>
    <w:rsid w:val="724204BB"/>
    <w:rsid w:val="7520350E"/>
    <w:rsid w:val="75625D7A"/>
    <w:rsid w:val="760E653F"/>
    <w:rsid w:val="78EF1C46"/>
    <w:rsid w:val="79DC3C90"/>
    <w:rsid w:val="7A785DF1"/>
    <w:rsid w:val="7D2B68D6"/>
    <w:rsid w:val="7D8D4555"/>
    <w:rsid w:val="7DA97F51"/>
    <w:rsid w:val="7E98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27"/>
    <w:qFormat/>
    <w:uiPriority w:val="99"/>
    <w:pPr>
      <w:widowControl/>
      <w:jc w:val="left"/>
      <w:outlineLvl w:val="0"/>
    </w:pPr>
    <w:rPr>
      <w:rFonts w:ascii="宋体" w:hAnsi="宋体" w:eastAsia="仿宋_GB2312" w:cs="宋体"/>
      <w:b/>
      <w:bCs/>
      <w:kern w:val="36"/>
      <w:sz w:val="48"/>
      <w:szCs w:val="48"/>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link w:val="26"/>
    <w:unhideWhenUsed/>
    <w:qFormat/>
    <w:uiPriority w:val="99"/>
    <w:pPr>
      <w:spacing w:after="120"/>
    </w:pPr>
  </w:style>
  <w:style w:type="paragraph" w:styleId="6">
    <w:name w:val="Body Text Indent"/>
    <w:basedOn w:val="1"/>
    <w:link w:val="23"/>
    <w:unhideWhenUsed/>
    <w:qFormat/>
    <w:uiPriority w:val="99"/>
    <w:pPr>
      <w:spacing w:after="120"/>
      <w:ind w:left="420" w:leftChars="200"/>
    </w:pPr>
  </w:style>
  <w:style w:type="paragraph" w:styleId="7">
    <w:name w:val="Date"/>
    <w:basedOn w:val="1"/>
    <w:next w:val="1"/>
    <w:link w:val="25"/>
    <w:unhideWhenUsed/>
    <w:qFormat/>
    <w:uiPriority w:val="99"/>
    <w:pPr>
      <w:ind w:left="100" w:leftChars="2500"/>
    </w:pPr>
  </w:style>
  <w:style w:type="paragraph" w:styleId="8">
    <w:name w:val="Balloon Text"/>
    <w:basedOn w:val="1"/>
    <w:link w:val="28"/>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99"/>
    <w:rPr>
      <w:rFonts w:ascii="Times New Roman" w:hAnsi="Times New Roman" w:eastAsia="宋体" w:cs="Times New Roman"/>
      <w:szCs w:val="21"/>
    </w:rPr>
  </w:style>
  <w:style w:type="paragraph" w:styleId="12">
    <w:name w:val="Body Text First Indent 2"/>
    <w:basedOn w:val="6"/>
    <w:link w:val="24"/>
    <w:unhideWhenUsed/>
    <w:qFormat/>
    <w:uiPriority w:val="99"/>
    <w:pPr>
      <w:spacing w:before="100" w:beforeAutospacing="1"/>
      <w:ind w:firstLine="420" w:firstLineChars="200"/>
    </w:pPr>
    <w:rPr>
      <w:rFonts w:ascii="Times New Roman" w:hAnsi="Times New Roman" w:eastAsia="仿宋_GB2312" w:cs="Times New Roman"/>
      <w:sz w:val="32"/>
      <w:szCs w:val="32"/>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_Style 1"/>
    <w:basedOn w:val="1"/>
    <w:qFormat/>
    <w:uiPriority w:val="34"/>
    <w:pPr>
      <w:widowControl/>
      <w:adjustRightInd w:val="0"/>
      <w:snapToGrid w:val="0"/>
      <w:spacing w:after="200"/>
      <w:ind w:firstLine="420" w:firstLineChars="200"/>
      <w:jc w:val="left"/>
      <w:textAlignment w:val="baseline"/>
    </w:pPr>
    <w:rPr>
      <w:rFonts w:ascii="Tahoma" w:hAnsi="Tahoma" w:eastAsia="微软雅黑"/>
      <w:sz w:val="22"/>
    </w:rPr>
  </w:style>
  <w:style w:type="paragraph" w:customStyle="1" w:styleId="18">
    <w:name w:val="Table Paragraph"/>
    <w:basedOn w:val="1"/>
    <w:qFormat/>
    <w:uiPriority w:val="0"/>
    <w:rPr>
      <w:rFonts w:ascii="宋体" w:hAnsi="宋体" w:eastAsia="宋体" w:cs="宋体"/>
      <w:sz w:val="32"/>
      <w:szCs w:val="32"/>
    </w:rPr>
  </w:style>
  <w:style w:type="paragraph" w:customStyle="1" w:styleId="19">
    <w:name w:val="Other|1"/>
    <w:basedOn w:val="1"/>
    <w:qFormat/>
    <w:uiPriority w:val="0"/>
    <w:rPr>
      <w:rFonts w:ascii="宋体" w:hAnsi="宋体" w:eastAsia="宋体" w:cs="宋体"/>
      <w:sz w:val="20"/>
      <w:szCs w:val="20"/>
    </w:rPr>
  </w:style>
  <w:style w:type="paragraph" w:customStyle="1" w:styleId="20">
    <w:name w:val="页脚1"/>
    <w:basedOn w:val="1"/>
    <w:qFormat/>
    <w:uiPriority w:val="0"/>
    <w:pPr>
      <w:tabs>
        <w:tab w:val="center" w:pos="4153"/>
        <w:tab w:val="right" w:pos="8306"/>
      </w:tabs>
      <w:snapToGrid w:val="0"/>
      <w:jc w:val="left"/>
    </w:pPr>
    <w:rPr>
      <w:sz w:val="18"/>
      <w:szCs w:val="18"/>
    </w:r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正文文本缩进 Char"/>
    <w:basedOn w:val="15"/>
    <w:link w:val="6"/>
    <w:semiHidden/>
    <w:qFormat/>
    <w:uiPriority w:val="99"/>
  </w:style>
  <w:style w:type="character" w:customStyle="1" w:styleId="24">
    <w:name w:val="正文首行缩进 2 Char"/>
    <w:basedOn w:val="23"/>
    <w:link w:val="12"/>
    <w:qFormat/>
    <w:uiPriority w:val="99"/>
    <w:rPr>
      <w:rFonts w:ascii="Times New Roman" w:hAnsi="Times New Roman" w:eastAsia="仿宋_GB2312" w:cs="Times New Roman"/>
      <w:sz w:val="32"/>
      <w:szCs w:val="32"/>
    </w:rPr>
  </w:style>
  <w:style w:type="character" w:customStyle="1" w:styleId="25">
    <w:name w:val="日期 Char"/>
    <w:basedOn w:val="15"/>
    <w:link w:val="7"/>
    <w:semiHidden/>
    <w:qFormat/>
    <w:uiPriority w:val="99"/>
  </w:style>
  <w:style w:type="character" w:customStyle="1" w:styleId="26">
    <w:name w:val="正文文本 Char"/>
    <w:basedOn w:val="15"/>
    <w:link w:val="5"/>
    <w:semiHidden/>
    <w:qFormat/>
    <w:uiPriority w:val="99"/>
  </w:style>
  <w:style w:type="character" w:customStyle="1" w:styleId="27">
    <w:name w:val="标题 1 Char"/>
    <w:basedOn w:val="15"/>
    <w:link w:val="3"/>
    <w:qFormat/>
    <w:uiPriority w:val="99"/>
    <w:rPr>
      <w:rFonts w:ascii="宋体" w:hAnsi="宋体" w:eastAsia="仿宋_GB2312" w:cs="宋体"/>
      <w:b/>
      <w:bCs/>
      <w:kern w:val="36"/>
      <w:sz w:val="48"/>
      <w:szCs w:val="48"/>
    </w:rPr>
  </w:style>
  <w:style w:type="character" w:customStyle="1" w:styleId="28">
    <w:name w:val="批注框文本 Char"/>
    <w:basedOn w:val="15"/>
    <w:link w:val="8"/>
    <w:semiHidden/>
    <w:qFormat/>
    <w:uiPriority w:val="99"/>
    <w:rPr>
      <w:sz w:val="18"/>
      <w:szCs w:val="18"/>
    </w:rPr>
  </w:style>
  <w:style w:type="character" w:customStyle="1" w:styleId="29">
    <w:name w:val="NormalCharacter"/>
    <w:semiHidden/>
    <w:qFormat/>
    <w:uiPriority w:val="0"/>
  </w:style>
  <w:style w:type="character" w:customStyle="1" w:styleId="30">
    <w:name w:val="PageNumber"/>
    <w:basedOn w:val="2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43</Words>
  <Characters>250</Characters>
  <Lines>2</Lines>
  <Paragraphs>1</Paragraphs>
  <TotalTime>20</TotalTime>
  <ScaleCrop>false</ScaleCrop>
  <LinksUpToDate>false</LinksUpToDate>
  <CharactersWithSpaces>292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2024-09-03T07:26:00Z</dcterms:created>
  <dc:creator>he haidong</dc:creator>
  <cp:lastModifiedBy>青岛市住房和城乡建设局</cp:lastModifiedBy>
  <cp:lastPrinted>2025-07-25T07:30:00Z</cp:lastPrinted>
  <dcterms:modified xsi:type="dcterms:W3CDTF">2025-07-25T07:59:16Z</dcterms:modified>
  <dc:title>青岛市住房和城乡建设局文件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2ED9F827044A4532A60A89174A72D246_13</vt:lpwstr>
  </property>
</Properties>
</file>