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val="0"/>
          <w:bCs w:val="0"/>
          <w:color w:val="auto"/>
          <w:sz w:val="44"/>
          <w:szCs w:val="44"/>
          <w:lang w:val="en-US" w:eastAsia="zh-CN"/>
        </w:rPr>
      </w:pPr>
      <w:bookmarkStart w:id="24" w:name="_GoBack"/>
      <w:bookmarkEnd w:id="24"/>
    </w:p>
    <w:p>
      <w:pPr>
        <w:jc w:val="center"/>
        <w:rPr>
          <w:rFonts w:hint="eastAsia" w:ascii="仿宋" w:hAnsi="仿宋" w:eastAsia="仿宋" w:cs="仿宋"/>
          <w:b w:val="0"/>
          <w:bCs w:val="0"/>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方正小标宋_GBK" w:hAnsi="方正小标宋_GBK" w:eastAsia="方正小标宋_GBK" w:cs="方正小标宋_GBK"/>
          <w:b w:val="0"/>
          <w:bCs w:val="0"/>
          <w:color w:val="auto"/>
          <w:sz w:val="44"/>
          <w:szCs w:val="44"/>
          <w:lang w:val="en-US" w:eastAsia="zh-CN"/>
        </w:rPr>
      </w:pPr>
      <w:r>
        <w:rPr>
          <w:rFonts w:hint="eastAsia" w:ascii="方正小标宋_GBK" w:hAnsi="方正小标宋_GBK" w:eastAsia="方正小标宋_GBK" w:cs="方正小标宋_GBK"/>
          <w:b w:val="0"/>
          <w:bCs w:val="0"/>
          <w:color w:val="auto"/>
          <w:sz w:val="44"/>
          <w:szCs w:val="44"/>
          <w:lang w:val="en-US" w:eastAsia="zh-CN"/>
        </w:rPr>
        <w:t>青岛市房屋建筑施工安全生产考核</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方正小标宋_GBK" w:hAnsi="方正小标宋_GBK" w:eastAsia="方正小标宋_GBK" w:cs="方正小标宋_GBK"/>
          <w:b w:val="0"/>
          <w:bCs w:val="0"/>
          <w:color w:val="auto"/>
          <w:sz w:val="44"/>
          <w:szCs w:val="44"/>
          <w:lang w:val="en-US" w:eastAsia="zh-CN"/>
        </w:rPr>
      </w:pPr>
      <w:r>
        <w:rPr>
          <w:rFonts w:hint="eastAsia" w:ascii="方正小标宋_GBK" w:hAnsi="方正小标宋_GBK" w:eastAsia="方正小标宋_GBK" w:cs="方正小标宋_GBK"/>
          <w:b w:val="0"/>
          <w:bCs w:val="0"/>
          <w:color w:val="auto"/>
          <w:sz w:val="44"/>
          <w:szCs w:val="44"/>
          <w:lang w:val="en-US" w:eastAsia="zh-CN"/>
        </w:rPr>
        <w:t>管理平台</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方正小标宋_GBK" w:hAnsi="方正小标宋_GBK" w:eastAsia="方正小标宋_GBK" w:cs="方正小标宋_GBK"/>
          <w:b w:val="0"/>
          <w:bCs w:val="0"/>
          <w:color w:val="auto"/>
          <w:sz w:val="44"/>
          <w:szCs w:val="44"/>
          <w:lang w:val="en-US" w:eastAsia="zh-CN"/>
        </w:rPr>
      </w:pPr>
      <w:r>
        <w:rPr>
          <w:rFonts w:hint="eastAsia" w:ascii="方正小标宋_GBK" w:hAnsi="方正小标宋_GBK" w:eastAsia="方正小标宋_GBK" w:cs="方正小标宋_GBK"/>
          <w:b w:val="0"/>
          <w:bCs w:val="0"/>
          <w:color w:val="auto"/>
          <w:sz w:val="44"/>
          <w:szCs w:val="44"/>
          <w:lang w:val="en-US" w:eastAsia="zh-CN"/>
        </w:rPr>
        <w:t>操作使用手册（主管部门端）</w:t>
      </w:r>
    </w:p>
    <w:p>
      <w:pPr>
        <w:jc w:val="center"/>
        <w:rPr>
          <w:rFonts w:hint="eastAsia" w:ascii="仿宋" w:hAnsi="仿宋" w:eastAsia="仿宋" w:cs="仿宋"/>
          <w:color w:val="auto"/>
          <w:sz w:val="44"/>
          <w:szCs w:val="44"/>
        </w:rPr>
      </w:pPr>
    </w:p>
    <w:p>
      <w:pPr>
        <w:jc w:val="center"/>
        <w:rPr>
          <w:rFonts w:hint="eastAsia" w:ascii="仿宋" w:hAnsi="仿宋" w:eastAsia="仿宋" w:cs="仿宋"/>
          <w:color w:val="auto"/>
          <w:sz w:val="44"/>
          <w:szCs w:val="44"/>
        </w:rPr>
      </w:pPr>
    </w:p>
    <w:p>
      <w:pPr>
        <w:jc w:val="center"/>
        <w:rPr>
          <w:rFonts w:hint="eastAsia" w:ascii="仿宋" w:hAnsi="仿宋" w:eastAsia="仿宋" w:cs="仿宋"/>
          <w:color w:val="auto"/>
          <w:sz w:val="44"/>
          <w:szCs w:val="44"/>
        </w:rPr>
      </w:pPr>
    </w:p>
    <w:p>
      <w:pPr>
        <w:jc w:val="center"/>
        <w:rPr>
          <w:rFonts w:hint="eastAsia" w:ascii="仿宋" w:hAnsi="仿宋" w:eastAsia="仿宋" w:cs="仿宋"/>
          <w:color w:val="auto"/>
          <w:sz w:val="44"/>
          <w:szCs w:val="44"/>
        </w:rPr>
      </w:pPr>
    </w:p>
    <w:p>
      <w:pPr>
        <w:jc w:val="center"/>
        <w:rPr>
          <w:rFonts w:hint="eastAsia" w:ascii="仿宋" w:hAnsi="仿宋" w:eastAsia="仿宋" w:cs="仿宋"/>
          <w:color w:val="auto"/>
          <w:sz w:val="44"/>
          <w:szCs w:val="44"/>
        </w:rPr>
      </w:pPr>
    </w:p>
    <w:p>
      <w:pPr>
        <w:jc w:val="center"/>
        <w:rPr>
          <w:rFonts w:hint="eastAsia" w:ascii="仿宋" w:hAnsi="仿宋" w:eastAsia="仿宋" w:cs="仿宋"/>
          <w:color w:val="auto"/>
          <w:sz w:val="44"/>
          <w:szCs w:val="44"/>
        </w:rPr>
      </w:pPr>
    </w:p>
    <w:p>
      <w:pPr>
        <w:jc w:val="center"/>
        <w:rPr>
          <w:rFonts w:hint="eastAsia" w:ascii="仿宋" w:hAnsi="仿宋" w:eastAsia="仿宋" w:cs="仿宋"/>
          <w:color w:val="auto"/>
          <w:sz w:val="32"/>
          <w:szCs w:val="32"/>
          <w:lang w:val="en-US" w:eastAsia="zh-CN"/>
        </w:rPr>
      </w:pPr>
    </w:p>
    <w:p>
      <w:pPr>
        <w:jc w:val="center"/>
        <w:rPr>
          <w:rFonts w:hint="eastAsia" w:ascii="仿宋" w:hAnsi="仿宋" w:eastAsia="仿宋" w:cs="仿宋"/>
          <w:color w:val="auto"/>
          <w:sz w:val="32"/>
          <w:szCs w:val="32"/>
          <w:lang w:val="en-US" w:eastAsia="zh-CN"/>
        </w:rPr>
      </w:pPr>
    </w:p>
    <w:p>
      <w:pPr>
        <w:jc w:val="center"/>
        <w:rPr>
          <w:rFonts w:hint="eastAsia" w:ascii="仿宋" w:hAnsi="仿宋" w:eastAsia="仿宋" w:cs="仿宋"/>
          <w:color w:val="auto"/>
          <w:sz w:val="32"/>
          <w:szCs w:val="32"/>
          <w:lang w:val="en-US" w:eastAsia="zh-CN"/>
        </w:rPr>
      </w:pPr>
    </w:p>
    <w:p>
      <w:pPr>
        <w:jc w:val="center"/>
        <w:rPr>
          <w:rFonts w:hint="eastAsia" w:ascii="仿宋" w:hAnsi="仿宋" w:eastAsia="仿宋" w:cs="仿宋"/>
          <w:color w:val="auto"/>
          <w:sz w:val="32"/>
          <w:szCs w:val="32"/>
          <w:lang w:val="en-US" w:eastAsia="zh-CN"/>
        </w:rPr>
      </w:pPr>
    </w:p>
    <w:p>
      <w:pPr>
        <w:jc w:val="center"/>
        <w:rPr>
          <w:rFonts w:hint="eastAsia" w:ascii="方正小标宋_GBK" w:hAnsi="方正小标宋_GBK" w:eastAsia="方正小标宋_GBK" w:cs="方正小标宋_GBK"/>
          <w:color w:val="auto"/>
          <w:sz w:val="32"/>
          <w:szCs w:val="32"/>
          <w:lang w:val="en-US" w:eastAsia="zh-CN"/>
        </w:rPr>
      </w:pPr>
      <w:r>
        <w:rPr>
          <w:rFonts w:hint="eastAsia" w:ascii="方正小标宋_GBK" w:hAnsi="方正小标宋_GBK" w:eastAsia="方正小标宋_GBK" w:cs="方正小标宋_GBK"/>
          <w:color w:val="auto"/>
          <w:sz w:val="32"/>
          <w:szCs w:val="32"/>
          <w:lang w:val="en-US" w:eastAsia="zh-CN"/>
        </w:rPr>
        <w:t>青岛市住房和城乡建设局</w:t>
      </w:r>
    </w:p>
    <w:p>
      <w:pPr>
        <w:jc w:val="center"/>
        <w:rPr>
          <w:rFonts w:hint="eastAsia" w:ascii="方正小标宋_GBK" w:hAnsi="方正小标宋_GBK" w:eastAsia="方正小标宋_GBK" w:cs="方正小标宋_GBK"/>
          <w:color w:val="auto"/>
          <w:sz w:val="32"/>
          <w:szCs w:val="32"/>
          <w:lang w:val="en-US" w:eastAsia="zh-CN"/>
        </w:rPr>
      </w:pPr>
      <w:r>
        <w:rPr>
          <w:rFonts w:hint="eastAsia" w:ascii="方正小标宋_GBK" w:hAnsi="方正小标宋_GBK" w:eastAsia="方正小标宋_GBK" w:cs="方正小标宋_GBK"/>
          <w:color w:val="auto"/>
          <w:sz w:val="32"/>
          <w:szCs w:val="32"/>
          <w:lang w:val="en-US" w:eastAsia="zh-CN"/>
        </w:rPr>
        <w:t>青岛市建筑施工安全监督站</w:t>
      </w:r>
    </w:p>
    <w:p>
      <w:pPr>
        <w:jc w:val="center"/>
        <w:rPr>
          <w:rFonts w:hint="eastAsia" w:ascii="方正小标宋_GBK" w:hAnsi="方正小标宋_GBK" w:eastAsia="方正小标宋_GBK" w:cs="方正小标宋_GBK"/>
          <w:color w:val="auto"/>
          <w:sz w:val="32"/>
          <w:szCs w:val="32"/>
          <w:lang w:val="en-US" w:eastAsia="zh-CN"/>
        </w:rPr>
      </w:pPr>
      <w:r>
        <w:rPr>
          <w:rFonts w:hint="eastAsia" w:ascii="方正小标宋_GBK" w:hAnsi="方正小标宋_GBK" w:eastAsia="方正小标宋_GBK" w:cs="方正小标宋_GBK"/>
          <w:color w:val="auto"/>
          <w:sz w:val="32"/>
          <w:szCs w:val="32"/>
          <w:lang w:val="en-US" w:eastAsia="zh-CN"/>
        </w:rPr>
        <w:t>青岛市勘察测绘研究院</w:t>
      </w:r>
    </w:p>
    <w:p>
      <w:pPr>
        <w:jc w:val="center"/>
        <w:rPr>
          <w:rFonts w:hint="eastAsia" w:ascii="方正小标宋_GBK" w:hAnsi="方正小标宋_GBK" w:eastAsia="方正小标宋_GBK" w:cs="方正小标宋_GBK"/>
          <w:color w:val="auto"/>
          <w:sz w:val="32"/>
          <w:szCs w:val="32"/>
          <w:lang w:val="en-US" w:eastAsia="zh-CN"/>
        </w:rPr>
        <w:sectPr>
          <w:headerReference r:id="rId3" w:type="default"/>
          <w:pgSz w:w="11906" w:h="16838"/>
          <w:pgMar w:top="1440" w:right="1800" w:bottom="1440" w:left="1800" w:header="851" w:footer="992" w:gutter="0"/>
          <w:pgNumType w:fmt="decimal"/>
          <w:cols w:space="720" w:num="1"/>
          <w:docGrid w:type="lines" w:linePitch="312" w:charSpace="0"/>
        </w:sectPr>
      </w:pPr>
      <w:r>
        <w:rPr>
          <w:rFonts w:hint="eastAsia" w:ascii="方正小标宋_GBK" w:hAnsi="方正小标宋_GBK" w:eastAsia="方正小标宋_GBK" w:cs="方正小标宋_GBK"/>
          <w:color w:val="auto"/>
          <w:sz w:val="32"/>
          <w:szCs w:val="32"/>
          <w:lang w:val="en-US" w:eastAsia="zh-CN"/>
        </w:rPr>
        <w:t>2025年6月</w:t>
      </w:r>
    </w:p>
    <w:sdt>
      <w:sdtPr>
        <w:rPr>
          <w:rFonts w:hint="eastAsia" w:ascii="仿宋" w:hAnsi="仿宋" w:eastAsia="仿宋" w:cs="仿宋"/>
          <w:kern w:val="2"/>
          <w:sz w:val="21"/>
          <w:szCs w:val="24"/>
          <w:lang w:val="en-US" w:eastAsia="zh-CN" w:bidi="ar-SA"/>
        </w:rPr>
        <w:id w:val="147479717"/>
        <w15:color w:val="DBDBDB"/>
        <w:docPartObj>
          <w:docPartGallery w:val="Table of Contents"/>
          <w:docPartUnique/>
        </w:docPartObj>
      </w:sdtPr>
      <w:sdtEndPr>
        <w:rPr>
          <w:rFonts w:hint="eastAsia" w:ascii="仿宋" w:hAnsi="仿宋" w:eastAsia="仿宋" w:cs="仿宋"/>
          <w:kern w:val="2"/>
          <w:sz w:val="30"/>
          <w:szCs w:val="30"/>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center"/>
            <w:textAlignment w:val="auto"/>
            <w:rPr>
              <w:rFonts w:hint="eastAsia" w:ascii="仿宋" w:hAnsi="仿宋" w:eastAsia="仿宋" w:cs="仿宋"/>
              <w:b/>
              <w:bCs/>
            </w:rPr>
          </w:pPr>
          <w:r>
            <w:rPr>
              <w:rFonts w:hint="eastAsia" w:ascii="仿宋" w:hAnsi="仿宋" w:eastAsia="仿宋" w:cs="仿宋"/>
              <w:b/>
              <w:bCs/>
              <w:sz w:val="32"/>
              <w:szCs w:val="32"/>
            </w:rPr>
            <w:t>目</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录</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36"/>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TOC \o "1-4" \h \u </w:instrText>
          </w:r>
          <w:r>
            <w:rPr>
              <w:rFonts w:hint="eastAsia" w:ascii="仿宋" w:hAnsi="仿宋" w:eastAsia="仿宋" w:cs="仿宋"/>
              <w:sz w:val="30"/>
              <w:szCs w:val="30"/>
            </w:rPr>
            <w:fldChar w:fldCharType="separate"/>
          </w:r>
          <w:r>
            <w:rPr>
              <w:rFonts w:hint="eastAsia" w:ascii="仿宋_GB2312" w:hAnsi="仿宋_GB2312" w:eastAsia="仿宋_GB2312" w:cs="仿宋_GB2312"/>
              <w:sz w:val="28"/>
              <w:szCs w:val="40"/>
            </w:rPr>
            <w:fldChar w:fldCharType="begin"/>
          </w:r>
          <w:r>
            <w:rPr>
              <w:rFonts w:hint="eastAsia" w:ascii="仿宋_GB2312" w:hAnsi="仿宋_GB2312" w:eastAsia="仿宋_GB2312" w:cs="仿宋_GB2312"/>
              <w:sz w:val="28"/>
              <w:szCs w:val="40"/>
            </w:rPr>
            <w:instrText xml:space="preserve"> HYPERLINK \l _Toc17719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sz w:val="28"/>
              <w:szCs w:val="44"/>
              <w:lang w:val="en-US" w:eastAsia="zh-CN"/>
            </w:rPr>
            <w:t>1. 系统介绍</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_Toc17719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1</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sz w:val="28"/>
              <w:szCs w:val="40"/>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36"/>
            </w:rPr>
          </w:pPr>
          <w:r>
            <w:rPr>
              <w:rFonts w:hint="eastAsia" w:ascii="仿宋_GB2312" w:hAnsi="仿宋_GB2312" w:eastAsia="仿宋_GB2312" w:cs="仿宋_GB2312"/>
              <w:sz w:val="28"/>
              <w:szCs w:val="40"/>
            </w:rPr>
            <w:fldChar w:fldCharType="begin"/>
          </w:r>
          <w:r>
            <w:rPr>
              <w:rFonts w:hint="eastAsia" w:ascii="仿宋_GB2312" w:hAnsi="仿宋_GB2312" w:eastAsia="仿宋_GB2312" w:cs="仿宋_GB2312"/>
              <w:sz w:val="28"/>
              <w:szCs w:val="40"/>
            </w:rPr>
            <w:instrText xml:space="preserve"> HYPERLINK \l _Toc8106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sz w:val="28"/>
              <w:szCs w:val="44"/>
              <w:lang w:val="en-US" w:eastAsia="zh-CN"/>
            </w:rPr>
            <w:t>2. 系统操作</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_Toc8106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1</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sz w:val="28"/>
              <w:szCs w:val="40"/>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36"/>
            </w:rPr>
          </w:pPr>
          <w:r>
            <w:rPr>
              <w:rFonts w:hint="eastAsia" w:ascii="仿宋_GB2312" w:hAnsi="仿宋_GB2312" w:eastAsia="仿宋_GB2312" w:cs="仿宋_GB2312"/>
              <w:sz w:val="28"/>
              <w:szCs w:val="40"/>
            </w:rPr>
            <w:fldChar w:fldCharType="begin"/>
          </w:r>
          <w:r>
            <w:rPr>
              <w:rFonts w:hint="eastAsia" w:ascii="仿宋_GB2312" w:hAnsi="仿宋_GB2312" w:eastAsia="仿宋_GB2312" w:cs="仿宋_GB2312"/>
              <w:sz w:val="28"/>
              <w:szCs w:val="40"/>
            </w:rPr>
            <w:instrText xml:space="preserve"> HYPERLINK \l _Toc2011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bCs/>
              <w:sz w:val="28"/>
              <w:szCs w:val="44"/>
              <w:lang w:val="en-US" w:eastAsia="zh-CN"/>
            </w:rPr>
            <w:t>2.1. 系统登录</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_Toc2011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1</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sz w:val="28"/>
              <w:szCs w:val="40"/>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36"/>
            </w:rPr>
          </w:pPr>
          <w:r>
            <w:rPr>
              <w:rFonts w:hint="eastAsia" w:ascii="仿宋_GB2312" w:hAnsi="仿宋_GB2312" w:eastAsia="仿宋_GB2312" w:cs="仿宋_GB2312"/>
              <w:sz w:val="28"/>
              <w:szCs w:val="40"/>
            </w:rPr>
            <w:fldChar w:fldCharType="begin"/>
          </w:r>
          <w:r>
            <w:rPr>
              <w:rFonts w:hint="eastAsia" w:ascii="仿宋_GB2312" w:hAnsi="仿宋_GB2312" w:eastAsia="仿宋_GB2312" w:cs="仿宋_GB2312"/>
              <w:sz w:val="28"/>
              <w:szCs w:val="40"/>
            </w:rPr>
            <w:instrText xml:space="preserve"> HYPERLINK \l _Toc31704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sz w:val="28"/>
              <w:szCs w:val="44"/>
              <w:lang w:val="en-US" w:eastAsia="zh-CN"/>
            </w:rPr>
            <w:t xml:space="preserve">2.2. </w:t>
          </w:r>
          <w:r>
            <w:rPr>
              <w:rFonts w:hint="eastAsia" w:ascii="仿宋_GB2312" w:hAnsi="仿宋_GB2312" w:eastAsia="仿宋_GB2312" w:cs="仿宋_GB2312"/>
              <w:bCs/>
              <w:sz w:val="28"/>
              <w:szCs w:val="44"/>
              <w:lang w:val="en-US" w:eastAsia="zh-CN"/>
            </w:rPr>
            <w:t>监督员</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_Toc31704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3</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sz w:val="28"/>
              <w:szCs w:val="40"/>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36"/>
            </w:rPr>
          </w:pPr>
          <w:r>
            <w:rPr>
              <w:rFonts w:hint="eastAsia" w:ascii="仿宋_GB2312" w:hAnsi="仿宋_GB2312" w:eastAsia="仿宋_GB2312" w:cs="仿宋_GB2312"/>
              <w:sz w:val="28"/>
              <w:szCs w:val="40"/>
            </w:rPr>
            <w:fldChar w:fldCharType="begin"/>
          </w:r>
          <w:r>
            <w:rPr>
              <w:rFonts w:hint="eastAsia" w:ascii="仿宋_GB2312" w:hAnsi="仿宋_GB2312" w:eastAsia="仿宋_GB2312" w:cs="仿宋_GB2312"/>
              <w:sz w:val="28"/>
              <w:szCs w:val="40"/>
            </w:rPr>
            <w:instrText xml:space="preserve"> HYPERLINK \l _Toc8357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bCs/>
              <w:sz w:val="28"/>
              <w:szCs w:val="44"/>
              <w:lang w:val="en-US" w:eastAsia="zh-CN"/>
            </w:rPr>
            <w:t>2.2.1. 项目安全生产条件考核</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_Toc8357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3</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sz w:val="28"/>
              <w:szCs w:val="40"/>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36"/>
            </w:rPr>
          </w:pPr>
          <w:r>
            <w:rPr>
              <w:rFonts w:hint="eastAsia" w:ascii="仿宋_GB2312" w:hAnsi="仿宋_GB2312" w:eastAsia="仿宋_GB2312" w:cs="仿宋_GB2312"/>
              <w:sz w:val="28"/>
              <w:szCs w:val="40"/>
            </w:rPr>
            <w:fldChar w:fldCharType="begin"/>
          </w:r>
          <w:r>
            <w:rPr>
              <w:rFonts w:hint="eastAsia" w:ascii="仿宋_GB2312" w:hAnsi="仿宋_GB2312" w:eastAsia="仿宋_GB2312" w:cs="仿宋_GB2312"/>
              <w:sz w:val="28"/>
              <w:szCs w:val="40"/>
            </w:rPr>
            <w:instrText xml:space="preserve"> HYPERLINK \l _Toc23714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bCs/>
              <w:sz w:val="28"/>
              <w:szCs w:val="44"/>
              <w:lang w:val="en-US" w:eastAsia="zh-CN"/>
            </w:rPr>
            <w:t>2.2.1.1. 项目评价</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_Toc23714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3</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sz w:val="28"/>
              <w:szCs w:val="40"/>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36"/>
            </w:rPr>
          </w:pPr>
          <w:r>
            <w:rPr>
              <w:rFonts w:hint="eastAsia" w:ascii="仿宋_GB2312" w:hAnsi="仿宋_GB2312" w:eastAsia="仿宋_GB2312" w:cs="仿宋_GB2312"/>
              <w:sz w:val="28"/>
              <w:szCs w:val="40"/>
            </w:rPr>
            <w:fldChar w:fldCharType="begin"/>
          </w:r>
          <w:r>
            <w:rPr>
              <w:rFonts w:hint="eastAsia" w:ascii="仿宋_GB2312" w:hAnsi="仿宋_GB2312" w:eastAsia="仿宋_GB2312" w:cs="仿宋_GB2312"/>
              <w:sz w:val="28"/>
              <w:szCs w:val="40"/>
            </w:rPr>
            <w:instrText xml:space="preserve"> HYPERLINK \l _Toc25450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bCs/>
              <w:sz w:val="28"/>
              <w:szCs w:val="44"/>
              <w:lang w:val="en-US" w:eastAsia="zh-CN"/>
            </w:rPr>
            <w:t>2.2.1.2. 评价记录</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_Toc25450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5</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sz w:val="28"/>
              <w:szCs w:val="40"/>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36"/>
            </w:rPr>
          </w:pPr>
          <w:r>
            <w:rPr>
              <w:rFonts w:hint="eastAsia" w:ascii="仿宋_GB2312" w:hAnsi="仿宋_GB2312" w:eastAsia="仿宋_GB2312" w:cs="仿宋_GB2312"/>
              <w:sz w:val="28"/>
              <w:szCs w:val="40"/>
            </w:rPr>
            <w:fldChar w:fldCharType="begin"/>
          </w:r>
          <w:r>
            <w:rPr>
              <w:rFonts w:hint="eastAsia" w:ascii="仿宋_GB2312" w:hAnsi="仿宋_GB2312" w:eastAsia="仿宋_GB2312" w:cs="仿宋_GB2312"/>
              <w:sz w:val="28"/>
              <w:szCs w:val="40"/>
            </w:rPr>
            <w:instrText xml:space="preserve"> HYPERLINK \l _Toc12551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bCs/>
              <w:sz w:val="28"/>
              <w:szCs w:val="44"/>
              <w:lang w:val="en-US" w:eastAsia="zh-CN"/>
            </w:rPr>
            <w:t>2.3. 市安监站/区（市）主管部门</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_Toc12551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5</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sz w:val="28"/>
              <w:szCs w:val="40"/>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36"/>
            </w:rPr>
          </w:pPr>
          <w:r>
            <w:rPr>
              <w:rFonts w:hint="eastAsia" w:ascii="仿宋_GB2312" w:hAnsi="仿宋_GB2312" w:eastAsia="仿宋_GB2312" w:cs="仿宋_GB2312"/>
              <w:sz w:val="28"/>
              <w:szCs w:val="40"/>
            </w:rPr>
            <w:fldChar w:fldCharType="begin"/>
          </w:r>
          <w:r>
            <w:rPr>
              <w:rFonts w:hint="eastAsia" w:ascii="仿宋_GB2312" w:hAnsi="仿宋_GB2312" w:eastAsia="仿宋_GB2312" w:cs="仿宋_GB2312"/>
              <w:sz w:val="28"/>
              <w:szCs w:val="40"/>
            </w:rPr>
            <w:instrText xml:space="preserve"> HYPERLINK \l _Toc11204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bCs/>
              <w:sz w:val="28"/>
              <w:szCs w:val="44"/>
              <w:lang w:val="en-US" w:eastAsia="zh-CN"/>
            </w:rPr>
            <w:t>2.3.1. 三项基础考核</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_Toc11204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5</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sz w:val="28"/>
              <w:szCs w:val="40"/>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36"/>
            </w:rPr>
          </w:pPr>
          <w:r>
            <w:rPr>
              <w:rFonts w:hint="eastAsia" w:ascii="仿宋_GB2312" w:hAnsi="仿宋_GB2312" w:eastAsia="仿宋_GB2312" w:cs="仿宋_GB2312"/>
              <w:sz w:val="28"/>
              <w:szCs w:val="40"/>
            </w:rPr>
            <w:fldChar w:fldCharType="begin"/>
          </w:r>
          <w:r>
            <w:rPr>
              <w:rFonts w:hint="eastAsia" w:ascii="仿宋_GB2312" w:hAnsi="仿宋_GB2312" w:eastAsia="仿宋_GB2312" w:cs="仿宋_GB2312"/>
              <w:sz w:val="28"/>
              <w:szCs w:val="40"/>
            </w:rPr>
            <w:instrText xml:space="preserve"> HYPERLINK \l _Toc13440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bCs/>
              <w:sz w:val="28"/>
              <w:szCs w:val="44"/>
              <w:lang w:val="en-US" w:eastAsia="zh-CN"/>
            </w:rPr>
            <w:t>2.3.1.1. 企业一般安全生产条件动态考核</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_Toc13440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5</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sz w:val="28"/>
              <w:szCs w:val="40"/>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36"/>
            </w:rPr>
          </w:pPr>
          <w:r>
            <w:rPr>
              <w:rFonts w:hint="eastAsia" w:ascii="仿宋_GB2312" w:hAnsi="仿宋_GB2312" w:eastAsia="仿宋_GB2312" w:cs="仿宋_GB2312"/>
              <w:sz w:val="28"/>
              <w:szCs w:val="40"/>
            </w:rPr>
            <w:fldChar w:fldCharType="begin"/>
          </w:r>
          <w:r>
            <w:rPr>
              <w:rFonts w:hint="eastAsia" w:ascii="仿宋_GB2312" w:hAnsi="仿宋_GB2312" w:eastAsia="仿宋_GB2312" w:cs="仿宋_GB2312"/>
              <w:sz w:val="28"/>
              <w:szCs w:val="40"/>
            </w:rPr>
            <w:instrText xml:space="preserve"> HYPERLINK \l _Toc1130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bCs/>
              <w:sz w:val="28"/>
              <w:szCs w:val="44"/>
              <w:lang w:val="en-US" w:eastAsia="zh-CN"/>
            </w:rPr>
            <w:t>2.3.1.2. 安全生产总监专项考核</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_Toc1130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7</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sz w:val="28"/>
              <w:szCs w:val="40"/>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36"/>
            </w:rPr>
          </w:pPr>
          <w:r>
            <w:rPr>
              <w:rFonts w:hint="eastAsia" w:ascii="仿宋_GB2312" w:hAnsi="仿宋_GB2312" w:eastAsia="仿宋_GB2312" w:cs="仿宋_GB2312"/>
              <w:sz w:val="28"/>
              <w:szCs w:val="40"/>
            </w:rPr>
            <w:fldChar w:fldCharType="begin"/>
          </w:r>
          <w:r>
            <w:rPr>
              <w:rFonts w:hint="eastAsia" w:ascii="仿宋_GB2312" w:hAnsi="仿宋_GB2312" w:eastAsia="仿宋_GB2312" w:cs="仿宋_GB2312"/>
              <w:sz w:val="28"/>
              <w:szCs w:val="40"/>
            </w:rPr>
            <w:instrText xml:space="preserve"> HYPERLINK \l _Toc6015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bCs/>
              <w:sz w:val="28"/>
              <w:szCs w:val="44"/>
              <w:lang w:val="en-US" w:eastAsia="zh-CN"/>
            </w:rPr>
            <w:t>2.3.1.3. 项目安全生产条件考核</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_Toc6015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8</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sz w:val="28"/>
              <w:szCs w:val="40"/>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36"/>
            </w:rPr>
          </w:pPr>
          <w:r>
            <w:rPr>
              <w:rFonts w:hint="eastAsia" w:ascii="仿宋_GB2312" w:hAnsi="仿宋_GB2312" w:eastAsia="仿宋_GB2312" w:cs="仿宋_GB2312"/>
              <w:sz w:val="28"/>
              <w:szCs w:val="40"/>
            </w:rPr>
            <w:fldChar w:fldCharType="begin"/>
          </w:r>
          <w:r>
            <w:rPr>
              <w:rFonts w:hint="eastAsia" w:ascii="仿宋_GB2312" w:hAnsi="仿宋_GB2312" w:eastAsia="仿宋_GB2312" w:cs="仿宋_GB2312"/>
              <w:sz w:val="28"/>
              <w:szCs w:val="40"/>
            </w:rPr>
            <w:instrText xml:space="preserve"> HYPERLINK \l _Toc21044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bCs/>
              <w:sz w:val="28"/>
              <w:szCs w:val="44"/>
              <w:lang w:val="en-US" w:eastAsia="zh-CN"/>
            </w:rPr>
            <w:t>2.3.1.4. 日常考核管理</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_Toc21044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9</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sz w:val="28"/>
              <w:szCs w:val="40"/>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36"/>
            </w:rPr>
          </w:pPr>
          <w:r>
            <w:rPr>
              <w:rFonts w:hint="eastAsia" w:ascii="仿宋_GB2312" w:hAnsi="仿宋_GB2312" w:eastAsia="仿宋_GB2312" w:cs="仿宋_GB2312"/>
              <w:sz w:val="28"/>
              <w:szCs w:val="40"/>
            </w:rPr>
            <w:fldChar w:fldCharType="begin"/>
          </w:r>
          <w:r>
            <w:rPr>
              <w:rFonts w:hint="eastAsia" w:ascii="仿宋_GB2312" w:hAnsi="仿宋_GB2312" w:eastAsia="仿宋_GB2312" w:cs="仿宋_GB2312"/>
              <w:sz w:val="28"/>
              <w:szCs w:val="40"/>
            </w:rPr>
            <w:instrText xml:space="preserve"> HYPERLINK \l _Toc4332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bCs/>
              <w:sz w:val="28"/>
              <w:szCs w:val="44"/>
              <w:lang w:val="en-US" w:eastAsia="zh-CN"/>
            </w:rPr>
            <w:t>2.3.2. 考核评价</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_Toc4332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10</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sz w:val="28"/>
              <w:szCs w:val="40"/>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36"/>
            </w:rPr>
          </w:pPr>
          <w:r>
            <w:rPr>
              <w:rFonts w:hint="eastAsia" w:ascii="仿宋_GB2312" w:hAnsi="仿宋_GB2312" w:eastAsia="仿宋_GB2312" w:cs="仿宋_GB2312"/>
              <w:sz w:val="28"/>
              <w:szCs w:val="40"/>
            </w:rPr>
            <w:fldChar w:fldCharType="begin"/>
          </w:r>
          <w:r>
            <w:rPr>
              <w:rFonts w:hint="eastAsia" w:ascii="仿宋_GB2312" w:hAnsi="仿宋_GB2312" w:eastAsia="仿宋_GB2312" w:cs="仿宋_GB2312"/>
              <w:sz w:val="28"/>
              <w:szCs w:val="40"/>
            </w:rPr>
            <w:instrText xml:space="preserve"> HYPERLINK \l _Toc26669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bCs/>
              <w:sz w:val="28"/>
              <w:szCs w:val="44"/>
              <w:lang w:val="en-US" w:eastAsia="zh-CN"/>
            </w:rPr>
            <w:t>2.3.2.1. 企业安全总监考核</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_Toc26669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11</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sz w:val="28"/>
              <w:szCs w:val="40"/>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36"/>
            </w:rPr>
          </w:pPr>
          <w:r>
            <w:rPr>
              <w:rFonts w:hint="eastAsia" w:ascii="仿宋_GB2312" w:hAnsi="仿宋_GB2312" w:eastAsia="仿宋_GB2312" w:cs="仿宋_GB2312"/>
              <w:sz w:val="28"/>
              <w:szCs w:val="40"/>
            </w:rPr>
            <w:fldChar w:fldCharType="begin"/>
          </w:r>
          <w:r>
            <w:rPr>
              <w:rFonts w:hint="eastAsia" w:ascii="仿宋_GB2312" w:hAnsi="仿宋_GB2312" w:eastAsia="仿宋_GB2312" w:cs="仿宋_GB2312"/>
              <w:sz w:val="28"/>
              <w:szCs w:val="40"/>
            </w:rPr>
            <w:instrText xml:space="preserve"> HYPERLINK \l _Toc18523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bCs/>
              <w:sz w:val="28"/>
              <w:szCs w:val="44"/>
              <w:lang w:val="en-US" w:eastAsia="zh-CN"/>
            </w:rPr>
            <w:t>2.3.2.2. 安全生产许可证动态考核</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_Toc18523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12</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sz w:val="28"/>
              <w:szCs w:val="40"/>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36"/>
            </w:rPr>
          </w:pPr>
          <w:r>
            <w:rPr>
              <w:rFonts w:hint="eastAsia" w:ascii="仿宋_GB2312" w:hAnsi="仿宋_GB2312" w:eastAsia="仿宋_GB2312" w:cs="仿宋_GB2312"/>
              <w:sz w:val="28"/>
              <w:szCs w:val="40"/>
            </w:rPr>
            <w:fldChar w:fldCharType="begin"/>
          </w:r>
          <w:r>
            <w:rPr>
              <w:rFonts w:hint="eastAsia" w:ascii="仿宋_GB2312" w:hAnsi="仿宋_GB2312" w:eastAsia="仿宋_GB2312" w:cs="仿宋_GB2312"/>
              <w:sz w:val="28"/>
              <w:szCs w:val="40"/>
            </w:rPr>
            <w:instrText xml:space="preserve"> HYPERLINK \l _Toc21871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bCs/>
              <w:sz w:val="28"/>
              <w:szCs w:val="44"/>
              <w:lang w:val="en-US" w:eastAsia="zh-CN"/>
            </w:rPr>
            <w:t>2.3.2.3. 施工企业监管等次评定</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_Toc21871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13</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sz w:val="28"/>
              <w:szCs w:val="40"/>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36"/>
            </w:rPr>
          </w:pPr>
          <w:r>
            <w:rPr>
              <w:rFonts w:hint="eastAsia" w:ascii="仿宋_GB2312" w:hAnsi="仿宋_GB2312" w:eastAsia="仿宋_GB2312" w:cs="仿宋_GB2312"/>
              <w:sz w:val="28"/>
              <w:szCs w:val="40"/>
            </w:rPr>
            <w:fldChar w:fldCharType="begin"/>
          </w:r>
          <w:r>
            <w:rPr>
              <w:rFonts w:hint="eastAsia" w:ascii="仿宋_GB2312" w:hAnsi="仿宋_GB2312" w:eastAsia="仿宋_GB2312" w:cs="仿宋_GB2312"/>
              <w:sz w:val="28"/>
              <w:szCs w:val="40"/>
            </w:rPr>
            <w:instrText xml:space="preserve"> HYPERLINK \l _Toc18189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bCs/>
              <w:sz w:val="28"/>
              <w:szCs w:val="44"/>
              <w:lang w:val="en-US" w:eastAsia="zh-CN"/>
            </w:rPr>
            <w:t>2.3.2.4. 工程项目等次评定</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_Toc18189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14</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sz w:val="28"/>
              <w:szCs w:val="40"/>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36"/>
            </w:rPr>
          </w:pPr>
          <w:r>
            <w:rPr>
              <w:rFonts w:hint="eastAsia" w:ascii="仿宋_GB2312" w:hAnsi="仿宋_GB2312" w:eastAsia="仿宋_GB2312" w:cs="仿宋_GB2312"/>
              <w:sz w:val="28"/>
              <w:szCs w:val="40"/>
            </w:rPr>
            <w:fldChar w:fldCharType="begin"/>
          </w:r>
          <w:r>
            <w:rPr>
              <w:rFonts w:hint="eastAsia" w:ascii="仿宋_GB2312" w:hAnsi="仿宋_GB2312" w:eastAsia="仿宋_GB2312" w:cs="仿宋_GB2312"/>
              <w:sz w:val="28"/>
              <w:szCs w:val="40"/>
            </w:rPr>
            <w:instrText xml:space="preserve"> HYPERLINK \l _Toc661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sz w:val="28"/>
              <w:szCs w:val="44"/>
              <w:lang w:val="en-US" w:eastAsia="zh-CN"/>
            </w:rPr>
            <w:t>3. 技术支持</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_Toc661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15</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sz w:val="28"/>
              <w:szCs w:val="40"/>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36"/>
            </w:rPr>
          </w:pPr>
          <w:r>
            <w:rPr>
              <w:rFonts w:hint="eastAsia" w:ascii="仿宋_GB2312" w:hAnsi="仿宋_GB2312" w:eastAsia="仿宋_GB2312" w:cs="仿宋_GB2312"/>
              <w:sz w:val="28"/>
              <w:szCs w:val="40"/>
            </w:rPr>
            <w:fldChar w:fldCharType="begin"/>
          </w:r>
          <w:r>
            <w:rPr>
              <w:rFonts w:hint="eastAsia" w:ascii="仿宋_GB2312" w:hAnsi="仿宋_GB2312" w:eastAsia="仿宋_GB2312" w:cs="仿宋_GB2312"/>
              <w:sz w:val="28"/>
              <w:szCs w:val="40"/>
            </w:rPr>
            <w:instrText xml:space="preserve"> HYPERLINK \l _Toc19973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bCs/>
              <w:sz w:val="28"/>
              <w:szCs w:val="44"/>
              <w:lang w:val="en-US" w:eastAsia="zh-CN"/>
            </w:rPr>
            <w:t>3.1. 技术服务群</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_Toc19973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15</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sz w:val="28"/>
              <w:szCs w:val="40"/>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rFonts w:hint="eastAsia" w:ascii="仿宋_GB2312" w:hAnsi="仿宋_GB2312" w:eastAsia="仿宋_GB2312" w:cs="仿宋_GB2312"/>
              <w:sz w:val="28"/>
              <w:szCs w:val="40"/>
            </w:rPr>
            <w:fldChar w:fldCharType="begin"/>
          </w:r>
          <w:r>
            <w:rPr>
              <w:rFonts w:hint="eastAsia" w:ascii="仿宋_GB2312" w:hAnsi="仿宋_GB2312" w:eastAsia="仿宋_GB2312" w:cs="仿宋_GB2312"/>
              <w:sz w:val="28"/>
              <w:szCs w:val="40"/>
            </w:rPr>
            <w:instrText xml:space="preserve"> HYPERLINK \l _Toc9225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bCs/>
              <w:sz w:val="28"/>
              <w:szCs w:val="44"/>
              <w:lang w:val="en-US" w:eastAsia="zh-CN"/>
            </w:rPr>
            <w:t>3.2. 技术支持人员</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_Toc9225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15</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sz w:val="28"/>
              <w:szCs w:val="40"/>
            </w:rPr>
            <w:fldChar w:fldCharType="end"/>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0"/>
              <w:szCs w:val="30"/>
            </w:rPr>
          </w:pPr>
          <w:r>
            <w:rPr>
              <w:rFonts w:hint="eastAsia" w:ascii="仿宋" w:hAnsi="仿宋" w:eastAsia="仿宋" w:cs="仿宋"/>
              <w:szCs w:val="30"/>
            </w:rPr>
            <w:fldChar w:fldCharType="end"/>
          </w:r>
        </w:p>
      </w:sdtContent>
    </w:sdt>
    <w:p>
      <w:pPr>
        <w:pStyle w:val="2"/>
        <w:pageBreakBefore w:val="0"/>
        <w:widowControl w:val="0"/>
        <w:numPr>
          <w:ilvl w:val="0"/>
          <w:numId w:val="2"/>
        </w:numPr>
        <w:kinsoku/>
        <w:wordWrap/>
        <w:overflowPunct/>
        <w:topLinePunct w:val="0"/>
        <w:autoSpaceDE/>
        <w:autoSpaceDN/>
        <w:bidi w:val="0"/>
        <w:adjustRightInd/>
        <w:snapToGrid/>
        <w:spacing w:before="0" w:beforeLines="0" w:after="0" w:afterLines="0" w:line="560" w:lineRule="exact"/>
        <w:ind w:left="432" w:leftChars="0" w:hanging="432" w:firstLineChars="0"/>
        <w:textAlignment w:val="auto"/>
        <w:rPr>
          <w:rFonts w:hint="eastAsia" w:ascii="仿宋" w:hAnsi="仿宋" w:eastAsia="仿宋" w:cs="仿宋"/>
          <w:sz w:val="32"/>
          <w:szCs w:val="32"/>
          <w:lang w:val="en-US" w:eastAsia="zh-CN"/>
        </w:rPr>
        <w:sectPr>
          <w:footerReference r:id="rId4" w:type="default"/>
          <w:pgSz w:w="11906" w:h="16838"/>
          <w:pgMar w:top="1440" w:right="1800" w:bottom="1440" w:left="1800" w:header="851" w:footer="992" w:gutter="0"/>
          <w:pgNumType w:start="1"/>
          <w:cols w:space="425" w:num="1"/>
          <w:docGrid w:type="lines" w:linePitch="312" w:charSpace="0"/>
        </w:sectPr>
      </w:pPr>
      <w:bookmarkStart w:id="0" w:name="_Toc17719"/>
      <w:bookmarkStart w:id="1" w:name="_Toc3917"/>
    </w:p>
    <w:p>
      <w:pPr>
        <w:pStyle w:val="2"/>
        <w:pageBreakBefore w:val="0"/>
        <w:widowControl w:val="0"/>
        <w:numPr>
          <w:ilvl w:val="0"/>
          <w:numId w:val="2"/>
        </w:numPr>
        <w:kinsoku/>
        <w:wordWrap/>
        <w:overflowPunct/>
        <w:topLinePunct w:val="0"/>
        <w:autoSpaceDE/>
        <w:autoSpaceDN/>
        <w:bidi w:val="0"/>
        <w:adjustRightInd/>
        <w:snapToGrid/>
        <w:spacing w:before="0" w:beforeLines="0" w:after="0" w:afterLines="0" w:line="560" w:lineRule="exact"/>
        <w:ind w:left="432" w:leftChars="0" w:hanging="432" w:firstLineChars="0"/>
        <w:textAlignment w:val="auto"/>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系统介绍</w:t>
      </w:r>
      <w:bookmarkEnd w:id="0"/>
      <w:bookmarkEnd w:id="1"/>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进一步加强房屋建筑施工企业安全总监履职、安全生产许可证动态监管、企业（项目）分类分级监管等“三项考核”工作，促进全市建筑施工企业安全生产管理水平提升，有效预防和减少生产安全事故，我局依照《青岛市房屋建筑施工企业安全管理“三项考核”工作指南（试行）》开发建设了青岛市房屋建筑施工安全生产考核管理平台。平台根据权限分为市、区两级主管部门和企业用户，通过平台实现企业一般安全生产条件动态考核、安全生产总监专项考核、项目安全生产条件考核、日常考核等考核事项的企业自评、材料提报、主管部门审核、动态调整等全流程线上管理，可根据考核评价自动评分，形成企业安全总监、安全生产许可证、施工企业、工程项目的等级等次，减少纸质材料流转，初步实现无纸化办公，缩短审批周期，提升监管效率，通过将传统的纸质考核标准转化为数字化平台上的量化指标，确保考核过程公开透明，减少人为干预。</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本操作使用手册为市、区主管部门使用，主要涵盖系统登录、工程项目考核评价、企业自评审核等功能。</w:t>
      </w:r>
    </w:p>
    <w:p>
      <w:pPr>
        <w:pStyle w:val="2"/>
        <w:pageBreakBefore w:val="0"/>
        <w:widowControl w:val="0"/>
        <w:numPr>
          <w:ilvl w:val="0"/>
          <w:numId w:val="2"/>
        </w:numPr>
        <w:kinsoku/>
        <w:wordWrap/>
        <w:overflowPunct/>
        <w:topLinePunct w:val="0"/>
        <w:autoSpaceDE/>
        <w:autoSpaceDN/>
        <w:bidi w:val="0"/>
        <w:adjustRightInd/>
        <w:snapToGrid/>
        <w:spacing w:before="0" w:beforeLines="0" w:after="0" w:afterLines="0" w:line="560" w:lineRule="exact"/>
        <w:ind w:left="432" w:leftChars="0" w:hanging="432" w:firstLineChars="0"/>
        <w:textAlignment w:val="auto"/>
        <w:rPr>
          <w:rFonts w:hint="eastAsia" w:ascii="黑体" w:hAnsi="黑体" w:eastAsia="黑体" w:cs="黑体"/>
          <w:b w:val="0"/>
          <w:bCs/>
          <w:sz w:val="32"/>
          <w:szCs w:val="32"/>
          <w:lang w:val="en-US" w:eastAsia="zh-CN"/>
        </w:rPr>
      </w:pPr>
      <w:bookmarkStart w:id="2" w:name="_Toc8106"/>
      <w:r>
        <w:rPr>
          <w:rFonts w:hint="eastAsia" w:ascii="黑体" w:hAnsi="黑体" w:eastAsia="黑体" w:cs="黑体"/>
          <w:b w:val="0"/>
          <w:bCs/>
          <w:sz w:val="32"/>
          <w:szCs w:val="32"/>
          <w:lang w:val="en-US" w:eastAsia="zh-CN"/>
        </w:rPr>
        <w:t>系统操作</w:t>
      </w:r>
      <w:bookmarkEnd w:id="2"/>
    </w:p>
    <w:p>
      <w:pPr>
        <w:pStyle w:val="3"/>
        <w:pageBreakBefore w:val="0"/>
        <w:widowControl w:val="0"/>
        <w:numPr>
          <w:ilvl w:val="1"/>
          <w:numId w:val="2"/>
        </w:numPr>
        <w:kinsoku/>
        <w:wordWrap/>
        <w:overflowPunct/>
        <w:topLinePunct w:val="0"/>
        <w:autoSpaceDE/>
        <w:autoSpaceDN/>
        <w:bidi w:val="0"/>
        <w:adjustRightInd/>
        <w:snapToGrid/>
        <w:spacing w:before="0" w:beforeLines="0" w:after="0" w:afterLines="0" w:line="560" w:lineRule="exact"/>
        <w:ind w:left="575" w:leftChars="0" w:hanging="575" w:firstLineChars="0"/>
        <w:textAlignment w:val="auto"/>
        <w:rPr>
          <w:rFonts w:hint="eastAsia" w:ascii="仿宋_GB2312" w:hAnsi="仿宋_GB2312" w:eastAsia="仿宋_GB2312" w:cs="仿宋_GB2312"/>
          <w:b w:val="0"/>
          <w:bCs/>
          <w:sz w:val="32"/>
          <w:szCs w:val="32"/>
          <w:lang w:val="en-US" w:eastAsia="zh-CN"/>
        </w:rPr>
      </w:pPr>
      <w:bookmarkStart w:id="3" w:name="_Toc2011"/>
      <w:bookmarkStart w:id="4" w:name="_Toc1348"/>
      <w:bookmarkStart w:id="5" w:name="_Toc30637"/>
      <w:r>
        <w:rPr>
          <w:rFonts w:hint="eastAsia" w:ascii="仿宋_GB2312" w:hAnsi="仿宋_GB2312" w:eastAsia="仿宋_GB2312" w:cs="仿宋_GB2312"/>
          <w:b w:val="0"/>
          <w:bCs/>
          <w:sz w:val="32"/>
          <w:szCs w:val="32"/>
          <w:lang w:val="en-US" w:eastAsia="zh-CN"/>
        </w:rPr>
        <w:t>系统登录</w:t>
      </w:r>
      <w:bookmarkEnd w:id="3"/>
      <w:bookmarkEnd w:id="4"/>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（1）门户登录</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用户可以通过青岛市住房城乡建设局门户网站(https://sjw.qingdao.gov.cn/)右侧“业务办理”模块下找到并点击“数字住建一体化平台”，进入数字住建一体化平台服务门户。</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rPr>
      </w:pPr>
      <w:r>
        <w:rPr>
          <w:rFonts w:hint="eastAsia" w:ascii="仿宋" w:hAnsi="仿宋" w:eastAsia="仿宋" w:cs="仿宋"/>
        </w:rPr>
        <w:drawing>
          <wp:inline distT="0" distB="0" distL="114300" distR="114300">
            <wp:extent cx="5269865" cy="3714750"/>
            <wp:effectExtent l="0" t="0" r="63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69865" cy="3714750"/>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val="0"/>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用户登录</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左侧点击“管理端登录”，输入用户名、密码、验证码即可登录。通过“综合监管”—“协同监管—房屋建筑施工安全生产考核管理平台”，进入“考核平台”。</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firstLine="0" w:firstLineChars="0"/>
        <w:jc w:val="center"/>
        <w:textAlignment w:val="auto"/>
      </w:pPr>
      <w:r>
        <w:drawing>
          <wp:inline distT="0" distB="0" distL="114300" distR="114300">
            <wp:extent cx="4659630" cy="2037080"/>
            <wp:effectExtent l="0" t="0" r="762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659630" cy="2037080"/>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val="0"/>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用户账户密码获取</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可联系技术人员，提供姓名、手机号，由技术人员统一开通账户。</w:t>
      </w:r>
    </w:p>
    <w:p>
      <w:pPr>
        <w:pStyle w:val="3"/>
        <w:pageBreakBefore w:val="0"/>
        <w:widowControl w:val="0"/>
        <w:numPr>
          <w:ilvl w:val="1"/>
          <w:numId w:val="2"/>
        </w:numPr>
        <w:kinsoku/>
        <w:wordWrap/>
        <w:overflowPunct/>
        <w:topLinePunct w:val="0"/>
        <w:autoSpaceDE/>
        <w:autoSpaceDN/>
        <w:bidi w:val="0"/>
        <w:adjustRightInd/>
        <w:snapToGrid/>
        <w:spacing w:before="0" w:beforeLines="0" w:after="0" w:afterLines="0" w:line="560" w:lineRule="exact"/>
        <w:ind w:left="575" w:leftChars="0" w:hanging="575" w:firstLineChars="0"/>
        <w:textAlignment w:val="auto"/>
        <w:rPr>
          <w:rFonts w:hint="eastAsia" w:ascii="仿宋_GB2312" w:hAnsi="仿宋_GB2312" w:eastAsia="仿宋_GB2312" w:cs="仿宋_GB2312"/>
          <w:color w:val="auto"/>
          <w:sz w:val="32"/>
          <w:szCs w:val="32"/>
          <w:lang w:val="en-US" w:eastAsia="zh-CN"/>
        </w:rPr>
      </w:pPr>
      <w:bookmarkStart w:id="6" w:name="_Toc31704"/>
      <w:r>
        <w:rPr>
          <w:rFonts w:hint="eastAsia" w:ascii="仿宋_GB2312" w:hAnsi="仿宋_GB2312" w:eastAsia="仿宋_GB2312" w:cs="仿宋_GB2312"/>
          <w:b w:val="0"/>
          <w:bCs/>
          <w:sz w:val="32"/>
          <w:szCs w:val="32"/>
          <w:lang w:val="en-US" w:eastAsia="zh-CN"/>
        </w:rPr>
        <w:t>监督员</w:t>
      </w:r>
      <w:bookmarkEnd w:id="6"/>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监督员通过平台完成项目安全生产条件的考核结果提报。</w:t>
      </w:r>
    </w:p>
    <w:p>
      <w:pPr>
        <w:pStyle w:val="4"/>
        <w:keepNext/>
        <w:keepLines/>
        <w:pageBreakBefore w:val="0"/>
        <w:widowControl w:val="0"/>
        <w:numPr>
          <w:ilvl w:val="2"/>
          <w:numId w:val="2"/>
        </w:numPr>
        <w:kinsoku/>
        <w:wordWrap/>
        <w:overflowPunct/>
        <w:topLinePunct w:val="0"/>
        <w:autoSpaceDE/>
        <w:autoSpaceDN/>
        <w:bidi w:val="0"/>
        <w:adjustRightInd/>
        <w:snapToGrid/>
        <w:spacing w:before="0" w:after="0" w:line="560" w:lineRule="exact"/>
        <w:ind w:left="720" w:leftChars="0" w:hanging="720" w:firstLineChars="0"/>
        <w:textAlignment w:val="auto"/>
        <w:rPr>
          <w:rFonts w:hint="eastAsia" w:ascii="仿宋_GB2312" w:hAnsi="仿宋_GB2312" w:eastAsia="仿宋_GB2312" w:cs="仿宋_GB2312"/>
          <w:b w:val="0"/>
          <w:bCs/>
          <w:sz w:val="32"/>
          <w:szCs w:val="32"/>
          <w:lang w:val="en-US" w:eastAsia="zh-CN"/>
        </w:rPr>
      </w:pPr>
      <w:bookmarkStart w:id="7" w:name="_Toc8357"/>
      <w:r>
        <w:rPr>
          <w:rFonts w:hint="eastAsia" w:ascii="仿宋_GB2312" w:hAnsi="仿宋_GB2312" w:eastAsia="仿宋_GB2312" w:cs="仿宋_GB2312"/>
          <w:b w:val="0"/>
          <w:bCs/>
          <w:sz w:val="32"/>
          <w:szCs w:val="32"/>
          <w:lang w:val="en-US" w:eastAsia="zh-CN"/>
        </w:rPr>
        <w:t>项目安全生产条件考核</w:t>
      </w:r>
      <w:bookmarkEnd w:id="7"/>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项目安全生产条件的考核内容包括安全管理、文明施工、脚手架、基坑工程、模板支架、高处作业、施工用电、物料提升机与施工升降机、塔式机重机与起重吊装、施工机具10项考核事项的评分考核。</w:t>
      </w:r>
    </w:p>
    <w:p>
      <w:pPr>
        <w:pStyle w:val="5"/>
        <w:keepNext/>
        <w:keepLines/>
        <w:pageBreakBefore w:val="0"/>
        <w:widowControl w:val="0"/>
        <w:numPr>
          <w:ilvl w:val="3"/>
          <w:numId w:val="2"/>
        </w:numPr>
        <w:kinsoku/>
        <w:wordWrap/>
        <w:overflowPunct/>
        <w:topLinePunct w:val="0"/>
        <w:autoSpaceDE/>
        <w:autoSpaceDN/>
        <w:bidi w:val="0"/>
        <w:adjustRightInd/>
        <w:snapToGrid/>
        <w:spacing w:before="0" w:after="0" w:line="560" w:lineRule="exact"/>
        <w:ind w:left="864" w:leftChars="0" w:hanging="864" w:firstLineChars="0"/>
        <w:textAlignment w:val="auto"/>
        <w:rPr>
          <w:rFonts w:hint="eastAsia" w:ascii="仿宋_GB2312" w:hAnsi="仿宋_GB2312" w:eastAsia="仿宋_GB2312" w:cs="仿宋_GB2312"/>
          <w:b w:val="0"/>
          <w:bCs/>
          <w:sz w:val="32"/>
          <w:szCs w:val="32"/>
          <w:lang w:val="en-US" w:eastAsia="zh-CN"/>
        </w:rPr>
      </w:pPr>
      <w:bookmarkStart w:id="8" w:name="_Toc23714"/>
      <w:r>
        <w:rPr>
          <w:rFonts w:hint="eastAsia" w:ascii="仿宋_GB2312" w:hAnsi="仿宋_GB2312" w:eastAsia="仿宋_GB2312" w:cs="仿宋_GB2312"/>
          <w:b w:val="0"/>
          <w:bCs/>
          <w:sz w:val="32"/>
          <w:szCs w:val="32"/>
          <w:lang w:val="en-US" w:eastAsia="zh-CN"/>
        </w:rPr>
        <w:t>项目评价</w:t>
      </w:r>
      <w:bookmarkEnd w:id="8"/>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平台已有青岛市工程建设项目审批管理平台进行对接，获取全市办理施工许可证的工程项目。</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textAlignment w:val="auto"/>
        <w:rPr>
          <w:rFonts w:hint="default" w:ascii="仿宋" w:hAnsi="仿宋" w:eastAsia="仿宋" w:cs="仿宋"/>
          <w:color w:val="auto"/>
          <w:sz w:val="32"/>
          <w:szCs w:val="32"/>
          <w:lang w:val="en-US" w:eastAsia="zh-CN"/>
        </w:rPr>
      </w:pPr>
      <w:r>
        <w:drawing>
          <wp:inline distT="0" distB="0" distL="114300" distR="114300">
            <wp:extent cx="5266690" cy="1960245"/>
            <wp:effectExtent l="0" t="0" r="3810" b="825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9"/>
                    <a:stretch>
                      <a:fillRect/>
                    </a:stretch>
                  </pic:blipFill>
                  <pic:spPr>
                    <a:xfrm>
                      <a:off x="0" y="0"/>
                      <a:ext cx="5266690" cy="1960245"/>
                    </a:xfrm>
                    <a:prstGeom prst="rect">
                      <a:avLst/>
                    </a:prstGeom>
                    <a:noFill/>
                    <a:ln>
                      <a:noFill/>
                    </a:ln>
                  </pic:spPr>
                </pic:pic>
              </a:graphicData>
            </a:graphic>
          </wp:inline>
        </w:drawing>
      </w:r>
    </w:p>
    <w:p>
      <w:pPr>
        <w:keepNext w:val="0"/>
        <w:keepLines w:val="0"/>
        <w:pageBreakBefore w:val="0"/>
        <w:widowControl w:val="0"/>
        <w:numPr>
          <w:ilvl w:val="0"/>
          <w:numId w:val="4"/>
        </w:numPr>
        <w:tabs>
          <w:tab w:val="left" w:pos="0"/>
        </w:tabs>
        <w:kinsoku/>
        <w:wordWrap/>
        <w:overflowPunct/>
        <w:topLinePunct w:val="0"/>
        <w:autoSpaceDE/>
        <w:autoSpaceDN/>
        <w:bidi w:val="0"/>
        <w:adjustRightInd/>
        <w:snapToGrid/>
        <w:spacing w:line="560" w:lineRule="exact"/>
        <w:ind w:left="200" w:leftChars="0" w:firstLine="64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工程信息查看</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点击“查看”，可以查看工程项目的详细信息。</w:t>
      </w:r>
    </w:p>
    <w:p>
      <w:pPr>
        <w:keepNext w:val="0"/>
        <w:keepLines w:val="0"/>
        <w:pageBreakBefore w:val="0"/>
        <w:widowControl w:val="0"/>
        <w:numPr>
          <w:ilvl w:val="0"/>
          <w:numId w:val="4"/>
        </w:numPr>
        <w:tabs>
          <w:tab w:val="left" w:pos="0"/>
        </w:tabs>
        <w:kinsoku/>
        <w:wordWrap/>
        <w:overflowPunct/>
        <w:topLinePunct w:val="0"/>
        <w:autoSpaceDE/>
        <w:autoSpaceDN/>
        <w:bidi w:val="0"/>
        <w:adjustRightInd/>
        <w:snapToGrid/>
        <w:spacing w:line="560" w:lineRule="exact"/>
        <w:ind w:left="200" w:leftChars="0" w:firstLine="64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评价结果提报</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点击“提报”按钮，进入项目安全生产条件考核结果提报页面。</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“企业名称”、“受检项目”、“项目经理”均自动获取，无需填报；“行政区”为项目所在地，若有误，可进行修改；“建筑面积”若有误或无信息，可进行修改或填报。</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lang w:val="en-US" w:eastAsia="zh-CN"/>
        </w:rPr>
      </w:pPr>
      <w:r>
        <w:drawing>
          <wp:inline distT="0" distB="0" distL="114300" distR="114300">
            <wp:extent cx="5267325" cy="3046730"/>
            <wp:effectExtent l="0" t="0" r="3175"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5267325" cy="3046730"/>
                    </a:xfrm>
                    <a:prstGeom prst="rect">
                      <a:avLst/>
                    </a:prstGeom>
                    <a:noFill/>
                    <a:ln>
                      <a:noFill/>
                    </a:ln>
                  </pic:spPr>
                </pic:pic>
              </a:graphicData>
            </a:graphic>
          </wp:inline>
        </w:drawing>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项目监督情况，为安全管理、文明施工等10项事项填报考核得分，同时补充“检查详情”、“检查单位”、“负责人”、“负责人联系电话”、“监管等级”信息，并将签字后的考核表扫描件上传。点击“附件”，上传证明材料。填报完成后，点击“保存”保存信息。</w:t>
      </w:r>
      <w:r>
        <w:rPr>
          <w:rFonts w:hint="eastAsia" w:ascii="仿宋_GB2312" w:hAnsi="仿宋_GB2312" w:eastAsia="仿宋_GB2312" w:cs="仿宋_GB2312"/>
          <w:color w:val="auto"/>
          <w:sz w:val="32"/>
          <w:szCs w:val="32"/>
          <w:lang w:val="en-US" w:eastAsia="zh-CN"/>
        </w:rPr>
        <w:t>若信息无误，可点击“提交”将信息提报至市安监站。</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*注：填报过程中可</w:t>
      </w:r>
      <w:r>
        <w:rPr>
          <w:rFonts w:hint="eastAsia" w:ascii="仿宋_GB2312" w:hAnsi="仿宋_GB2312" w:eastAsia="仿宋_GB2312" w:cs="仿宋_GB2312"/>
          <w:color w:val="auto"/>
          <w:sz w:val="32"/>
          <w:szCs w:val="32"/>
          <w:lang w:val="en-US" w:eastAsia="zh-CN"/>
        </w:rPr>
        <w:t>点击保存随时保存信息以防丢失。</w:t>
      </w:r>
    </w:p>
    <w:p>
      <w:pPr>
        <w:keepNext w:val="0"/>
        <w:keepLines w:val="0"/>
        <w:pageBreakBefore w:val="0"/>
        <w:widowControl w:val="0"/>
        <w:numPr>
          <w:ilvl w:val="0"/>
          <w:numId w:val="5"/>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附件预览、下载、删除</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附件上传后，可提供预览、下载、删除操作。将鼠标放置在附件上，分别可放大预览、附件下载和删除操作。删除后，可重新上传正确的附件资料。</w:t>
      </w:r>
    </w:p>
    <w:p>
      <w:pPr>
        <w:pStyle w:val="5"/>
        <w:keepNext/>
        <w:keepLines/>
        <w:pageBreakBefore w:val="0"/>
        <w:widowControl w:val="0"/>
        <w:numPr>
          <w:ilvl w:val="3"/>
          <w:numId w:val="2"/>
        </w:numPr>
        <w:kinsoku/>
        <w:wordWrap/>
        <w:overflowPunct/>
        <w:topLinePunct w:val="0"/>
        <w:autoSpaceDE/>
        <w:autoSpaceDN/>
        <w:bidi w:val="0"/>
        <w:adjustRightInd/>
        <w:snapToGrid/>
        <w:spacing w:before="0" w:after="0" w:line="560" w:lineRule="exact"/>
        <w:ind w:left="864" w:leftChars="0" w:hanging="864" w:firstLineChars="0"/>
        <w:textAlignment w:val="auto"/>
        <w:rPr>
          <w:rFonts w:hint="eastAsia" w:ascii="仿宋_GB2312" w:hAnsi="仿宋_GB2312" w:eastAsia="仿宋_GB2312" w:cs="仿宋_GB2312"/>
          <w:b w:val="0"/>
          <w:bCs/>
          <w:sz w:val="32"/>
          <w:szCs w:val="32"/>
          <w:lang w:val="en-US" w:eastAsia="zh-CN"/>
        </w:rPr>
      </w:pPr>
      <w:bookmarkStart w:id="9" w:name="_Toc25450"/>
      <w:r>
        <w:rPr>
          <w:rFonts w:hint="eastAsia" w:ascii="仿宋_GB2312" w:hAnsi="仿宋_GB2312" w:eastAsia="仿宋_GB2312" w:cs="仿宋_GB2312"/>
          <w:b w:val="0"/>
          <w:bCs/>
          <w:sz w:val="32"/>
          <w:szCs w:val="32"/>
          <w:lang w:val="en-US" w:eastAsia="zh-CN"/>
        </w:rPr>
        <w:t>评价记录</w:t>
      </w:r>
      <w:bookmarkEnd w:id="9"/>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监督员新增自评记录提交后的信息保存在评价记录中，可查看提报的评价考核详细信息。</w:t>
      </w:r>
    </w:p>
    <w:p>
      <w:pPr>
        <w:pStyle w:val="3"/>
        <w:pageBreakBefore w:val="0"/>
        <w:widowControl w:val="0"/>
        <w:numPr>
          <w:ilvl w:val="1"/>
          <w:numId w:val="2"/>
        </w:numPr>
        <w:kinsoku/>
        <w:wordWrap/>
        <w:overflowPunct/>
        <w:topLinePunct w:val="0"/>
        <w:autoSpaceDE/>
        <w:autoSpaceDN/>
        <w:bidi w:val="0"/>
        <w:adjustRightInd/>
        <w:snapToGrid/>
        <w:spacing w:before="0" w:beforeLines="0" w:after="0" w:afterLines="0" w:line="560" w:lineRule="exact"/>
        <w:ind w:left="575" w:leftChars="0" w:hanging="575" w:firstLineChars="0"/>
        <w:textAlignment w:val="auto"/>
        <w:rPr>
          <w:rFonts w:hint="eastAsia" w:ascii="仿宋_GB2312" w:hAnsi="仿宋_GB2312" w:eastAsia="仿宋_GB2312" w:cs="仿宋_GB2312"/>
          <w:b w:val="0"/>
          <w:bCs/>
          <w:sz w:val="32"/>
          <w:szCs w:val="32"/>
          <w:lang w:val="en-US" w:eastAsia="zh-CN"/>
        </w:rPr>
      </w:pPr>
      <w:bookmarkStart w:id="10" w:name="_Toc12551"/>
      <w:r>
        <w:rPr>
          <w:rFonts w:hint="eastAsia" w:ascii="仿宋_GB2312" w:hAnsi="仿宋_GB2312" w:eastAsia="仿宋_GB2312" w:cs="仿宋_GB2312"/>
          <w:b w:val="0"/>
          <w:bCs/>
          <w:sz w:val="32"/>
          <w:szCs w:val="32"/>
          <w:lang w:val="en-US" w:eastAsia="zh-CN"/>
        </w:rPr>
        <w:t>市安监站/区（市）主管部门</w:t>
      </w:r>
      <w:bookmarkEnd w:id="10"/>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可对市南区、市北区、李沧区三区企业及安全总监、日常考核的考核自评结果进行审核，对考核等级进行动态调整；同时可查看其他区市主管部门审核完成提报的最终考核评价结果。</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可查看由平台根据考核结果形成的最终考核得分及考核等级。</w:t>
      </w:r>
    </w:p>
    <w:p>
      <w:pPr>
        <w:pStyle w:val="4"/>
        <w:keepNext/>
        <w:keepLines/>
        <w:pageBreakBefore w:val="0"/>
        <w:widowControl w:val="0"/>
        <w:numPr>
          <w:ilvl w:val="2"/>
          <w:numId w:val="2"/>
        </w:numPr>
        <w:kinsoku/>
        <w:wordWrap/>
        <w:overflowPunct/>
        <w:topLinePunct w:val="0"/>
        <w:autoSpaceDE/>
        <w:autoSpaceDN/>
        <w:bidi w:val="0"/>
        <w:adjustRightInd/>
        <w:snapToGrid/>
        <w:spacing w:before="0" w:after="0" w:line="560" w:lineRule="exact"/>
        <w:ind w:left="720" w:leftChars="0" w:hanging="720" w:firstLineChars="0"/>
        <w:textAlignment w:val="auto"/>
        <w:rPr>
          <w:rFonts w:hint="eastAsia" w:ascii="仿宋_GB2312" w:hAnsi="仿宋_GB2312" w:eastAsia="仿宋_GB2312" w:cs="仿宋_GB2312"/>
          <w:b w:val="0"/>
          <w:bCs/>
          <w:sz w:val="32"/>
          <w:szCs w:val="32"/>
          <w:lang w:val="en-US" w:eastAsia="zh-CN"/>
        </w:rPr>
      </w:pPr>
      <w:bookmarkStart w:id="11" w:name="_Toc11204"/>
      <w:r>
        <w:rPr>
          <w:rFonts w:hint="eastAsia" w:ascii="仿宋_GB2312" w:hAnsi="仿宋_GB2312" w:eastAsia="仿宋_GB2312" w:cs="仿宋_GB2312"/>
          <w:b w:val="0"/>
          <w:bCs/>
          <w:sz w:val="32"/>
          <w:szCs w:val="32"/>
          <w:lang w:val="en-US" w:eastAsia="zh-CN"/>
        </w:rPr>
        <w:t>三项基础考核</w:t>
      </w:r>
      <w:bookmarkEnd w:id="11"/>
    </w:p>
    <w:p>
      <w:pPr>
        <w:pStyle w:val="5"/>
        <w:keepNext/>
        <w:keepLines/>
        <w:pageBreakBefore w:val="0"/>
        <w:widowControl w:val="0"/>
        <w:numPr>
          <w:ilvl w:val="3"/>
          <w:numId w:val="2"/>
        </w:numPr>
        <w:kinsoku/>
        <w:wordWrap/>
        <w:overflowPunct/>
        <w:topLinePunct w:val="0"/>
        <w:autoSpaceDE/>
        <w:autoSpaceDN/>
        <w:bidi w:val="0"/>
        <w:adjustRightInd/>
        <w:snapToGrid/>
        <w:spacing w:before="0" w:after="0" w:line="560" w:lineRule="exact"/>
        <w:ind w:left="864" w:leftChars="0" w:hanging="864" w:firstLineChars="0"/>
        <w:textAlignment w:val="auto"/>
        <w:rPr>
          <w:rFonts w:hint="eastAsia" w:ascii="仿宋_GB2312" w:hAnsi="仿宋_GB2312" w:eastAsia="仿宋_GB2312" w:cs="仿宋_GB2312"/>
          <w:b w:val="0"/>
          <w:bCs/>
          <w:sz w:val="32"/>
          <w:szCs w:val="32"/>
          <w:lang w:val="en-US" w:eastAsia="zh-CN"/>
        </w:rPr>
      </w:pPr>
      <w:bookmarkStart w:id="12" w:name="_Toc13440"/>
      <w:r>
        <w:rPr>
          <w:rFonts w:hint="eastAsia" w:ascii="仿宋_GB2312" w:hAnsi="仿宋_GB2312" w:eastAsia="仿宋_GB2312" w:cs="仿宋_GB2312"/>
          <w:b w:val="0"/>
          <w:bCs/>
          <w:sz w:val="32"/>
          <w:szCs w:val="32"/>
          <w:lang w:val="en-US" w:eastAsia="zh-CN"/>
        </w:rPr>
        <w:t>企业一般安全生产条件动态考核</w:t>
      </w:r>
      <w:bookmarkEnd w:id="12"/>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审核由企业提报的企业一般安全生产条件自评内容及证明材料，形成主管部门的考核得分。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（1）评价考核</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点击“审核”按钮，进入安全生产总监专项考核自评审核页面。</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textAlignment w:val="auto"/>
      </w:pPr>
      <w:r>
        <w:drawing>
          <wp:inline distT="0" distB="0" distL="114300" distR="114300">
            <wp:extent cx="5262880" cy="2889885"/>
            <wp:effectExtent l="0" t="0" r="7620" b="5715"/>
            <wp:docPr id="5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8"/>
                    <pic:cNvPicPr>
                      <a:picLocks noChangeAspect="1"/>
                    </pic:cNvPicPr>
                  </pic:nvPicPr>
                  <pic:blipFill>
                    <a:blip r:embed="rId11"/>
                    <a:stretch>
                      <a:fillRect/>
                    </a:stretch>
                  </pic:blipFill>
                  <pic:spPr>
                    <a:xfrm>
                      <a:off x="0" y="0"/>
                      <a:ext cx="5262880" cy="2889885"/>
                    </a:xfrm>
                    <a:prstGeom prst="rect">
                      <a:avLst/>
                    </a:prstGeom>
                    <a:noFill/>
                    <a:ln>
                      <a:noFill/>
                    </a:ln>
                  </pic:spPr>
                </pic:pic>
              </a:graphicData>
            </a:graphic>
          </wp:inline>
        </w:drawing>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共包括安全生产管理制度、安全生产头、安全生产管理机构设置等11项目自评事项，平台设置每项考核内容的具体评价项目，主管部门可根据评价项目、评价标准（将鼠标放置在评价项目、评价标准上可显示全部信息）、查看附件，对企业的自评得分进行审核。</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认可企业自评得分，则点击“√”，使“考核得分”与“自评得分”一致；若不认可企业自评得分，则点击“×”，将主管部门认可的考核得分及考核意见填写后点击“保存”后，考核得分即为主管部门填报的分数。</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点击“考核记录”，可查询历次主管部门提报的考核得分及意见记录。</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每项评价项目审核完后，在“审核状态”下点击通过；若缺少相关附件材料，则点击“驳回”，同时填写审核意见，点击“保存”后退回至企业用户。</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附件上传后，可提供预览、下载操作。</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（2）评价考核记录</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主管部门审核通过后的信息进入评价考核记录中，可查看详细信息。</w:t>
      </w:r>
    </w:p>
    <w:p>
      <w:pPr>
        <w:pStyle w:val="5"/>
        <w:keepNext/>
        <w:keepLines/>
        <w:pageBreakBefore w:val="0"/>
        <w:widowControl w:val="0"/>
        <w:numPr>
          <w:ilvl w:val="3"/>
          <w:numId w:val="2"/>
        </w:numPr>
        <w:kinsoku/>
        <w:wordWrap/>
        <w:overflowPunct/>
        <w:topLinePunct w:val="0"/>
        <w:autoSpaceDE/>
        <w:autoSpaceDN/>
        <w:bidi w:val="0"/>
        <w:adjustRightInd/>
        <w:snapToGrid/>
        <w:spacing w:before="0" w:after="0" w:line="560" w:lineRule="exact"/>
        <w:ind w:left="864" w:leftChars="0" w:hanging="864" w:firstLineChars="0"/>
        <w:textAlignment w:val="auto"/>
        <w:rPr>
          <w:rFonts w:hint="eastAsia" w:ascii="仿宋_GB2312" w:hAnsi="仿宋_GB2312" w:eastAsia="仿宋_GB2312" w:cs="仿宋_GB2312"/>
          <w:b w:val="0"/>
          <w:bCs/>
          <w:sz w:val="32"/>
          <w:szCs w:val="32"/>
          <w:lang w:val="en-US" w:eastAsia="zh-CN"/>
        </w:rPr>
      </w:pPr>
      <w:bookmarkStart w:id="13" w:name="_Toc1130"/>
      <w:r>
        <w:rPr>
          <w:rFonts w:hint="eastAsia" w:ascii="仿宋_GB2312" w:hAnsi="仿宋_GB2312" w:eastAsia="仿宋_GB2312" w:cs="仿宋_GB2312"/>
          <w:b w:val="0"/>
          <w:bCs/>
          <w:sz w:val="32"/>
          <w:szCs w:val="32"/>
          <w:lang w:val="en-US" w:eastAsia="zh-CN"/>
        </w:rPr>
        <w:t>安全生产总监专项考核</w:t>
      </w:r>
      <w:bookmarkEnd w:id="13"/>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审核由企业提报的安全总监自评内容及证明材料，形成主管部门的考核得分。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（1）评价考核</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点击“审核”按钮，进入安全生产总监专项考核自评审核页面。</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textAlignment w:val="auto"/>
      </w:pPr>
      <w:r>
        <w:drawing>
          <wp:inline distT="0" distB="0" distL="114300" distR="114300">
            <wp:extent cx="5272405" cy="2649220"/>
            <wp:effectExtent l="0" t="0" r="10795" b="508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2"/>
                    <a:stretch>
                      <a:fillRect/>
                    </a:stretch>
                  </pic:blipFill>
                  <pic:spPr>
                    <a:xfrm>
                      <a:off x="0" y="0"/>
                      <a:ext cx="5272405" cy="2649220"/>
                    </a:xfrm>
                    <a:prstGeom prst="rect">
                      <a:avLst/>
                    </a:prstGeom>
                    <a:noFill/>
                    <a:ln>
                      <a:noFill/>
                    </a:ln>
                  </pic:spPr>
                </pic:pic>
              </a:graphicData>
            </a:graphic>
          </wp:inline>
        </w:drawing>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共7项评价项目，主管部门可根据评价项目、评价标准（将鼠标放置在评价项目、评价标准上可显示全部信息）、查看附件，对企业的自评得分进行审核。若认可企业自评得分，则点击“√”，使“考核得分”与“自评得分”一致；若不认可企业自评得分，则点击“×”，将主管部门认可的考核得分及考核意见填写后点击“保存”后，考核得分即为主管部门填报的分数。</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每项评价项目审核完后，在“审核状态”下点击通过；若缺少相关附件材料，则点击“驳回”，同时填写审核意见，点击“保存”后退回至企业用户。</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color w:val="auto"/>
          <w:sz w:val="32"/>
          <w:szCs w:val="32"/>
          <w:lang w:val="en-US" w:eastAsia="zh-CN"/>
        </w:rPr>
        <w:t>附件上传后，可提供预览、下载、删除操作。</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（2）评价考核记录</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color w:val="auto"/>
          <w:sz w:val="32"/>
          <w:szCs w:val="32"/>
          <w:lang w:val="en-US" w:eastAsia="zh-CN"/>
        </w:rPr>
        <w:t>主管部门审核通过后的信息进入评价考核记录中，可查看详细信息。</w:t>
      </w:r>
    </w:p>
    <w:p>
      <w:pPr>
        <w:pStyle w:val="5"/>
        <w:keepNext/>
        <w:keepLines/>
        <w:pageBreakBefore w:val="0"/>
        <w:widowControl w:val="0"/>
        <w:numPr>
          <w:ilvl w:val="3"/>
          <w:numId w:val="2"/>
        </w:numPr>
        <w:kinsoku/>
        <w:wordWrap/>
        <w:overflowPunct/>
        <w:topLinePunct w:val="0"/>
        <w:autoSpaceDE/>
        <w:autoSpaceDN/>
        <w:bidi w:val="0"/>
        <w:adjustRightInd/>
        <w:snapToGrid/>
        <w:spacing w:before="0" w:after="0" w:line="560" w:lineRule="exact"/>
        <w:ind w:left="864" w:leftChars="0" w:hanging="864" w:firstLineChars="0"/>
        <w:textAlignment w:val="auto"/>
        <w:rPr>
          <w:rFonts w:hint="eastAsia" w:ascii="仿宋_GB2312" w:hAnsi="仿宋_GB2312" w:eastAsia="仿宋_GB2312" w:cs="仿宋_GB2312"/>
          <w:b w:val="0"/>
          <w:bCs/>
          <w:sz w:val="32"/>
          <w:szCs w:val="32"/>
          <w:lang w:val="en-US" w:eastAsia="zh-CN"/>
        </w:rPr>
      </w:pPr>
      <w:bookmarkStart w:id="14" w:name="_Toc6015"/>
      <w:r>
        <w:rPr>
          <w:rFonts w:hint="eastAsia" w:ascii="仿宋_GB2312" w:hAnsi="仿宋_GB2312" w:eastAsia="仿宋_GB2312" w:cs="仿宋_GB2312"/>
          <w:b w:val="0"/>
          <w:bCs/>
          <w:sz w:val="32"/>
          <w:szCs w:val="32"/>
          <w:lang w:val="en-US" w:eastAsia="zh-CN"/>
        </w:rPr>
        <w:t>项目安全生产条件考核</w:t>
      </w:r>
      <w:bookmarkEnd w:id="14"/>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对监督员提报的项目安全生产条件考核内容、材料进行审核。</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color w:val="auto"/>
          <w:sz w:val="32"/>
          <w:szCs w:val="32"/>
          <w:lang w:val="en-US" w:eastAsia="zh-CN"/>
        </w:rPr>
        <w:t>（1）评分审核</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点击“审核”按钮，进入安全生产总监专项考核自评审核页面。</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textAlignment w:val="auto"/>
      </w:pPr>
      <w:r>
        <w:drawing>
          <wp:inline distT="0" distB="0" distL="114300" distR="114300">
            <wp:extent cx="5266690" cy="3834130"/>
            <wp:effectExtent l="0" t="0" r="3810" b="127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13"/>
                    <a:stretch>
                      <a:fillRect/>
                    </a:stretch>
                  </pic:blipFill>
                  <pic:spPr>
                    <a:xfrm>
                      <a:off x="0" y="0"/>
                      <a:ext cx="5266690" cy="3834130"/>
                    </a:xfrm>
                    <a:prstGeom prst="rect">
                      <a:avLst/>
                    </a:prstGeom>
                    <a:noFill/>
                    <a:ln>
                      <a:noFill/>
                    </a:ln>
                  </pic:spPr>
                </pic:pic>
              </a:graphicData>
            </a:graphic>
          </wp:inline>
        </w:drawing>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若信息无误，点击“通过”，填写审核意见后，点击“确定”完成审核；若信息有误，点击“驳回”，填写审核意见后，点击“确定”将该记录退回至监督员。</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附件上传后，可提供预览、下载操作。</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（2）评分审核记录</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主管部门审核通过后的信息进入评分考核记录中，可查看详细信息。</w:t>
      </w:r>
    </w:p>
    <w:p>
      <w:pPr>
        <w:pStyle w:val="5"/>
        <w:keepNext/>
        <w:keepLines/>
        <w:pageBreakBefore w:val="0"/>
        <w:widowControl w:val="0"/>
        <w:numPr>
          <w:ilvl w:val="3"/>
          <w:numId w:val="2"/>
        </w:numPr>
        <w:kinsoku/>
        <w:wordWrap/>
        <w:overflowPunct/>
        <w:topLinePunct w:val="0"/>
        <w:autoSpaceDE/>
        <w:autoSpaceDN/>
        <w:bidi w:val="0"/>
        <w:adjustRightInd/>
        <w:snapToGrid/>
        <w:spacing w:before="0" w:after="0" w:line="560" w:lineRule="exact"/>
        <w:ind w:left="864" w:leftChars="0" w:hanging="864" w:firstLineChars="0"/>
        <w:textAlignment w:val="auto"/>
        <w:rPr>
          <w:rFonts w:hint="eastAsia" w:ascii="仿宋_GB2312" w:hAnsi="仿宋_GB2312" w:eastAsia="仿宋_GB2312" w:cs="仿宋_GB2312"/>
          <w:b w:val="0"/>
          <w:bCs/>
          <w:sz w:val="32"/>
          <w:szCs w:val="32"/>
          <w:lang w:val="en-US" w:eastAsia="zh-CN"/>
        </w:rPr>
      </w:pPr>
      <w:bookmarkStart w:id="15" w:name="_Toc21044"/>
      <w:r>
        <w:rPr>
          <w:rFonts w:hint="eastAsia" w:ascii="仿宋_GB2312" w:hAnsi="仿宋_GB2312" w:eastAsia="仿宋_GB2312" w:cs="仿宋_GB2312"/>
          <w:b w:val="0"/>
          <w:bCs/>
          <w:sz w:val="32"/>
          <w:szCs w:val="32"/>
          <w:lang w:val="en-US" w:eastAsia="zh-CN"/>
        </w:rPr>
        <w:t>日常考核管理</w:t>
      </w:r>
      <w:bookmarkEnd w:id="15"/>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对企业提报的工程项目、企业因获得国家、省级、市级安全文明施工类奖项加分、因施工现场安全文明施工管理不到位扣分、因被主管部门处罚扣分等日常考核记录进行审核。</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_GB2312" w:hAnsi="仿宋_GB2312" w:eastAsia="仿宋_GB2312" w:cs="仿宋_GB2312"/>
          <w:color w:val="auto"/>
          <w:sz w:val="32"/>
          <w:szCs w:val="32"/>
          <w:lang w:val="en-US" w:eastAsia="zh-CN"/>
        </w:rPr>
        <w:t>点击“审核”按钮，进入日常考核申报审核页面。</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textAlignment w:val="auto"/>
        <w:outlineLvl w:val="9"/>
      </w:pPr>
      <w:r>
        <w:drawing>
          <wp:inline distT="0" distB="0" distL="114300" distR="114300">
            <wp:extent cx="5268595" cy="4212590"/>
            <wp:effectExtent l="0" t="0" r="1905" b="3810"/>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14"/>
                    <a:stretch>
                      <a:fillRect/>
                    </a:stretch>
                  </pic:blipFill>
                  <pic:spPr>
                    <a:xfrm>
                      <a:off x="0" y="0"/>
                      <a:ext cx="5268595" cy="4212590"/>
                    </a:xfrm>
                    <a:prstGeom prst="rect">
                      <a:avLst/>
                    </a:prstGeom>
                    <a:noFill/>
                    <a:ln>
                      <a:noFill/>
                    </a:ln>
                  </pic:spPr>
                </pic:pic>
              </a:graphicData>
            </a:graphic>
          </wp:inline>
        </w:drawing>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若信息无误，点击“通过”，填写审核意见后，点击“确定”完成审核；若信息有误，点击“驳回”，填写审核意见后，点击“确定”将该记录退回至企业用户。</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附件上传后，可提供预览、下载操作。</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（2）审核记录</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主管部门审核通过后的信息进入评分考核记录中，可查看详细信息。</w:t>
      </w:r>
    </w:p>
    <w:p>
      <w:pPr>
        <w:pStyle w:val="4"/>
        <w:keepNext/>
        <w:keepLines/>
        <w:pageBreakBefore w:val="0"/>
        <w:widowControl w:val="0"/>
        <w:numPr>
          <w:ilvl w:val="2"/>
          <w:numId w:val="2"/>
        </w:numPr>
        <w:kinsoku/>
        <w:wordWrap/>
        <w:overflowPunct/>
        <w:topLinePunct w:val="0"/>
        <w:autoSpaceDE/>
        <w:autoSpaceDN/>
        <w:bidi w:val="0"/>
        <w:adjustRightInd/>
        <w:snapToGrid/>
        <w:spacing w:before="0" w:after="0" w:line="560" w:lineRule="exact"/>
        <w:ind w:left="720" w:leftChars="0" w:hanging="720" w:firstLineChars="0"/>
        <w:textAlignment w:val="auto"/>
        <w:rPr>
          <w:rFonts w:hint="eastAsia" w:ascii="仿宋_GB2312" w:hAnsi="仿宋_GB2312" w:eastAsia="仿宋_GB2312" w:cs="仿宋_GB2312"/>
          <w:b w:val="0"/>
          <w:bCs/>
          <w:sz w:val="32"/>
          <w:szCs w:val="32"/>
          <w:lang w:val="en-US" w:eastAsia="zh-CN"/>
        </w:rPr>
      </w:pPr>
      <w:bookmarkStart w:id="16" w:name="_Toc4332"/>
      <w:r>
        <w:rPr>
          <w:rFonts w:hint="eastAsia" w:ascii="仿宋_GB2312" w:hAnsi="仿宋_GB2312" w:eastAsia="仿宋_GB2312" w:cs="仿宋_GB2312"/>
          <w:b w:val="0"/>
          <w:bCs/>
          <w:sz w:val="32"/>
          <w:szCs w:val="32"/>
          <w:lang w:val="en-US" w:eastAsia="zh-CN"/>
        </w:rPr>
        <w:t>考核评价</w:t>
      </w:r>
      <w:bookmarkEnd w:id="16"/>
    </w:p>
    <w:bookmarkEnd w:id="5"/>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平台根据《青岛市房屋建筑施工企业安全管理“三项考核”工作指南（试行）》，根据考核评价结果，汇总计算企业安全总监、安全生产许可证、施工企业、工程项目四大类最终考核得分，并划分相应等次。可在此模块下查看各类考核得分与等次。</w:t>
      </w:r>
    </w:p>
    <w:p>
      <w:pPr>
        <w:pStyle w:val="5"/>
        <w:keepNext/>
        <w:keepLines/>
        <w:pageBreakBefore w:val="0"/>
        <w:widowControl w:val="0"/>
        <w:numPr>
          <w:ilvl w:val="3"/>
          <w:numId w:val="2"/>
        </w:numPr>
        <w:kinsoku/>
        <w:wordWrap/>
        <w:overflowPunct/>
        <w:topLinePunct w:val="0"/>
        <w:autoSpaceDE/>
        <w:autoSpaceDN/>
        <w:bidi w:val="0"/>
        <w:adjustRightInd/>
        <w:snapToGrid/>
        <w:spacing w:before="0" w:after="0" w:line="560" w:lineRule="exact"/>
        <w:ind w:left="864" w:leftChars="0" w:hanging="864" w:firstLineChars="0"/>
        <w:textAlignment w:val="auto"/>
        <w:rPr>
          <w:rFonts w:hint="eastAsia" w:ascii="仿宋_GB2312" w:hAnsi="仿宋_GB2312" w:eastAsia="仿宋_GB2312" w:cs="仿宋_GB2312"/>
          <w:b w:val="0"/>
          <w:bCs/>
          <w:sz w:val="32"/>
          <w:szCs w:val="32"/>
          <w:lang w:val="en-US" w:eastAsia="zh-CN"/>
        </w:rPr>
      </w:pPr>
      <w:bookmarkStart w:id="17" w:name="_Toc26669"/>
      <w:r>
        <w:rPr>
          <w:rFonts w:hint="eastAsia" w:ascii="仿宋_GB2312" w:hAnsi="仿宋_GB2312" w:eastAsia="仿宋_GB2312" w:cs="仿宋_GB2312"/>
          <w:b w:val="0"/>
          <w:bCs/>
          <w:sz w:val="32"/>
          <w:szCs w:val="32"/>
          <w:lang w:val="en-US" w:eastAsia="zh-CN"/>
        </w:rPr>
        <w:t>企业安全总监考核</w:t>
      </w:r>
      <w:bookmarkEnd w:id="17"/>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根据企业注册地分为本地企业和外地企业。</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default" w:ascii="仿宋" w:hAnsi="仿宋" w:eastAsia="仿宋" w:cs="仿宋"/>
          <w:color w:val="auto"/>
          <w:sz w:val="32"/>
          <w:szCs w:val="32"/>
          <w:lang w:val="en-US" w:eastAsia="zh-CN"/>
        </w:rPr>
      </w:pPr>
      <w:r>
        <w:rPr>
          <w:rFonts w:hint="eastAsia" w:ascii="仿宋_GB2312" w:hAnsi="仿宋_GB2312" w:eastAsia="仿宋_GB2312" w:cs="仿宋_GB2312"/>
          <w:color w:val="auto"/>
          <w:sz w:val="32"/>
          <w:szCs w:val="32"/>
          <w:lang w:val="en-US" w:eastAsia="zh-CN"/>
        </w:rPr>
        <w:t>本地企业中为企业提报并通过审核的总监考核结果；外地企业中包含所有外地企业的考核评价结果。</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textAlignment w:val="auto"/>
      </w:pPr>
      <w:r>
        <w:drawing>
          <wp:inline distT="0" distB="0" distL="114300" distR="114300">
            <wp:extent cx="5269865" cy="1701800"/>
            <wp:effectExtent l="0" t="0" r="635" b="0"/>
            <wp:docPr id="5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3"/>
                    <pic:cNvPicPr>
                      <a:picLocks noChangeAspect="1"/>
                    </pic:cNvPicPr>
                  </pic:nvPicPr>
                  <pic:blipFill>
                    <a:blip r:embed="rId15"/>
                    <a:stretch>
                      <a:fillRect/>
                    </a:stretch>
                  </pic:blipFill>
                  <pic:spPr>
                    <a:xfrm>
                      <a:off x="0" y="0"/>
                      <a:ext cx="5269865" cy="1701800"/>
                    </a:xfrm>
                    <a:prstGeom prst="rect">
                      <a:avLst/>
                    </a:prstGeom>
                    <a:noFill/>
                    <a:ln>
                      <a:noFill/>
                    </a:ln>
                  </pic:spPr>
                </pic:pic>
              </a:graphicData>
            </a:graphic>
          </wp:inline>
        </w:drawing>
      </w:r>
    </w:p>
    <w:p>
      <w:pPr>
        <w:keepNext w:val="0"/>
        <w:keepLines w:val="0"/>
        <w:pageBreakBefore w:val="0"/>
        <w:widowControl w:val="0"/>
        <w:numPr>
          <w:ilvl w:val="0"/>
          <w:numId w:val="6"/>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查看</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点击“查看”，可查看安全总监考核评价所涉及的企业一般安全生产条件得分、安全总监动态考核得分、日常考核得分详细信息。</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textAlignment w:val="auto"/>
      </w:pPr>
      <w:r>
        <w:drawing>
          <wp:inline distT="0" distB="0" distL="114300" distR="114300">
            <wp:extent cx="5272405" cy="2179955"/>
            <wp:effectExtent l="0" t="0" r="4445" b="10795"/>
            <wp:docPr id="6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5"/>
                    <pic:cNvPicPr>
                      <a:picLocks noChangeAspect="1"/>
                    </pic:cNvPicPr>
                  </pic:nvPicPr>
                  <pic:blipFill>
                    <a:blip r:embed="rId16"/>
                    <a:stretch>
                      <a:fillRect/>
                    </a:stretch>
                  </pic:blipFill>
                  <pic:spPr>
                    <a:xfrm>
                      <a:off x="0" y="0"/>
                      <a:ext cx="5272405" cy="2179955"/>
                    </a:xfrm>
                    <a:prstGeom prst="rect">
                      <a:avLst/>
                    </a:prstGeom>
                    <a:noFill/>
                    <a:ln>
                      <a:noFill/>
                    </a:ln>
                  </pic:spPr>
                </pic:pic>
              </a:graphicData>
            </a:graphic>
          </wp:inline>
        </w:drawing>
      </w:r>
    </w:p>
    <w:p>
      <w:pPr>
        <w:keepNext w:val="0"/>
        <w:keepLines w:val="0"/>
        <w:pageBreakBefore w:val="0"/>
        <w:widowControl w:val="0"/>
        <w:numPr>
          <w:ilvl w:val="0"/>
          <w:numId w:val="6"/>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动态调整</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可根据《工作指南》中动态调整规则对安全总监考核等级直接晋升一个考核等次或直接判定为“不合格”等次。</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点击“动态调整”，进入动态调整提报页面。可通过下拉选择动态调整事项，点击保存形成动态调整记录。</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textAlignment w:val="auto"/>
      </w:pPr>
      <w:r>
        <w:drawing>
          <wp:inline distT="0" distB="0" distL="114300" distR="114300">
            <wp:extent cx="5270500" cy="2079625"/>
            <wp:effectExtent l="0" t="0" r="0" b="3175"/>
            <wp:docPr id="6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7"/>
                    <pic:cNvPicPr>
                      <a:picLocks noChangeAspect="1"/>
                    </pic:cNvPicPr>
                  </pic:nvPicPr>
                  <pic:blipFill>
                    <a:blip r:embed="rId17"/>
                    <a:stretch>
                      <a:fillRect/>
                    </a:stretch>
                  </pic:blipFill>
                  <pic:spPr>
                    <a:xfrm>
                      <a:off x="0" y="0"/>
                      <a:ext cx="5270500" cy="2079625"/>
                    </a:xfrm>
                    <a:prstGeom prst="rect">
                      <a:avLst/>
                    </a:prstGeom>
                    <a:noFill/>
                    <a:ln>
                      <a:noFill/>
                    </a:ln>
                  </pic:spPr>
                </pic:pic>
              </a:graphicData>
            </a:graphic>
          </wp:inline>
        </w:drawing>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textAlignment w:val="auto"/>
      </w:pPr>
      <w:r>
        <w:drawing>
          <wp:inline distT="0" distB="0" distL="114300" distR="114300">
            <wp:extent cx="5272405" cy="1844040"/>
            <wp:effectExtent l="0" t="0" r="10795" b="10160"/>
            <wp:docPr id="6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8"/>
                    <pic:cNvPicPr>
                      <a:picLocks noChangeAspect="1"/>
                    </pic:cNvPicPr>
                  </pic:nvPicPr>
                  <pic:blipFill>
                    <a:blip r:embed="rId18"/>
                    <a:stretch>
                      <a:fillRect/>
                    </a:stretch>
                  </pic:blipFill>
                  <pic:spPr>
                    <a:xfrm>
                      <a:off x="0" y="0"/>
                      <a:ext cx="5272405" cy="1844040"/>
                    </a:xfrm>
                    <a:prstGeom prst="rect">
                      <a:avLst/>
                    </a:prstGeom>
                    <a:noFill/>
                    <a:ln>
                      <a:noFill/>
                    </a:ln>
                  </pic:spPr>
                </pic:pic>
              </a:graphicData>
            </a:graphic>
          </wp:inline>
        </w:drawing>
      </w:r>
    </w:p>
    <w:p>
      <w:pPr>
        <w:pStyle w:val="5"/>
        <w:keepNext/>
        <w:keepLines/>
        <w:pageBreakBefore w:val="0"/>
        <w:widowControl w:val="0"/>
        <w:numPr>
          <w:ilvl w:val="3"/>
          <w:numId w:val="2"/>
        </w:numPr>
        <w:kinsoku/>
        <w:wordWrap/>
        <w:overflowPunct/>
        <w:topLinePunct w:val="0"/>
        <w:autoSpaceDE/>
        <w:autoSpaceDN/>
        <w:bidi w:val="0"/>
        <w:adjustRightInd/>
        <w:snapToGrid/>
        <w:spacing w:before="0" w:beforeLines="0" w:after="0" w:afterLines="0" w:line="560" w:lineRule="exact"/>
        <w:ind w:left="864" w:leftChars="0" w:hanging="864" w:firstLineChars="0"/>
        <w:textAlignment w:val="auto"/>
        <w:rPr>
          <w:rFonts w:hint="eastAsia" w:ascii="仿宋_GB2312" w:hAnsi="仿宋_GB2312" w:eastAsia="仿宋_GB2312" w:cs="仿宋_GB2312"/>
          <w:b w:val="0"/>
          <w:bCs/>
          <w:sz w:val="32"/>
          <w:szCs w:val="32"/>
          <w:lang w:val="en-US" w:eastAsia="zh-CN"/>
        </w:rPr>
      </w:pPr>
      <w:bookmarkStart w:id="18" w:name="_Toc18523"/>
      <w:r>
        <w:rPr>
          <w:rFonts w:hint="eastAsia" w:ascii="仿宋_GB2312" w:hAnsi="仿宋_GB2312" w:eastAsia="仿宋_GB2312" w:cs="仿宋_GB2312"/>
          <w:b w:val="0"/>
          <w:bCs/>
          <w:sz w:val="32"/>
          <w:szCs w:val="32"/>
          <w:lang w:val="en-US" w:eastAsia="zh-CN"/>
        </w:rPr>
        <w:t>安全生产许可证动态考核</w:t>
      </w:r>
      <w:bookmarkEnd w:id="18"/>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根据企业注册地分为本地企业和外地企业。</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本地企业中为企业提报并通过审核的总监考核结果；外地企业中包含所有外地企业的考核评价结果。</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textAlignment w:val="auto"/>
      </w:pPr>
      <w:r>
        <w:drawing>
          <wp:inline distT="0" distB="0" distL="114300" distR="114300">
            <wp:extent cx="5264150" cy="1614805"/>
            <wp:effectExtent l="0" t="0" r="6350" b="10795"/>
            <wp:docPr id="7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9"/>
                    <pic:cNvPicPr>
                      <a:picLocks noChangeAspect="1"/>
                    </pic:cNvPicPr>
                  </pic:nvPicPr>
                  <pic:blipFill>
                    <a:blip r:embed="rId19"/>
                    <a:stretch>
                      <a:fillRect/>
                    </a:stretch>
                  </pic:blipFill>
                  <pic:spPr>
                    <a:xfrm>
                      <a:off x="0" y="0"/>
                      <a:ext cx="5264150" cy="1614805"/>
                    </a:xfrm>
                    <a:prstGeom prst="rect">
                      <a:avLst/>
                    </a:prstGeom>
                    <a:noFill/>
                    <a:ln>
                      <a:noFill/>
                    </a:ln>
                  </pic:spPr>
                </pic:pic>
              </a:graphicData>
            </a:graphic>
          </wp:inline>
        </w:drawing>
      </w:r>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60" w:lineRule="exact"/>
        <w:ind w:left="-10" w:leftChars="0" w:firstLine="64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查看</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点击“查看”，可查看安全总监考核评价所涉及的企业一般安全生产条件得分详细信息。</w:t>
      </w:r>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60" w:lineRule="exact"/>
        <w:ind w:left="-10" w:leftChars="0" w:firstLine="64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动态调整</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可根据《工作指南》中动态调整规则对安全总监考核等级等次进行调整。</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点击“动态调整”，进入动态调整提报页面。可通过下拉选择动态调整事项，点击保存形成动态调整记录。</w:t>
      </w:r>
    </w:p>
    <w:p>
      <w:pPr>
        <w:pStyle w:val="5"/>
        <w:keepNext/>
        <w:keepLines/>
        <w:pageBreakBefore w:val="0"/>
        <w:widowControl w:val="0"/>
        <w:numPr>
          <w:ilvl w:val="3"/>
          <w:numId w:val="2"/>
        </w:numPr>
        <w:kinsoku/>
        <w:wordWrap/>
        <w:overflowPunct/>
        <w:topLinePunct w:val="0"/>
        <w:autoSpaceDE/>
        <w:autoSpaceDN/>
        <w:bidi w:val="0"/>
        <w:adjustRightInd/>
        <w:snapToGrid/>
        <w:spacing w:before="0" w:after="0" w:line="560" w:lineRule="exact"/>
        <w:ind w:left="864" w:leftChars="0" w:hanging="864" w:firstLineChars="0"/>
        <w:textAlignment w:val="auto"/>
        <w:rPr>
          <w:rFonts w:hint="eastAsia" w:ascii="仿宋_GB2312" w:hAnsi="仿宋_GB2312" w:eastAsia="仿宋_GB2312" w:cs="仿宋_GB2312"/>
          <w:b w:val="0"/>
          <w:bCs/>
          <w:sz w:val="32"/>
          <w:szCs w:val="32"/>
          <w:lang w:val="en-US" w:eastAsia="zh-CN"/>
        </w:rPr>
      </w:pPr>
      <w:bookmarkStart w:id="19" w:name="_Toc21871"/>
      <w:r>
        <w:rPr>
          <w:rFonts w:hint="eastAsia" w:ascii="仿宋_GB2312" w:hAnsi="仿宋_GB2312" w:eastAsia="仿宋_GB2312" w:cs="仿宋_GB2312"/>
          <w:b w:val="0"/>
          <w:bCs/>
          <w:sz w:val="32"/>
          <w:szCs w:val="32"/>
          <w:lang w:val="en-US" w:eastAsia="zh-CN"/>
        </w:rPr>
        <w:t>施工企业监管等次评定</w:t>
      </w:r>
      <w:bookmarkEnd w:id="19"/>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根据企业注册地分为本地企业和外地企业。</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本地企业中为企业提报并通过审核的企业考核结果；外地企业中包含所有外地企业的考核评价结果。</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textAlignment w:val="auto"/>
      </w:pPr>
      <w:r>
        <w:drawing>
          <wp:inline distT="0" distB="0" distL="114300" distR="114300">
            <wp:extent cx="5274310" cy="1630045"/>
            <wp:effectExtent l="0" t="0" r="8890" b="8255"/>
            <wp:docPr id="8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2"/>
                    <pic:cNvPicPr>
                      <a:picLocks noChangeAspect="1"/>
                    </pic:cNvPicPr>
                  </pic:nvPicPr>
                  <pic:blipFill>
                    <a:blip r:embed="rId20"/>
                    <a:stretch>
                      <a:fillRect/>
                    </a:stretch>
                  </pic:blipFill>
                  <pic:spPr>
                    <a:xfrm>
                      <a:off x="0" y="0"/>
                      <a:ext cx="5274310" cy="1630045"/>
                    </a:xfrm>
                    <a:prstGeom prst="rect">
                      <a:avLst/>
                    </a:prstGeom>
                    <a:noFill/>
                    <a:ln>
                      <a:noFill/>
                    </a:ln>
                  </pic:spPr>
                </pic:pic>
              </a:graphicData>
            </a:graphic>
          </wp:inline>
        </w:drawing>
      </w:r>
    </w:p>
    <w:p>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查看</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点击“查看”，可查看企业考核评价所涉及的企业一般安全生产条件、安全总监考核、日常考核得分详细信息。</w:t>
      </w:r>
    </w:p>
    <w:p>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动态调整</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可根据《工作指南》中动态调整规则对企业考核等级等次进行调整。</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点击“动态调整”，进入动态调整提报页面。可通过下拉选择动态调整事项，点击保存形成动态调整记录。</w:t>
      </w:r>
    </w:p>
    <w:p>
      <w:pPr>
        <w:pStyle w:val="5"/>
        <w:keepNext/>
        <w:keepLines/>
        <w:pageBreakBefore w:val="0"/>
        <w:widowControl w:val="0"/>
        <w:numPr>
          <w:ilvl w:val="3"/>
          <w:numId w:val="2"/>
        </w:numPr>
        <w:kinsoku/>
        <w:wordWrap/>
        <w:overflowPunct/>
        <w:topLinePunct w:val="0"/>
        <w:autoSpaceDE/>
        <w:autoSpaceDN/>
        <w:bidi w:val="0"/>
        <w:adjustRightInd/>
        <w:snapToGrid/>
        <w:spacing w:before="0" w:after="0" w:line="560" w:lineRule="exact"/>
        <w:ind w:left="864" w:leftChars="0" w:hanging="864" w:firstLineChars="0"/>
        <w:textAlignment w:val="auto"/>
        <w:rPr>
          <w:rFonts w:hint="eastAsia" w:ascii="仿宋_GB2312" w:hAnsi="仿宋_GB2312" w:eastAsia="仿宋_GB2312" w:cs="仿宋_GB2312"/>
          <w:b w:val="0"/>
          <w:bCs/>
          <w:sz w:val="32"/>
          <w:szCs w:val="32"/>
          <w:lang w:val="en-US" w:eastAsia="zh-CN"/>
        </w:rPr>
      </w:pPr>
      <w:bookmarkStart w:id="20" w:name="_Toc18189"/>
      <w:r>
        <w:rPr>
          <w:rFonts w:hint="eastAsia" w:ascii="仿宋_GB2312" w:hAnsi="仿宋_GB2312" w:eastAsia="仿宋_GB2312" w:cs="仿宋_GB2312"/>
          <w:b w:val="0"/>
          <w:bCs/>
          <w:sz w:val="32"/>
          <w:szCs w:val="32"/>
          <w:lang w:val="en-US" w:eastAsia="zh-CN"/>
        </w:rPr>
        <w:t>工程项目等次评定</w:t>
      </w:r>
      <w:bookmarkEnd w:id="20"/>
    </w:p>
    <w:p>
      <w:pPr>
        <w:rPr>
          <w:rFonts w:hint="default"/>
          <w:lang w:val="en-US" w:eastAsia="zh-CN"/>
        </w:rPr>
      </w:pPr>
      <w:r>
        <w:drawing>
          <wp:inline distT="0" distB="0" distL="114300" distR="114300">
            <wp:extent cx="5266690" cy="1430655"/>
            <wp:effectExtent l="0" t="0" r="3810" b="4445"/>
            <wp:docPr id="9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7"/>
                    <pic:cNvPicPr>
                      <a:picLocks noChangeAspect="1"/>
                    </pic:cNvPicPr>
                  </pic:nvPicPr>
                  <pic:blipFill>
                    <a:blip r:embed="rId21"/>
                    <a:stretch>
                      <a:fillRect/>
                    </a:stretch>
                  </pic:blipFill>
                  <pic:spPr>
                    <a:xfrm>
                      <a:off x="0" y="0"/>
                      <a:ext cx="5266690" cy="1430655"/>
                    </a:xfrm>
                    <a:prstGeom prst="rect">
                      <a:avLst/>
                    </a:prstGeom>
                    <a:noFill/>
                    <a:ln>
                      <a:noFill/>
                    </a:ln>
                  </pic:spPr>
                </pic:pic>
              </a:graphicData>
            </a:graphic>
          </wp:inline>
        </w:drawing>
      </w:r>
    </w:p>
    <w:p>
      <w:pPr>
        <w:keepNext w:val="0"/>
        <w:keepLines w:val="0"/>
        <w:pageBreakBefore w:val="0"/>
        <w:widowControl w:val="0"/>
        <w:numPr>
          <w:ilvl w:val="0"/>
          <w:numId w:val="9"/>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查看</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点击“查看”，可查看工程项目考核评价所涉及的项目安全生产条件考核、日常考核得分详细信息。</w:t>
      </w:r>
    </w:p>
    <w:p>
      <w:pPr>
        <w:keepNext w:val="0"/>
        <w:keepLines w:val="0"/>
        <w:pageBreakBefore w:val="0"/>
        <w:widowControl w:val="0"/>
        <w:numPr>
          <w:ilvl w:val="0"/>
          <w:numId w:val="9"/>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动态调整</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可根据《工作指南》中动态调整规则对工程项目考核等级等次进行调整。</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color w:val="auto"/>
          <w:sz w:val="32"/>
          <w:szCs w:val="32"/>
          <w:lang w:val="en-US" w:eastAsia="zh-CN"/>
        </w:rPr>
        <w:t>点击“动态调整”，进入动态调整提报页面。可通过下拉选择动态调整事项，点击保存形成动态调整记录。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sz w:val="32"/>
          <w:szCs w:val="32"/>
          <w:lang w:val="en-US" w:eastAsia="zh-CN"/>
        </w:rPr>
      </w:pPr>
    </w:p>
    <w:p>
      <w:pPr>
        <w:pStyle w:val="2"/>
        <w:pageBreakBefore w:val="0"/>
        <w:widowControl w:val="0"/>
        <w:numPr>
          <w:ilvl w:val="0"/>
          <w:numId w:val="2"/>
        </w:numPr>
        <w:kinsoku/>
        <w:wordWrap/>
        <w:overflowPunct/>
        <w:topLinePunct w:val="0"/>
        <w:autoSpaceDE/>
        <w:autoSpaceDN/>
        <w:bidi w:val="0"/>
        <w:adjustRightInd/>
        <w:snapToGrid/>
        <w:spacing w:before="0" w:beforeLines="0" w:after="0" w:afterLines="0" w:line="560" w:lineRule="exact"/>
        <w:ind w:left="432" w:leftChars="0" w:hanging="432" w:firstLineChars="0"/>
        <w:textAlignment w:val="auto"/>
        <w:rPr>
          <w:rFonts w:hint="eastAsia" w:ascii="黑体" w:hAnsi="黑体" w:eastAsia="黑体" w:cs="黑体"/>
          <w:sz w:val="32"/>
          <w:szCs w:val="32"/>
          <w:lang w:val="en-US" w:eastAsia="zh-CN"/>
        </w:rPr>
      </w:pPr>
      <w:bookmarkStart w:id="21" w:name="_Toc661"/>
      <w:r>
        <w:rPr>
          <w:rFonts w:hint="eastAsia" w:ascii="黑体" w:hAnsi="黑体" w:eastAsia="黑体" w:cs="黑体"/>
          <w:sz w:val="32"/>
          <w:szCs w:val="32"/>
          <w:lang w:val="en-US" w:eastAsia="zh-CN"/>
        </w:rPr>
        <w:t>技术支持</w:t>
      </w:r>
      <w:bookmarkEnd w:id="21"/>
    </w:p>
    <w:p>
      <w:pPr>
        <w:pStyle w:val="3"/>
        <w:pageBreakBefore w:val="0"/>
        <w:widowControl w:val="0"/>
        <w:numPr>
          <w:ilvl w:val="1"/>
          <w:numId w:val="2"/>
        </w:numPr>
        <w:kinsoku/>
        <w:wordWrap/>
        <w:overflowPunct/>
        <w:topLinePunct w:val="0"/>
        <w:autoSpaceDE/>
        <w:autoSpaceDN/>
        <w:bidi w:val="0"/>
        <w:adjustRightInd/>
        <w:snapToGrid/>
        <w:spacing w:before="0" w:beforeLines="0" w:after="0" w:afterLines="0" w:line="560" w:lineRule="exact"/>
        <w:ind w:left="575" w:leftChars="0" w:hanging="575" w:firstLineChars="0"/>
        <w:textAlignment w:val="auto"/>
        <w:rPr>
          <w:rFonts w:hint="eastAsia" w:ascii="仿宋_GB2312" w:hAnsi="仿宋_GB2312" w:eastAsia="仿宋_GB2312" w:cs="仿宋_GB2312"/>
          <w:b w:val="0"/>
          <w:bCs/>
          <w:sz w:val="32"/>
          <w:szCs w:val="32"/>
          <w:lang w:val="en-US" w:eastAsia="zh-CN"/>
        </w:rPr>
      </w:pPr>
      <w:bookmarkStart w:id="22" w:name="_Toc19973"/>
      <w:r>
        <w:rPr>
          <w:rFonts w:hint="eastAsia" w:ascii="仿宋_GB2312" w:hAnsi="仿宋_GB2312" w:eastAsia="仿宋_GB2312" w:cs="仿宋_GB2312"/>
          <w:b w:val="0"/>
          <w:bCs/>
          <w:sz w:val="32"/>
          <w:szCs w:val="32"/>
          <w:lang w:val="en-US" w:eastAsia="zh-CN"/>
        </w:rPr>
        <w:t>技术服务群</w:t>
      </w:r>
      <w:bookmarkEnd w:id="22"/>
    </w:p>
    <w:p>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3155315" cy="4958080"/>
            <wp:effectExtent l="0" t="0" r="6985" b="13970"/>
            <wp:docPr id="2" name="图片 2" descr="80035822834c0e1397b9c4d8a683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0035822834c0e1397b9c4d8a683e4c"/>
                    <pic:cNvPicPr>
                      <a:picLocks noChangeAspect="1"/>
                    </pic:cNvPicPr>
                  </pic:nvPicPr>
                  <pic:blipFill>
                    <a:blip r:embed="rId22"/>
                    <a:stretch>
                      <a:fillRect/>
                    </a:stretch>
                  </pic:blipFill>
                  <pic:spPr>
                    <a:xfrm>
                      <a:off x="0" y="0"/>
                      <a:ext cx="3155315" cy="4958080"/>
                    </a:xfrm>
                    <a:prstGeom prst="rect">
                      <a:avLst/>
                    </a:prstGeom>
                  </pic:spPr>
                </pic:pic>
              </a:graphicData>
            </a:graphic>
          </wp:inline>
        </w:drawing>
      </w:r>
    </w:p>
    <w:p>
      <w:pPr>
        <w:pStyle w:val="3"/>
        <w:pageBreakBefore w:val="0"/>
        <w:widowControl w:val="0"/>
        <w:numPr>
          <w:ilvl w:val="1"/>
          <w:numId w:val="2"/>
        </w:numPr>
        <w:kinsoku/>
        <w:wordWrap/>
        <w:overflowPunct/>
        <w:topLinePunct w:val="0"/>
        <w:autoSpaceDE/>
        <w:autoSpaceDN/>
        <w:bidi w:val="0"/>
        <w:adjustRightInd/>
        <w:snapToGrid/>
        <w:spacing w:before="0" w:beforeLines="0" w:after="0" w:afterLines="0" w:line="560" w:lineRule="exact"/>
        <w:ind w:left="575" w:leftChars="0" w:hanging="575" w:firstLineChars="0"/>
        <w:textAlignment w:val="auto"/>
        <w:rPr>
          <w:rFonts w:hint="eastAsia" w:ascii="仿宋_GB2312" w:hAnsi="仿宋_GB2312" w:eastAsia="仿宋_GB2312" w:cs="仿宋_GB2312"/>
          <w:b w:val="0"/>
          <w:bCs/>
          <w:sz w:val="32"/>
          <w:szCs w:val="32"/>
          <w:lang w:val="en-US" w:eastAsia="zh-CN"/>
        </w:rPr>
      </w:pPr>
      <w:bookmarkStart w:id="23" w:name="_Toc9225"/>
      <w:r>
        <w:rPr>
          <w:rFonts w:hint="eastAsia" w:ascii="仿宋_GB2312" w:hAnsi="仿宋_GB2312" w:eastAsia="仿宋_GB2312" w:cs="仿宋_GB2312"/>
          <w:b w:val="0"/>
          <w:bCs/>
          <w:sz w:val="32"/>
          <w:szCs w:val="32"/>
          <w:lang w:val="en-US" w:eastAsia="zh-CN"/>
        </w:rPr>
        <w:t>技术支持人员</w:t>
      </w:r>
      <w:bookmarkEnd w:id="23"/>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6"/>
        <w:gridCol w:w="2572"/>
        <w:gridCol w:w="4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6" w:type="dxa"/>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序号</w:t>
            </w:r>
          </w:p>
        </w:tc>
        <w:tc>
          <w:tcPr>
            <w:tcW w:w="2572" w:type="dxa"/>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姓名</w:t>
            </w:r>
          </w:p>
        </w:tc>
        <w:tc>
          <w:tcPr>
            <w:tcW w:w="4344" w:type="dxa"/>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6" w:type="dxa"/>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w:t>
            </w:r>
          </w:p>
        </w:tc>
        <w:tc>
          <w:tcPr>
            <w:tcW w:w="2572" w:type="dxa"/>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徐文坤</w:t>
            </w:r>
          </w:p>
        </w:tc>
        <w:tc>
          <w:tcPr>
            <w:tcW w:w="4344" w:type="dxa"/>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85660979/15336428866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6" w:type="dxa"/>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2</w:t>
            </w:r>
          </w:p>
        </w:tc>
        <w:tc>
          <w:tcPr>
            <w:tcW w:w="2572" w:type="dxa"/>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孙成苗</w:t>
            </w:r>
          </w:p>
        </w:tc>
        <w:tc>
          <w:tcPr>
            <w:tcW w:w="4344" w:type="dxa"/>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85660979/18954261102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6" w:type="dxa"/>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w:t>
            </w:r>
          </w:p>
        </w:tc>
        <w:tc>
          <w:tcPr>
            <w:tcW w:w="2572" w:type="dxa"/>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韩景溥</w:t>
            </w:r>
          </w:p>
        </w:tc>
        <w:tc>
          <w:tcPr>
            <w:tcW w:w="4344" w:type="dxa"/>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85660979/17657312306</w:t>
            </w:r>
          </w:p>
        </w:tc>
      </w:tr>
    </w:tbl>
    <w:p>
      <w:pPr>
        <w:jc w:val="both"/>
        <w:rPr>
          <w:rFonts w:hint="eastAsia" w:ascii="仿宋" w:hAnsi="仿宋" w:eastAsia="仿宋" w:cs="仿宋"/>
          <w:lang w:val="en-US" w:eastAsia="zh-CN"/>
        </w:rPr>
      </w:pPr>
    </w:p>
    <w:sectPr>
      <w:footerReference r:id="rId5" w:type="default"/>
      <w:pgSz w:w="11906" w:h="16838"/>
      <w:pgMar w:top="2098" w:right="1474" w:bottom="1984" w:left="158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8FD19A1-FFDD-46B0-9486-F3F52B06066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embedRegular r:id="rId2" w:fontKey="{252CC40D-C2BB-4DA6-83D0-3942405E6C77}"/>
  </w:font>
  <w:font w:name="方正小标宋_GBK">
    <w:panose1 w:val="03000509000000000000"/>
    <w:charset w:val="86"/>
    <w:family w:val="auto"/>
    <w:pitch w:val="default"/>
    <w:sig w:usb0="00000001" w:usb1="080E0000" w:usb2="00000000" w:usb3="00000000" w:csb0="00040000" w:csb1="00000000"/>
    <w:embedRegular r:id="rId3" w:fontKey="{17BAD791-18CA-4346-B1BD-DC455A8A1354}"/>
  </w:font>
  <w:font w:name="仿宋_GB2312">
    <w:panose1 w:val="02010609030101010101"/>
    <w:charset w:val="86"/>
    <w:family w:val="auto"/>
    <w:pitch w:val="default"/>
    <w:sig w:usb0="00000001" w:usb1="080E0000" w:usb2="00000000" w:usb3="00000000" w:csb0="00040000" w:csb1="00000000"/>
    <w:embedRegular r:id="rId4" w:fontKey="{9F4A469B-4ABB-4D41-AD55-1E9FD67408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13"/>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青岛市房屋建筑施工安全生产考核管理平台</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操作使用手册</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主管部门端</w:t>
    </w:r>
    <w:r>
      <w:rPr>
        <w:rFonts w:hint="eastAsia" w:ascii="仿宋_GB2312" w:hAnsi="仿宋_GB2312" w:eastAsia="仿宋_GB2312" w:cs="仿宋_GB2312"/>
        <w:sz w:val="24"/>
        <w:szCs w:val="24"/>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7675D7"/>
    <w:multiLevelType w:val="singleLevel"/>
    <w:tmpl w:val="A37675D7"/>
    <w:lvl w:ilvl="0" w:tentative="0">
      <w:start w:val="1"/>
      <w:numFmt w:val="decimal"/>
      <w:suff w:val="nothing"/>
      <w:lvlText w:val="（%1）"/>
      <w:lvlJc w:val="left"/>
    </w:lvl>
  </w:abstractNum>
  <w:abstractNum w:abstractNumId="1">
    <w:nsid w:val="B5F03F07"/>
    <w:multiLevelType w:val="singleLevel"/>
    <w:tmpl w:val="B5F03F07"/>
    <w:lvl w:ilvl="0" w:tentative="0">
      <w:start w:val="1"/>
      <w:numFmt w:val="decimal"/>
      <w:suff w:val="nothing"/>
      <w:lvlText w:val="（%1）"/>
      <w:lvlJc w:val="left"/>
      <w:pPr>
        <w:ind w:left="-10"/>
      </w:pPr>
    </w:lvl>
  </w:abstractNum>
  <w:abstractNum w:abstractNumId="2">
    <w:nsid w:val="ECF871C8"/>
    <w:multiLevelType w:val="singleLevel"/>
    <w:tmpl w:val="ECF871C8"/>
    <w:lvl w:ilvl="0" w:tentative="0">
      <w:start w:val="1"/>
      <w:numFmt w:val="decimal"/>
      <w:suff w:val="nothing"/>
      <w:lvlText w:val="（%1）"/>
      <w:lvlJc w:val="left"/>
    </w:lvl>
  </w:abstractNum>
  <w:abstractNum w:abstractNumId="3">
    <w:nsid w:val="0320DF1B"/>
    <w:multiLevelType w:val="multilevel"/>
    <w:tmpl w:val="0320DF1B"/>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ascii="仿宋" w:hAnsi="仿宋" w:eastAsia="仿宋" w:cs="仿宋"/>
        <w:sz w:val="32"/>
        <w:szCs w:val="32"/>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4">
    <w:nsid w:val="0C5636E5"/>
    <w:multiLevelType w:val="singleLevel"/>
    <w:tmpl w:val="0C5636E5"/>
    <w:lvl w:ilvl="0" w:tentative="0">
      <w:start w:val="1"/>
      <w:numFmt w:val="decimal"/>
      <w:suff w:val="nothing"/>
      <w:lvlText w:val="（%1）"/>
      <w:lvlJc w:val="left"/>
    </w:lvl>
  </w:abstractNum>
  <w:abstractNum w:abstractNumId="5">
    <w:nsid w:val="19E777C3"/>
    <w:multiLevelType w:val="singleLevel"/>
    <w:tmpl w:val="19E777C3"/>
    <w:lvl w:ilvl="0" w:tentative="0">
      <w:start w:val="1"/>
      <w:numFmt w:val="decimal"/>
      <w:suff w:val="nothing"/>
      <w:lvlText w:val="（%1）"/>
      <w:lvlJc w:val="left"/>
      <w:pPr>
        <w:ind w:left="200"/>
      </w:pPr>
    </w:lvl>
  </w:abstractNum>
  <w:abstractNum w:abstractNumId="6">
    <w:nsid w:val="1AD7501E"/>
    <w:multiLevelType w:val="multilevel"/>
    <w:tmpl w:val="1AD7501E"/>
    <w:lvl w:ilvl="0" w:tentative="0">
      <w:start w:val="1"/>
      <w:numFmt w:val="chineseCounting"/>
      <w:pStyle w:val="2"/>
      <w:suff w:val="nothing"/>
      <w:lvlText w:val="%1、"/>
      <w:lvlJc w:val="left"/>
      <w:pPr>
        <w:tabs>
          <w:tab w:val="left" w:pos="0"/>
        </w:tabs>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7">
    <w:nsid w:val="4DFC65A3"/>
    <w:multiLevelType w:val="singleLevel"/>
    <w:tmpl w:val="4DFC65A3"/>
    <w:lvl w:ilvl="0" w:tentative="0">
      <w:start w:val="2"/>
      <w:numFmt w:val="decimal"/>
      <w:suff w:val="nothing"/>
      <w:lvlText w:val="（%1）"/>
      <w:lvlJc w:val="left"/>
    </w:lvl>
  </w:abstractNum>
  <w:abstractNum w:abstractNumId="8">
    <w:nsid w:val="52EFBFE5"/>
    <w:multiLevelType w:val="singleLevel"/>
    <w:tmpl w:val="52EFBFE5"/>
    <w:lvl w:ilvl="0" w:tentative="0">
      <w:start w:val="2"/>
      <w:numFmt w:val="decimal"/>
      <w:suff w:val="nothing"/>
      <w:lvlText w:val="（%1）"/>
      <w:lvlJc w:val="left"/>
    </w:lvl>
  </w:abstractNum>
  <w:num w:numId="1">
    <w:abstractNumId w:val="6"/>
  </w:num>
  <w:num w:numId="2">
    <w:abstractNumId w:val="3"/>
  </w:num>
  <w:num w:numId="3">
    <w:abstractNumId w:val="8"/>
  </w:num>
  <w:num w:numId="4">
    <w:abstractNumId w:val="5"/>
  </w:num>
  <w:num w:numId="5">
    <w:abstractNumId w:val="7"/>
  </w:num>
  <w:num w:numId="6">
    <w:abstractNumId w:val="0"/>
  </w:num>
  <w:num w:numId="7">
    <w:abstractNumId w:val="1"/>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zZWM4NDA5ZGMyNjUzN2FmZDVmYWRhNWNmNGQ1MTcifQ=="/>
  </w:docVars>
  <w:rsids>
    <w:rsidRoot w:val="0280795D"/>
    <w:rsid w:val="00013654"/>
    <w:rsid w:val="009835C9"/>
    <w:rsid w:val="01D84888"/>
    <w:rsid w:val="0280795D"/>
    <w:rsid w:val="02FA082F"/>
    <w:rsid w:val="03960557"/>
    <w:rsid w:val="03E33071"/>
    <w:rsid w:val="041676D2"/>
    <w:rsid w:val="051F457C"/>
    <w:rsid w:val="065B1AF1"/>
    <w:rsid w:val="069D39AB"/>
    <w:rsid w:val="06E70E26"/>
    <w:rsid w:val="07730A4D"/>
    <w:rsid w:val="07B70A9C"/>
    <w:rsid w:val="091F7F85"/>
    <w:rsid w:val="094422A3"/>
    <w:rsid w:val="09594501"/>
    <w:rsid w:val="09A75AD6"/>
    <w:rsid w:val="0A0007F1"/>
    <w:rsid w:val="0B2E0D28"/>
    <w:rsid w:val="0EC731B4"/>
    <w:rsid w:val="0F803E6A"/>
    <w:rsid w:val="10213D91"/>
    <w:rsid w:val="12521B4D"/>
    <w:rsid w:val="13BF31B2"/>
    <w:rsid w:val="13E7095B"/>
    <w:rsid w:val="13FC614D"/>
    <w:rsid w:val="14576575"/>
    <w:rsid w:val="14FE7D0A"/>
    <w:rsid w:val="15415E49"/>
    <w:rsid w:val="178C5E74"/>
    <w:rsid w:val="1A0A518D"/>
    <w:rsid w:val="1AA73428"/>
    <w:rsid w:val="1B1F4415"/>
    <w:rsid w:val="1B8A2C16"/>
    <w:rsid w:val="1C597F1C"/>
    <w:rsid w:val="1D1537EC"/>
    <w:rsid w:val="1D666D95"/>
    <w:rsid w:val="1E753139"/>
    <w:rsid w:val="1EA57449"/>
    <w:rsid w:val="1EDE5FA0"/>
    <w:rsid w:val="1F2157D9"/>
    <w:rsid w:val="1F933745"/>
    <w:rsid w:val="1FFC0537"/>
    <w:rsid w:val="21913E66"/>
    <w:rsid w:val="219C4B33"/>
    <w:rsid w:val="22001C0A"/>
    <w:rsid w:val="234C2589"/>
    <w:rsid w:val="25105DD6"/>
    <w:rsid w:val="257A783E"/>
    <w:rsid w:val="269205A8"/>
    <w:rsid w:val="2847027C"/>
    <w:rsid w:val="2A5D27F7"/>
    <w:rsid w:val="2C8B5ED0"/>
    <w:rsid w:val="2CA4467B"/>
    <w:rsid w:val="2D35408E"/>
    <w:rsid w:val="2E064B81"/>
    <w:rsid w:val="2F22723D"/>
    <w:rsid w:val="300F6E18"/>
    <w:rsid w:val="30812C8D"/>
    <w:rsid w:val="318019D6"/>
    <w:rsid w:val="31B732C3"/>
    <w:rsid w:val="32104C27"/>
    <w:rsid w:val="32770033"/>
    <w:rsid w:val="3279265B"/>
    <w:rsid w:val="33807A8C"/>
    <w:rsid w:val="341A2DFF"/>
    <w:rsid w:val="34A80273"/>
    <w:rsid w:val="34E42621"/>
    <w:rsid w:val="3553358D"/>
    <w:rsid w:val="35EF78B8"/>
    <w:rsid w:val="36211653"/>
    <w:rsid w:val="36243E00"/>
    <w:rsid w:val="36B82204"/>
    <w:rsid w:val="37876454"/>
    <w:rsid w:val="37996756"/>
    <w:rsid w:val="379E50E8"/>
    <w:rsid w:val="381D5D44"/>
    <w:rsid w:val="394014F6"/>
    <w:rsid w:val="39DA4FC2"/>
    <w:rsid w:val="3A610169"/>
    <w:rsid w:val="3A744447"/>
    <w:rsid w:val="3A7F2C50"/>
    <w:rsid w:val="3A8D5509"/>
    <w:rsid w:val="3B1902C2"/>
    <w:rsid w:val="3BC477F6"/>
    <w:rsid w:val="3E185DD0"/>
    <w:rsid w:val="408E0172"/>
    <w:rsid w:val="40A56011"/>
    <w:rsid w:val="41354204"/>
    <w:rsid w:val="417B60BB"/>
    <w:rsid w:val="42790B95"/>
    <w:rsid w:val="42FC76D0"/>
    <w:rsid w:val="434D5705"/>
    <w:rsid w:val="437A7D0D"/>
    <w:rsid w:val="447444F9"/>
    <w:rsid w:val="448D5E4F"/>
    <w:rsid w:val="44D0671E"/>
    <w:rsid w:val="46247E95"/>
    <w:rsid w:val="466C1FB6"/>
    <w:rsid w:val="471C3E9C"/>
    <w:rsid w:val="49A40861"/>
    <w:rsid w:val="49C842A4"/>
    <w:rsid w:val="4B4273E6"/>
    <w:rsid w:val="4B667DDC"/>
    <w:rsid w:val="4BF70A34"/>
    <w:rsid w:val="4E316796"/>
    <w:rsid w:val="4E845FF4"/>
    <w:rsid w:val="4E954498"/>
    <w:rsid w:val="4F42646A"/>
    <w:rsid w:val="50285660"/>
    <w:rsid w:val="51860D16"/>
    <w:rsid w:val="52047062"/>
    <w:rsid w:val="522E2CD6"/>
    <w:rsid w:val="533D178D"/>
    <w:rsid w:val="53B4545D"/>
    <w:rsid w:val="540006A2"/>
    <w:rsid w:val="542F3A47"/>
    <w:rsid w:val="544E7B7F"/>
    <w:rsid w:val="59C05598"/>
    <w:rsid w:val="5ACC7530"/>
    <w:rsid w:val="5B3E1BF4"/>
    <w:rsid w:val="5C9A259D"/>
    <w:rsid w:val="5D706D19"/>
    <w:rsid w:val="5D7C348F"/>
    <w:rsid w:val="5E386F73"/>
    <w:rsid w:val="5E7701EB"/>
    <w:rsid w:val="5EFF6126"/>
    <w:rsid w:val="5F1D035A"/>
    <w:rsid w:val="5FAB0A44"/>
    <w:rsid w:val="60D300CA"/>
    <w:rsid w:val="61700B90"/>
    <w:rsid w:val="62045801"/>
    <w:rsid w:val="62B24E53"/>
    <w:rsid w:val="63464323"/>
    <w:rsid w:val="637644DD"/>
    <w:rsid w:val="63AE604C"/>
    <w:rsid w:val="63EF6080"/>
    <w:rsid w:val="64C53665"/>
    <w:rsid w:val="64D63485"/>
    <w:rsid w:val="64DE791B"/>
    <w:rsid w:val="67DF58C7"/>
    <w:rsid w:val="68646DDF"/>
    <w:rsid w:val="68725BBA"/>
    <w:rsid w:val="68FE4C4E"/>
    <w:rsid w:val="690C6F5C"/>
    <w:rsid w:val="69925493"/>
    <w:rsid w:val="6A2627B9"/>
    <w:rsid w:val="6A582B8E"/>
    <w:rsid w:val="6A756A3B"/>
    <w:rsid w:val="6A9E4A45"/>
    <w:rsid w:val="6C172D01"/>
    <w:rsid w:val="6CF51D24"/>
    <w:rsid w:val="6DDB1B0C"/>
    <w:rsid w:val="6E1B015A"/>
    <w:rsid w:val="6E297E13"/>
    <w:rsid w:val="6E5C4592"/>
    <w:rsid w:val="6F9C0CC8"/>
    <w:rsid w:val="703536DA"/>
    <w:rsid w:val="70710506"/>
    <w:rsid w:val="70BC0FD8"/>
    <w:rsid w:val="71E74F23"/>
    <w:rsid w:val="72E0457B"/>
    <w:rsid w:val="73426189"/>
    <w:rsid w:val="73C100B8"/>
    <w:rsid w:val="74D65C35"/>
    <w:rsid w:val="76B0242E"/>
    <w:rsid w:val="77164B70"/>
    <w:rsid w:val="7737577B"/>
    <w:rsid w:val="78105A87"/>
    <w:rsid w:val="78146346"/>
    <w:rsid w:val="783F55F2"/>
    <w:rsid w:val="78884D70"/>
    <w:rsid w:val="794F6255"/>
    <w:rsid w:val="79BF0534"/>
    <w:rsid w:val="7A523156"/>
    <w:rsid w:val="7A8F3779"/>
    <w:rsid w:val="7B7346BE"/>
    <w:rsid w:val="7C015B3F"/>
    <w:rsid w:val="7C647170"/>
    <w:rsid w:val="7DAF0C8C"/>
    <w:rsid w:val="7DB91536"/>
    <w:rsid w:val="7E07436F"/>
    <w:rsid w:val="7E7A413F"/>
    <w:rsid w:val="7EDC1B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480" w:lineRule="auto"/>
      <w:ind w:left="0" w:firstLine="0"/>
      <w:jc w:val="left"/>
      <w:outlineLvl w:val="0"/>
    </w:pPr>
    <w:rPr>
      <w:rFonts w:eastAsia="黑体"/>
      <w:b/>
      <w:kern w:val="44"/>
      <w:sz w:val="36"/>
    </w:rPr>
  </w:style>
  <w:style w:type="paragraph" w:styleId="3">
    <w:name w:val="heading 2"/>
    <w:basedOn w:val="1"/>
    <w:next w:val="1"/>
    <w:unhideWhenUsed/>
    <w:qFormat/>
    <w:uiPriority w:val="0"/>
    <w:pPr>
      <w:keepNext/>
      <w:keepLines/>
      <w:numPr>
        <w:ilvl w:val="1"/>
        <w:numId w:val="1"/>
      </w:numPr>
      <w:spacing w:before="260" w:beforeLines="0" w:beforeAutospacing="0" w:after="260" w:afterLines="0" w:afterAutospacing="0" w:line="413" w:lineRule="auto"/>
      <w:ind w:left="0" w:firstLine="0"/>
      <w:outlineLvl w:val="1"/>
    </w:pPr>
    <w:rPr>
      <w:rFonts w:ascii="Arial" w:hAnsi="Arial" w:eastAsia="宋体"/>
      <w:b/>
      <w:sz w:val="32"/>
    </w:rPr>
  </w:style>
  <w:style w:type="paragraph" w:styleId="4">
    <w:name w:val="heading 3"/>
    <w:basedOn w:val="1"/>
    <w:next w:val="1"/>
    <w:unhideWhenUsed/>
    <w:qFormat/>
    <w:uiPriority w:val="0"/>
    <w:pPr>
      <w:keepNext/>
      <w:keepLines/>
      <w:numPr>
        <w:ilvl w:val="2"/>
        <w:numId w:val="1"/>
      </w:numPr>
      <w:spacing w:before="260" w:beforeLines="0" w:beforeAutospacing="0" w:after="260" w:afterLines="0" w:afterAutospacing="0" w:line="413" w:lineRule="auto"/>
      <w:ind w:left="0" w:firstLine="400"/>
      <w:outlineLvl w:val="2"/>
    </w:pPr>
    <w:rPr>
      <w:rFonts w:eastAsia="宋体"/>
      <w:b/>
      <w:sz w:val="30"/>
    </w:rPr>
  </w:style>
  <w:style w:type="paragraph" w:styleId="5">
    <w:name w:val="heading 4"/>
    <w:basedOn w:val="1"/>
    <w:next w:val="1"/>
    <w:unhideWhenUsed/>
    <w:qFormat/>
    <w:uiPriority w:val="0"/>
    <w:pPr>
      <w:keepNext/>
      <w:keepLines/>
      <w:numPr>
        <w:ilvl w:val="3"/>
        <w:numId w:val="1"/>
      </w:numPr>
      <w:spacing w:before="280" w:beforeLines="0" w:beforeAutospacing="0" w:after="290" w:afterLines="0" w:afterAutospacing="0" w:line="372" w:lineRule="auto"/>
      <w:ind w:left="0" w:firstLine="402"/>
      <w:outlineLvl w:val="3"/>
    </w:pPr>
    <w:rPr>
      <w:rFonts w:ascii="Arial" w:hAnsi="Arial" w:eastAsia="黑体"/>
      <w:b/>
      <w:sz w:val="28"/>
    </w:rPr>
  </w:style>
  <w:style w:type="paragraph" w:styleId="6">
    <w:name w:val="heading 5"/>
    <w:basedOn w:val="1"/>
    <w:next w:val="1"/>
    <w:unhideWhenUsed/>
    <w:qFormat/>
    <w:uiPriority w:val="0"/>
    <w:pPr>
      <w:keepNext/>
      <w:keepLines/>
      <w:numPr>
        <w:ilvl w:val="4"/>
        <w:numId w:val="1"/>
      </w:numPr>
      <w:spacing w:before="280" w:beforeLines="0" w:beforeAutospacing="0" w:after="290" w:afterLines="0" w:afterAutospacing="0" w:line="372" w:lineRule="auto"/>
      <w:ind w:left="0" w:firstLine="402"/>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0" w:firstLine="402"/>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0" w:firstLine="402"/>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0" w:firstLine="402"/>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0" w:firstLine="402"/>
      <w:outlineLvl w:val="8"/>
    </w:pPr>
    <w:rPr>
      <w:rFonts w:ascii="Arial" w:hAnsi="Arial" w:eastAsia="黑体"/>
      <w:sz w:val="21"/>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toc 3"/>
    <w:basedOn w:val="1"/>
    <w:next w:val="1"/>
    <w:qFormat/>
    <w:uiPriority w:val="0"/>
    <w:pPr>
      <w:ind w:left="840" w:leftChars="400"/>
    </w:p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toc 4"/>
    <w:basedOn w:val="1"/>
    <w:next w:val="1"/>
    <w:qFormat/>
    <w:uiPriority w:val="0"/>
    <w:pPr>
      <w:ind w:left="1260" w:leftChars="600"/>
    </w:pPr>
  </w:style>
  <w:style w:type="paragraph" w:styleId="17">
    <w:name w:val="toc 2"/>
    <w:basedOn w:val="1"/>
    <w:next w:val="1"/>
    <w:qFormat/>
    <w:uiPriority w:val="0"/>
    <w:pPr>
      <w:ind w:left="420" w:leftChars="2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qFormat/>
    <w:uiPriority w:val="0"/>
    <w:rPr>
      <w:color w:val="0000FF"/>
      <w:u w:val="single"/>
    </w:rPr>
  </w:style>
  <w:style w:type="paragraph" w:customStyle="1" w:styleId="22">
    <w:name w:val="WPSOffice手动目录 1"/>
    <w:qFormat/>
    <w:uiPriority w:val="0"/>
    <w:pPr>
      <w:ind w:leftChars="0"/>
    </w:pPr>
    <w:rPr>
      <w:rFonts w:ascii="Times New Roman" w:hAnsi="Times New Roman" w:eastAsia="宋体" w:cs="Times New Roman"/>
      <w:sz w:val="20"/>
      <w:szCs w:val="20"/>
    </w:rPr>
  </w:style>
  <w:style w:type="paragraph" w:customStyle="1" w:styleId="23">
    <w:name w:val="WPSOffice手动目录 2"/>
    <w:qFormat/>
    <w:uiPriority w:val="0"/>
    <w:pPr>
      <w:ind w:leftChars="200"/>
    </w:pPr>
    <w:rPr>
      <w:rFonts w:ascii="Times New Roman" w:hAnsi="Times New Roman" w:eastAsia="宋体" w:cs="Times New Roman"/>
      <w:sz w:val="20"/>
      <w:szCs w:val="20"/>
    </w:rPr>
  </w:style>
  <w:style w:type="paragraph" w:customStyle="1" w:styleId="24">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697</Words>
  <Characters>811</Characters>
  <Lines>0</Lines>
  <Paragraphs>0</Paragraphs>
  <TotalTime>0</TotalTime>
  <ScaleCrop>false</ScaleCrop>
  <LinksUpToDate>false</LinksUpToDate>
  <CharactersWithSpaces>896</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2024-07-31T00:16:00Z</dcterms:created>
  <dc:creator>非你不可</dc:creator>
  <cp:lastModifiedBy>青岛市住房和城乡建设局</cp:lastModifiedBy>
  <dcterms:modified xsi:type="dcterms:W3CDTF">2025-06-13T03:10:12Z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8CA2D30CCC8C4A8A839F4B0C1E2EEF0D_13</vt:lpwstr>
  </property>
  <property fmtid="{D5CDD505-2E9C-101B-9397-08002B2CF9AE}" pid="4" name="KSOTemplateDocerSaveRecord">
    <vt:lpwstr>eyJoZGlkIjoiNWVmMTg3ZDk3MGZmYmEzYmQ4ZDEzNzNjMzFhZDRjZDIiLCJ1c2VySWQiOiI1NzAyNzE5MjEifQ==</vt:lpwstr>
  </property>
</Properties>
</file>