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11" w:rsidRPr="00A419A5" w:rsidRDefault="00282311" w:rsidP="00282311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 w:rsidRPr="00A419A5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2021年度市直单位业务目标</w:t>
      </w:r>
    </w:p>
    <w:p w:rsidR="00BE273F" w:rsidRPr="00A419A5" w:rsidRDefault="00A00B93">
      <w:pPr>
        <w:snapToGrid w:val="0"/>
        <w:spacing w:line="300" w:lineRule="auto"/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</w:pPr>
      <w:r w:rsidRPr="00A419A5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 xml:space="preserve">单位名称：市科技局      </w:t>
      </w:r>
      <w:r w:rsidR="00BA3EB5" w:rsidRPr="00A419A5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419A5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>主要负责人：吕鹏         联系人：张心怡</w:t>
      </w:r>
      <w:r w:rsidR="00BA3EB5" w:rsidRPr="00A419A5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 xml:space="preserve">           </w:t>
      </w:r>
      <w:r w:rsidRPr="00A419A5">
        <w:rPr>
          <w:rFonts w:ascii="楷体_GB2312" w:eastAsia="楷体_GB2312" w:hAnsi="Times New Roman" w:cs="Times New Roman" w:hint="eastAsia"/>
          <w:color w:val="000000" w:themeColor="text1"/>
          <w:sz w:val="28"/>
          <w:szCs w:val="28"/>
        </w:rPr>
        <w:t xml:space="preserve">  联系电话：</w:t>
      </w:r>
      <w:r w:rsidRPr="00A419A5">
        <w:rPr>
          <w:rFonts w:ascii="楷体_GB2312" w:eastAsia="楷体_GB2312" w:hAnsi="Times New Roman" w:cs="Times New Roman"/>
          <w:color w:val="000000" w:themeColor="text1"/>
          <w:sz w:val="28"/>
          <w:szCs w:val="28"/>
        </w:rPr>
        <w:t>85911339</w:t>
      </w:r>
    </w:p>
    <w:tbl>
      <w:tblPr>
        <w:tblW w:w="14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60"/>
        <w:gridCol w:w="3121"/>
        <w:gridCol w:w="10191"/>
      </w:tblGrid>
      <w:tr w:rsidR="00A419A5" w:rsidRPr="00A419A5" w:rsidTr="002B14E4">
        <w:trPr>
          <w:trHeight w:val="169"/>
          <w:tblHeader/>
          <w:jc w:val="center"/>
        </w:trPr>
        <w:tc>
          <w:tcPr>
            <w:tcW w:w="560" w:type="dxa"/>
            <w:vAlign w:val="center"/>
          </w:tcPr>
          <w:p w:rsidR="00054662" w:rsidRPr="00A419A5" w:rsidRDefault="00054662" w:rsidP="001C7E01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A419A5">
              <w:rPr>
                <w:rFonts w:eastAsia="黑体" w:hint="eastAsia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560" w:type="dxa"/>
            <w:vAlign w:val="center"/>
          </w:tcPr>
          <w:p w:rsidR="00054662" w:rsidRPr="00A419A5" w:rsidRDefault="00054662" w:rsidP="001C7E01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A419A5">
              <w:rPr>
                <w:rFonts w:eastAsia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121" w:type="dxa"/>
            <w:vAlign w:val="center"/>
          </w:tcPr>
          <w:p w:rsidR="00054662" w:rsidRPr="00A419A5" w:rsidRDefault="00054662" w:rsidP="001C7E01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A419A5">
              <w:rPr>
                <w:rFonts w:eastAsia="黑体" w:hint="eastAsia"/>
                <w:color w:val="000000" w:themeColor="text1"/>
                <w:sz w:val="28"/>
                <w:szCs w:val="28"/>
              </w:rPr>
              <w:t>目标名称</w:t>
            </w:r>
          </w:p>
        </w:tc>
        <w:tc>
          <w:tcPr>
            <w:tcW w:w="10191" w:type="dxa"/>
            <w:vAlign w:val="center"/>
          </w:tcPr>
          <w:p w:rsidR="00054662" w:rsidRPr="00A419A5" w:rsidRDefault="00054662" w:rsidP="001C7E01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A419A5">
              <w:rPr>
                <w:rFonts w:eastAsia="黑体" w:hint="eastAsia"/>
                <w:color w:val="000000" w:themeColor="text1"/>
                <w:sz w:val="28"/>
                <w:szCs w:val="28"/>
              </w:rPr>
              <w:t>目标内容</w:t>
            </w:r>
          </w:p>
        </w:tc>
      </w:tr>
      <w:tr w:rsidR="00A419A5" w:rsidRPr="00A419A5" w:rsidTr="00C340B0">
        <w:trPr>
          <w:cantSplit/>
          <w:trHeight w:val="2909"/>
          <w:jc w:val="center"/>
        </w:trPr>
        <w:tc>
          <w:tcPr>
            <w:tcW w:w="560" w:type="dxa"/>
            <w:vMerge w:val="restart"/>
            <w:vAlign w:val="center"/>
          </w:tcPr>
          <w:p w:rsidR="00FE32BD" w:rsidRPr="00A419A5" w:rsidRDefault="00FE32BD" w:rsidP="001C7E01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</w:rPr>
            </w:pPr>
            <w:r w:rsidRPr="00A419A5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</w:rPr>
              <w:t>重点目标</w:t>
            </w: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加强科技创新改革谋划</w:t>
            </w:r>
          </w:p>
        </w:tc>
        <w:tc>
          <w:tcPr>
            <w:tcW w:w="10191" w:type="dxa"/>
            <w:vAlign w:val="center"/>
          </w:tcPr>
          <w:p w:rsidR="00FE32BD" w:rsidRPr="00A419A5" w:rsidRDefault="00D850DA" w:rsidP="00FE32BD">
            <w:pPr>
              <w:snapToGrid w:val="0"/>
              <w:spacing w:line="320" w:lineRule="exact"/>
              <w:ind w:firstLineChars="200" w:firstLine="560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强化科技战略规划，高水平编制“十四五”科技创新专项规划，加快打造国际化创新型城市。深化科技引领城建设攻势，制定《科技引领城建设攻势作战方案3.0版》。编制海洋科技创新行动方案，加快培育海洋科技企业。推进科技奖励改革，修订《青岛市科学技术奖励办法》。强化科技监督诚信，出台《青岛市科技计划项目实施过程管理办法》，将监督检查嵌入科技管理全过程。出台《青岛市科技计划项目绩效评价管理规范》，开展科技计划项目综合绩效分类评价研究。建立科研诚信联席会议制度，出台《关于进一步加强科研诚信建设的实施意见》。召开青岛市科技创新大会。</w:t>
            </w:r>
          </w:p>
        </w:tc>
      </w:tr>
      <w:tr w:rsidR="00A419A5" w:rsidRPr="00A419A5" w:rsidTr="00C340B0">
        <w:trPr>
          <w:cantSplit/>
          <w:trHeight w:val="2835"/>
          <w:jc w:val="center"/>
        </w:trPr>
        <w:tc>
          <w:tcPr>
            <w:tcW w:w="560" w:type="dxa"/>
            <w:vMerge/>
            <w:vAlign w:val="center"/>
          </w:tcPr>
          <w:p w:rsidR="00FE32BD" w:rsidRPr="00A419A5" w:rsidRDefault="00FE32BD" w:rsidP="001C7E01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加快高端创新平台建设</w:t>
            </w:r>
          </w:p>
        </w:tc>
        <w:tc>
          <w:tcPr>
            <w:tcW w:w="10191" w:type="dxa"/>
            <w:vAlign w:val="center"/>
          </w:tcPr>
          <w:p w:rsidR="00FE32BD" w:rsidRPr="00A419A5" w:rsidRDefault="00FE32BD" w:rsidP="00FE32BD">
            <w:pPr>
              <w:snapToGrid w:val="0"/>
              <w:spacing w:line="320" w:lineRule="exact"/>
              <w:ind w:firstLineChars="200" w:firstLine="560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支持海洋试点国家实验室入列，实施“透明海洋”“蓝色药库”等重点科研项目，推动中科院海洋大科学研究中心投入运行，全力推进中船重工海洋装备研究院投入使用，增强海洋科技自主创新能力。支持国家高速列车技术创新中心开展轨道交通领域关键技术研究。推进各级重点实验室建设，加快山东能源研究院、青岛新能源山东省实验室建设，打造能源领域创新高地。推进超算升级项目，建设国家超级计算中心。支持设立以产业技术研发为主的新型研发机构。建设山东产业技术研究院（青岛），集聚优质创新资源在青转化产业化。支持企业积极争取建设国家级、省级技术创新中心，认定建设各级技术创新中心150家以上。</w:t>
            </w:r>
          </w:p>
        </w:tc>
      </w:tr>
      <w:tr w:rsidR="00A419A5" w:rsidRPr="00A419A5" w:rsidTr="004951FC">
        <w:trPr>
          <w:cantSplit/>
          <w:trHeight w:val="2780"/>
          <w:jc w:val="center"/>
        </w:trPr>
        <w:tc>
          <w:tcPr>
            <w:tcW w:w="560" w:type="dxa"/>
            <w:vMerge/>
            <w:vAlign w:val="center"/>
          </w:tcPr>
          <w:p w:rsidR="00FE32BD" w:rsidRPr="00A419A5" w:rsidRDefault="00FE32BD" w:rsidP="001C7E01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强化科技人才引进培养</w:t>
            </w:r>
          </w:p>
        </w:tc>
        <w:tc>
          <w:tcPr>
            <w:tcW w:w="10191" w:type="dxa"/>
            <w:vAlign w:val="center"/>
          </w:tcPr>
          <w:p w:rsidR="00FE32BD" w:rsidRPr="00A419A5" w:rsidRDefault="00FE32BD" w:rsidP="00FE32BD">
            <w:pPr>
              <w:snapToGrid w:val="0"/>
              <w:spacing w:line="320" w:lineRule="exact"/>
              <w:ind w:firstLineChars="200" w:firstLine="560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实施产业领军人才（团队）计划，出台青岛市产业领军人才（团队）选拔管理办法，推动人才项目与产业精准结合。加强高层次科技创新创业人才（团队）引进培养，积极推荐申报省级、国家级科技人才项目工程。加快建设国家技术转移人才培养基地，大力培养技术经纪人队伍。开展市级离岸创新创业基地认定，打造海外人才项目承接和转化新平台。做好高级专家协会化学化工分会市区共建相关工作。出台外国人在青工作管理办法，推进外国人来华管理工作改革。在自贸区、上合示范区、高新区设立运行外国人来华工作许可办理服务窗口。深化外国专家换用汇便利化试点，优化外国人才换用汇办理流程。</w:t>
            </w:r>
          </w:p>
        </w:tc>
      </w:tr>
      <w:tr w:rsidR="00A419A5" w:rsidRPr="00A419A5" w:rsidTr="008938C2">
        <w:trPr>
          <w:cantSplit/>
          <w:trHeight w:val="2238"/>
          <w:jc w:val="center"/>
        </w:trPr>
        <w:tc>
          <w:tcPr>
            <w:tcW w:w="560" w:type="dxa"/>
            <w:vMerge/>
            <w:vAlign w:val="center"/>
          </w:tcPr>
          <w:p w:rsidR="00FE32BD" w:rsidRPr="00A419A5" w:rsidRDefault="00FE32BD" w:rsidP="001C7E01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深化国际科技交流合作</w:t>
            </w:r>
          </w:p>
        </w:tc>
        <w:tc>
          <w:tcPr>
            <w:tcW w:w="10191" w:type="dxa"/>
            <w:vAlign w:val="center"/>
          </w:tcPr>
          <w:p w:rsidR="00FE32BD" w:rsidRPr="00A419A5" w:rsidRDefault="00D850DA" w:rsidP="00BB3722">
            <w:pPr>
              <w:snapToGrid w:val="0"/>
              <w:spacing w:line="32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推进中国-上海合作组织技术转移中心建设，促进与上合国家、“一带一路”沿线国家科技合作。推进中德青年科学院建设，促进中德科技项目合作与科技人才交流。建设青岛认知人工智能研究院，开展务实合作。加快中国—泰国轨道交通联合实验室建设，争创中国—沙特石油能源“一带一路”联合实验室，搭建国际科技合作新平台。强化国际科技合作基地管理，积极组织企业、院所承担国际科技合作项目，拓宽国际科技合作渠道。</w:t>
            </w:r>
          </w:p>
        </w:tc>
      </w:tr>
      <w:tr w:rsidR="00A419A5" w:rsidRPr="00A419A5" w:rsidTr="008938C2">
        <w:trPr>
          <w:cantSplit/>
          <w:trHeight w:val="2695"/>
          <w:jc w:val="center"/>
        </w:trPr>
        <w:tc>
          <w:tcPr>
            <w:tcW w:w="560" w:type="dxa"/>
            <w:vMerge/>
            <w:vAlign w:val="center"/>
          </w:tcPr>
          <w:p w:rsidR="00FE32BD" w:rsidRPr="00A419A5" w:rsidRDefault="00FE32BD" w:rsidP="001C7E01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强化高新技术产业培育</w:t>
            </w:r>
          </w:p>
        </w:tc>
        <w:tc>
          <w:tcPr>
            <w:tcW w:w="10191" w:type="dxa"/>
            <w:vAlign w:val="center"/>
          </w:tcPr>
          <w:p w:rsidR="00FE32BD" w:rsidRPr="00A419A5" w:rsidRDefault="00FE32BD" w:rsidP="00FE32BD">
            <w:pPr>
              <w:snapToGrid w:val="0"/>
              <w:spacing w:line="320" w:lineRule="exact"/>
              <w:ind w:firstLineChars="200" w:firstLine="560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聚焦新一代信息技术、智能制造、新能源新材料、现代海洋、国际合作等领域，开展关键技术攻关和应用示范。开展“科技抗疫—先进技术推广应用‘百城百园’行动”，围绕医疗医药、智能工厂等方向组织科技项目。推进“氢进万家”科技示范工程。加快科技项目建设，积极引进中关村医学工程转化中心等项目，推动生物医药军民融合协同创新中心、高端轴承青岛示范基地、青岛科学仪器产业园等项目落地建设。壮大科技企业队伍，强化高新技术企业培育，争取总数突破5300家。实施高新技术企业上市行动,争取新增上市高新技术企业6家。</w:t>
            </w:r>
            <w:r w:rsidR="00E468D8"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力争</w:t>
            </w:r>
            <w:r w:rsidR="007234D9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承担的其他营利性</w:t>
            </w:r>
            <w:r w:rsidR="00E468D8"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服务业营业收入增长25%左右。</w:t>
            </w:r>
            <w:bookmarkStart w:id="0" w:name="_GoBack"/>
            <w:bookmarkEnd w:id="0"/>
          </w:p>
        </w:tc>
      </w:tr>
      <w:tr w:rsidR="00A419A5" w:rsidRPr="00A419A5" w:rsidTr="001245EE">
        <w:trPr>
          <w:cantSplit/>
          <w:trHeight w:val="2497"/>
          <w:jc w:val="center"/>
        </w:trPr>
        <w:tc>
          <w:tcPr>
            <w:tcW w:w="560" w:type="dxa"/>
            <w:vMerge/>
            <w:vAlign w:val="center"/>
          </w:tcPr>
          <w:p w:rsidR="00FE32BD" w:rsidRPr="00A419A5" w:rsidRDefault="00FE32BD" w:rsidP="001C7E01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56197A">
            <w:pPr>
              <w:snapToGrid w:val="0"/>
              <w:spacing w:line="320" w:lineRule="exact"/>
              <w:jc w:val="lef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提高科技支持民生改善能力</w:t>
            </w:r>
          </w:p>
        </w:tc>
        <w:tc>
          <w:tcPr>
            <w:tcW w:w="10191" w:type="dxa"/>
            <w:vAlign w:val="center"/>
          </w:tcPr>
          <w:p w:rsidR="00FE32BD" w:rsidRPr="00A419A5" w:rsidRDefault="00FE32BD" w:rsidP="00FE32BD">
            <w:pPr>
              <w:snapToGrid w:val="0"/>
              <w:spacing w:line="320" w:lineRule="exact"/>
              <w:ind w:firstLineChars="200" w:firstLine="56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在人口与健康、农业科技、城市发展领域实施科技惠民引导示范。围绕重大疾病早期诊治、中医药关键技术、妇儿疾病、康复与医养健康等方向组织临床应用，提升医疗卫生技术水平。培育建设市级临床医学研究中心，争创1-2家省级临床医学中心。落实乡村振兴战略，实施科技特派员计划，组织开展育种、健康养殖、智慧农业与机械装备等技术攻关和应用示范。加强公共安全、生态环境保护等领域科技支撑，布局食品安全、社会安全、低碳节能技术、生态环境修复保护等示范工程。</w:t>
            </w:r>
          </w:p>
        </w:tc>
      </w:tr>
      <w:tr w:rsidR="00A419A5" w:rsidRPr="00A419A5" w:rsidTr="001245EE">
        <w:trPr>
          <w:cantSplit/>
          <w:trHeight w:val="2953"/>
          <w:jc w:val="center"/>
        </w:trPr>
        <w:tc>
          <w:tcPr>
            <w:tcW w:w="560" w:type="dxa"/>
            <w:vMerge/>
            <w:vAlign w:val="center"/>
          </w:tcPr>
          <w:p w:rsidR="00FE32BD" w:rsidRPr="00A419A5" w:rsidRDefault="00FE32BD" w:rsidP="001C7E01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加强科技金融服务支撑</w:t>
            </w:r>
          </w:p>
        </w:tc>
        <w:tc>
          <w:tcPr>
            <w:tcW w:w="10191" w:type="dxa"/>
            <w:vAlign w:val="center"/>
          </w:tcPr>
          <w:p w:rsidR="00FE32BD" w:rsidRPr="00A419A5" w:rsidRDefault="00FE32BD" w:rsidP="00FE32BD">
            <w:pPr>
              <w:snapToGrid w:val="0"/>
              <w:spacing w:line="320" w:lineRule="exact"/>
              <w:ind w:firstLineChars="200" w:firstLine="560"/>
              <w:jc w:val="lef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推进科技金融产品扩面增量，聚焦科技型中小企业和高新技术企业，会同中国人民银行青岛市中心支行扩大科技信贷“白名单”企业数量，推动金融机构加大对“白名单”企业信贷支持，推动金融机构优化“投保贷联动”等科技金融产品，促进企业获得更多信贷资金支持。发挥科技金融特派员作用，常态化组织开展特派员“四链”协同赋能科技企业融资纾困行动、银企对接、科技金融沙龙等助企活动、融资路演对接活动，为企业发展资本赋能。推动科创母基金加快投出用好，推动齐鲁前海（青岛）创业投资基金——北方基金设立并一期资金实缴到位，完成中基协基金备案，开展项目投资，发挥基金招商作用。</w:t>
            </w:r>
          </w:p>
        </w:tc>
      </w:tr>
      <w:tr w:rsidR="00A419A5" w:rsidRPr="00A419A5" w:rsidTr="008F5C34">
        <w:trPr>
          <w:cantSplit/>
          <w:trHeight w:val="5190"/>
          <w:jc w:val="center"/>
        </w:trPr>
        <w:tc>
          <w:tcPr>
            <w:tcW w:w="560" w:type="dxa"/>
            <w:vMerge w:val="restart"/>
            <w:vAlign w:val="center"/>
          </w:tcPr>
          <w:p w:rsidR="00FE32BD" w:rsidRPr="00A419A5" w:rsidRDefault="00FE32BD" w:rsidP="001C7E01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</w:rPr>
            </w:pPr>
            <w:r w:rsidRPr="00A419A5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</w:rPr>
              <w:lastRenderedPageBreak/>
              <w:t>创优目标</w:t>
            </w: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深化科技管理改革</w:t>
            </w:r>
          </w:p>
        </w:tc>
        <w:tc>
          <w:tcPr>
            <w:tcW w:w="10191" w:type="dxa"/>
            <w:vAlign w:val="center"/>
          </w:tcPr>
          <w:p w:rsidR="00FE32BD" w:rsidRPr="00A419A5" w:rsidRDefault="00FE32BD" w:rsidP="00EC3003">
            <w:pPr>
              <w:snapToGrid w:val="0"/>
              <w:spacing w:line="320" w:lineRule="exact"/>
              <w:ind w:firstLineChars="200" w:firstLine="560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创新科技园区管理，</w:t>
            </w: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成立工作专班，加强高新区“一区多园”统筹服务，引导“一区多园”围绕特色产业错位发展，推动高新区争取实现进位争先。布局科教产融合园区，市、区两级政策联动，合力打造具有影响力的专业化园区。</w:t>
            </w:r>
            <w:r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创新科技计划管理，</w:t>
            </w: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开展科技计划管理改革，在创新战略研究计划项目中推行“包干制”试点,在科技惠民示范引导专项中试点“组阁揭榜”。制定2021年青岛市科技计划管理改革方案，修订出台青岛市科技计划项目管理暂行办法、青岛市科学技术专项资金管理办法等系列计划管理文件。争创部省联动科技监督评估和诚信管理改革试点城市。创新科技服务管理，推动重点企业面向高校院所开放中试基地，提供场景式解决方案。发挥“半岛科创联盟”平台作用，通过“平台化聚合+互联网化服务+市场化运营”，常态化开展产学研对接活动，促进企业行业技术需求与高校院所科研供给紧密结合。</w:t>
            </w:r>
            <w:r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创新高企大数据管理。</w:t>
            </w: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培育环节开展大数据精准挖潜，聚焦优质潜力企业精准发力。认定环节开展大数据对比筛查，建立快捷准确的信用屏障。上市环节开展大数据把脉诊断，集成各类资源精准赋能推动高企上市。</w:t>
            </w:r>
          </w:p>
          <w:p w:rsidR="00FE32BD" w:rsidRPr="00A419A5" w:rsidRDefault="003360A5" w:rsidP="00FE32BD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仿宋_GB2312" w:eastAsia="仿宋_GB2312" w:hAnsi="宋体-18030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8"/>
                <w:szCs w:val="28"/>
              </w:rPr>
              <w:t>标杆城市及标杆值：</w:t>
            </w:r>
            <w:r w:rsidR="00FE32BD"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争取在全国副省级城市中，率先获批开展“科技部省联动科技监督评估和诚信管理改革试点”。</w:t>
            </w:r>
          </w:p>
        </w:tc>
      </w:tr>
      <w:tr w:rsidR="00FE32BD" w:rsidRPr="00A419A5" w:rsidTr="008F5C34">
        <w:trPr>
          <w:cantSplit/>
          <w:trHeight w:val="4056"/>
          <w:jc w:val="center"/>
        </w:trPr>
        <w:tc>
          <w:tcPr>
            <w:tcW w:w="560" w:type="dxa"/>
            <w:vMerge/>
            <w:vAlign w:val="center"/>
          </w:tcPr>
          <w:p w:rsidR="00FE32BD" w:rsidRPr="00A419A5" w:rsidRDefault="00FE32BD" w:rsidP="001C7E01">
            <w:pPr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E32BD" w:rsidRPr="00A419A5" w:rsidRDefault="00FE32BD" w:rsidP="002B14E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1" w:type="dxa"/>
            <w:vAlign w:val="center"/>
          </w:tcPr>
          <w:p w:rsidR="00FE32BD" w:rsidRPr="00A419A5" w:rsidRDefault="00FE32BD" w:rsidP="002B14E4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培育优质创新创业生态</w:t>
            </w:r>
          </w:p>
        </w:tc>
        <w:tc>
          <w:tcPr>
            <w:tcW w:w="10191" w:type="dxa"/>
            <w:vAlign w:val="center"/>
          </w:tcPr>
          <w:p w:rsidR="00FE32BD" w:rsidRPr="00A419A5" w:rsidRDefault="00FE32BD" w:rsidP="00EC3003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拓展创新创业空间，</w:t>
            </w: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争取科技部创新街区试点，优化城市空间布局和创新创业生态环境。深化孵化器提升行动，放大华夏基石、春光里、创业黑马等科技服务机构平台效应，引进培育产业链上下游企业30家，打造2-3家标杆孵化器。</w:t>
            </w:r>
            <w:r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举办创新创业活动，</w:t>
            </w: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高标准举办青岛市创新节、中国创新创业大赛、中国创新挑战赛等重大活动，打造具有影响力的创新创业活动品牌。聚焦行业细分领域，举办科创沙龙等20余场，构建创新创业社群。</w:t>
            </w:r>
            <w:r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完善创新创业政策，</w:t>
            </w: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落实好研发后补助、税收优惠、科技创新券等支持政策，鼓励支持科技型企业群体加大创新投入力度，开展研究开发和技术创新，激发企业创新创业活力。</w:t>
            </w:r>
            <w:r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营造创新创业氛围，</w:t>
            </w:r>
            <w:r w:rsidRPr="00A419A5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强化科学技术普及，开展科技活动周系列活动100场以上，提高公众科学素养。</w:t>
            </w:r>
          </w:p>
          <w:p w:rsidR="00FE32BD" w:rsidRPr="00A419A5" w:rsidRDefault="003360A5" w:rsidP="003360A5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A419A5"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8"/>
                <w:szCs w:val="28"/>
              </w:rPr>
              <w:t>标杆城市及标杆值：</w:t>
            </w:r>
            <w:r w:rsidR="00FE32BD" w:rsidRPr="00A419A5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在科技部创新平台布局方面，争取进入全国首批试点行列。</w:t>
            </w:r>
          </w:p>
        </w:tc>
      </w:tr>
    </w:tbl>
    <w:p w:rsidR="00BE273F" w:rsidRPr="00A419A5" w:rsidRDefault="00BE273F">
      <w:pPr>
        <w:adjustRightInd w:val="0"/>
        <w:snapToGrid w:val="0"/>
        <w:spacing w:line="320" w:lineRule="exact"/>
        <w:rPr>
          <w:rFonts w:ascii="仿宋_GB2312" w:eastAsia="仿宋_GB2312" w:hAnsi="宋体-18030" w:cs="Times New Roman"/>
          <w:color w:val="000000" w:themeColor="text1"/>
          <w:sz w:val="24"/>
          <w:szCs w:val="24"/>
        </w:rPr>
      </w:pPr>
    </w:p>
    <w:sectPr w:rsidR="00BE273F" w:rsidRPr="00A419A5" w:rsidSect="00BE273F">
      <w:headerReference w:type="default" r:id="rId8"/>
      <w:footerReference w:type="default" r:id="rId9"/>
      <w:pgSz w:w="16838" w:h="11906" w:orient="landscape"/>
      <w:pgMar w:top="1588" w:right="2098" w:bottom="1474" w:left="1985" w:header="851" w:footer="992" w:gutter="0"/>
      <w:pgNumType w:fmt="numberInDash"/>
      <w:cols w:space="720"/>
      <w:docGrid w:type="lines" w:linePitch="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3F" w:rsidRPr="00487FF1" w:rsidRDefault="00A2643F" w:rsidP="00BE273F">
      <w:pPr>
        <w:ind w:firstLine="640"/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A2643F" w:rsidRPr="00487FF1" w:rsidRDefault="00A2643F" w:rsidP="00BE273F">
      <w:pPr>
        <w:ind w:firstLine="640"/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F" w:rsidRDefault="002B3EC1">
    <w:pPr>
      <w:pStyle w:val="a8"/>
      <w:framePr w:wrap="around" w:vAnchor="text" w:hAnchor="margin" w:xAlign="outside" w:y="1"/>
      <w:rPr>
        <w:rStyle w:val="ad"/>
        <w:rFonts w:ascii="宋体" w:cs="Times New Roman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fldChar w:fldCharType="begin"/>
    </w:r>
    <w:r w:rsidR="00A00B93"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 w:rsidR="007234D9">
      <w:rPr>
        <w:rStyle w:val="ad"/>
        <w:rFonts w:ascii="宋体" w:hAnsi="宋体" w:cs="宋体"/>
        <w:noProof/>
        <w:sz w:val="28"/>
        <w:szCs w:val="28"/>
      </w:rPr>
      <w:t>- 2 -</w:t>
    </w:r>
    <w:r>
      <w:rPr>
        <w:rStyle w:val="ad"/>
        <w:rFonts w:ascii="宋体" w:hAnsi="宋体" w:cs="宋体"/>
        <w:sz w:val="28"/>
        <w:szCs w:val="28"/>
      </w:rPr>
      <w:fldChar w:fldCharType="end"/>
    </w:r>
  </w:p>
  <w:p w:rsidR="00BE273F" w:rsidRDefault="00BE273F">
    <w:pPr>
      <w:pStyle w:val="a8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3F" w:rsidRPr="00487FF1" w:rsidRDefault="00A2643F" w:rsidP="00BE273F">
      <w:pPr>
        <w:ind w:firstLine="640"/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A2643F" w:rsidRPr="00487FF1" w:rsidRDefault="00A2643F" w:rsidP="00BE273F">
      <w:pPr>
        <w:ind w:firstLine="640"/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F" w:rsidRDefault="00BE273F">
    <w:pPr>
      <w:pStyle w:val="a9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29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83B"/>
    <w:rsid w:val="00026261"/>
    <w:rsid w:val="00035355"/>
    <w:rsid w:val="00040750"/>
    <w:rsid w:val="00054662"/>
    <w:rsid w:val="00084161"/>
    <w:rsid w:val="000B4638"/>
    <w:rsid w:val="001242F4"/>
    <w:rsid w:val="001245EE"/>
    <w:rsid w:val="00153593"/>
    <w:rsid w:val="001874EA"/>
    <w:rsid w:val="001B61C6"/>
    <w:rsid w:val="001B683B"/>
    <w:rsid w:val="0021311B"/>
    <w:rsid w:val="002216DF"/>
    <w:rsid w:val="00282311"/>
    <w:rsid w:val="002A7EEC"/>
    <w:rsid w:val="002B14E4"/>
    <w:rsid w:val="002B3EC1"/>
    <w:rsid w:val="002D39D7"/>
    <w:rsid w:val="003360A5"/>
    <w:rsid w:val="003536F1"/>
    <w:rsid w:val="003554A5"/>
    <w:rsid w:val="00391F27"/>
    <w:rsid w:val="003C5E2D"/>
    <w:rsid w:val="003E7653"/>
    <w:rsid w:val="00474007"/>
    <w:rsid w:val="004951FC"/>
    <w:rsid w:val="004A3B63"/>
    <w:rsid w:val="004D7B8E"/>
    <w:rsid w:val="004F72A2"/>
    <w:rsid w:val="00516100"/>
    <w:rsid w:val="005463F7"/>
    <w:rsid w:val="0056197A"/>
    <w:rsid w:val="005C08A9"/>
    <w:rsid w:val="005C0D8E"/>
    <w:rsid w:val="005D388B"/>
    <w:rsid w:val="00604CBD"/>
    <w:rsid w:val="00646C05"/>
    <w:rsid w:val="00692521"/>
    <w:rsid w:val="0071164E"/>
    <w:rsid w:val="007234D9"/>
    <w:rsid w:val="00724489"/>
    <w:rsid w:val="007356DE"/>
    <w:rsid w:val="00743C8C"/>
    <w:rsid w:val="00754806"/>
    <w:rsid w:val="00793537"/>
    <w:rsid w:val="0079382F"/>
    <w:rsid w:val="007C7D55"/>
    <w:rsid w:val="007F63FF"/>
    <w:rsid w:val="00825ECA"/>
    <w:rsid w:val="0084297D"/>
    <w:rsid w:val="0088715A"/>
    <w:rsid w:val="008938C2"/>
    <w:rsid w:val="008F5C34"/>
    <w:rsid w:val="0093559A"/>
    <w:rsid w:val="009A171E"/>
    <w:rsid w:val="009C51E4"/>
    <w:rsid w:val="00A00B93"/>
    <w:rsid w:val="00A2643F"/>
    <w:rsid w:val="00A419A5"/>
    <w:rsid w:val="00AC03AE"/>
    <w:rsid w:val="00B82455"/>
    <w:rsid w:val="00B97645"/>
    <w:rsid w:val="00BA3EB5"/>
    <w:rsid w:val="00BB3722"/>
    <w:rsid w:val="00BE273F"/>
    <w:rsid w:val="00BE5E8B"/>
    <w:rsid w:val="00BF2F5E"/>
    <w:rsid w:val="00C340B0"/>
    <w:rsid w:val="00CB3C4A"/>
    <w:rsid w:val="00CE44C8"/>
    <w:rsid w:val="00CF14C7"/>
    <w:rsid w:val="00D31363"/>
    <w:rsid w:val="00D543E3"/>
    <w:rsid w:val="00D850DA"/>
    <w:rsid w:val="00DB4A00"/>
    <w:rsid w:val="00DD66BC"/>
    <w:rsid w:val="00DF4B8F"/>
    <w:rsid w:val="00E468D8"/>
    <w:rsid w:val="00E75723"/>
    <w:rsid w:val="00E82D35"/>
    <w:rsid w:val="00E96765"/>
    <w:rsid w:val="00EC3003"/>
    <w:rsid w:val="00ED191A"/>
    <w:rsid w:val="00EE16A1"/>
    <w:rsid w:val="00F13220"/>
    <w:rsid w:val="00F151D1"/>
    <w:rsid w:val="00F453C7"/>
    <w:rsid w:val="00FA201F"/>
    <w:rsid w:val="00FB4697"/>
    <w:rsid w:val="00FC30EF"/>
    <w:rsid w:val="00FE32BD"/>
    <w:rsid w:val="01FD0EB3"/>
    <w:rsid w:val="116D28AF"/>
    <w:rsid w:val="120232E5"/>
    <w:rsid w:val="243E0A27"/>
    <w:rsid w:val="2E3071D6"/>
    <w:rsid w:val="3BAF7F20"/>
    <w:rsid w:val="679C0C82"/>
    <w:rsid w:val="7A87067D"/>
    <w:rsid w:val="7C75042D"/>
    <w:rsid w:val="7E536C3F"/>
    <w:rsid w:val="7E69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0C8120-0B03-4C39-A9D9-DA24099A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3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sid w:val="00BE273F"/>
    <w:pPr>
      <w:shd w:val="clear" w:color="auto" w:fill="000080"/>
    </w:pPr>
  </w:style>
  <w:style w:type="paragraph" w:styleId="a4">
    <w:name w:val="Body Text"/>
    <w:basedOn w:val="a"/>
    <w:link w:val="Char0"/>
    <w:uiPriority w:val="99"/>
    <w:qFormat/>
    <w:rsid w:val="00BE273F"/>
    <w:pPr>
      <w:spacing w:after="120"/>
    </w:pPr>
  </w:style>
  <w:style w:type="paragraph" w:styleId="a5">
    <w:name w:val="Plain Text"/>
    <w:basedOn w:val="a"/>
    <w:link w:val="Char1"/>
    <w:uiPriority w:val="99"/>
    <w:rsid w:val="00BE273F"/>
    <w:rPr>
      <w:rFonts w:ascii="宋体" w:hAnsi="Courier New" w:cs="宋体"/>
    </w:rPr>
  </w:style>
  <w:style w:type="paragraph" w:styleId="a6">
    <w:name w:val="Date"/>
    <w:basedOn w:val="a"/>
    <w:next w:val="a"/>
    <w:link w:val="Char2"/>
    <w:uiPriority w:val="99"/>
    <w:qFormat/>
    <w:rsid w:val="00BE273F"/>
    <w:pPr>
      <w:ind w:leftChars="2500" w:left="100"/>
    </w:pPr>
  </w:style>
  <w:style w:type="paragraph" w:styleId="a7">
    <w:name w:val="Balloon Text"/>
    <w:basedOn w:val="a"/>
    <w:link w:val="Char3"/>
    <w:uiPriority w:val="99"/>
    <w:qFormat/>
    <w:rsid w:val="00BE273F"/>
    <w:rPr>
      <w:sz w:val="18"/>
      <w:szCs w:val="18"/>
    </w:rPr>
  </w:style>
  <w:style w:type="paragraph" w:styleId="a8">
    <w:name w:val="footer"/>
    <w:basedOn w:val="a"/>
    <w:link w:val="Char4"/>
    <w:uiPriority w:val="99"/>
    <w:rsid w:val="00BE2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BE2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BE2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BE273F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99"/>
    <w:qFormat/>
    <w:rsid w:val="00BE273F"/>
    <w:rPr>
      <w:b/>
      <w:bCs/>
    </w:rPr>
  </w:style>
  <w:style w:type="character" w:styleId="ad">
    <w:name w:val="page number"/>
    <w:basedOn w:val="a0"/>
    <w:uiPriority w:val="99"/>
    <w:qFormat/>
    <w:rsid w:val="00BE273F"/>
  </w:style>
  <w:style w:type="character" w:styleId="ae">
    <w:name w:val="FollowedHyperlink"/>
    <w:basedOn w:val="a0"/>
    <w:uiPriority w:val="99"/>
    <w:qFormat/>
    <w:rsid w:val="00BE273F"/>
    <w:rPr>
      <w:color w:val="800080"/>
      <w:u w:val="single"/>
    </w:rPr>
  </w:style>
  <w:style w:type="character" w:styleId="af">
    <w:name w:val="Hyperlink"/>
    <w:basedOn w:val="a0"/>
    <w:uiPriority w:val="99"/>
    <w:qFormat/>
    <w:rsid w:val="00BE273F"/>
    <w:rPr>
      <w:color w:val="0000FF"/>
      <w:u w:val="single"/>
    </w:rPr>
  </w:style>
  <w:style w:type="character" w:customStyle="1" w:styleId="Char6">
    <w:name w:val="纯文本 Char"/>
    <w:uiPriority w:val="99"/>
    <w:qFormat/>
    <w:rsid w:val="00BE273F"/>
    <w:rPr>
      <w:rFonts w:ascii="宋体" w:eastAsia="宋体" w:hAnsi="Courier New" w:cs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basedOn w:val="a0"/>
    <w:link w:val="a7"/>
    <w:uiPriority w:val="99"/>
    <w:qFormat/>
    <w:rsid w:val="00BE273F"/>
    <w:rPr>
      <w:rFonts w:cs="Calibri"/>
      <w:sz w:val="0"/>
      <w:szCs w:val="0"/>
    </w:rPr>
  </w:style>
  <w:style w:type="character" w:customStyle="1" w:styleId="Char5">
    <w:name w:val="页眉 Char"/>
    <w:basedOn w:val="a0"/>
    <w:link w:val="a9"/>
    <w:uiPriority w:val="99"/>
    <w:qFormat/>
    <w:rsid w:val="00BE273F"/>
    <w:rPr>
      <w:rFonts w:cs="Calibri"/>
      <w:sz w:val="18"/>
      <w:szCs w:val="18"/>
    </w:rPr>
  </w:style>
  <w:style w:type="paragraph" w:customStyle="1" w:styleId="Char7">
    <w:name w:val="Char"/>
    <w:basedOn w:val="a3"/>
    <w:uiPriority w:val="99"/>
    <w:qFormat/>
    <w:rsid w:val="00BE273F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qFormat/>
    <w:rsid w:val="00BE273F"/>
    <w:rPr>
      <w:rFonts w:ascii="Times New Roman" w:hAnsi="Times New Roman"/>
      <w:sz w:val="0"/>
      <w:szCs w:val="0"/>
    </w:rPr>
  </w:style>
  <w:style w:type="character" w:customStyle="1" w:styleId="Char4">
    <w:name w:val="页脚 Char"/>
    <w:basedOn w:val="a0"/>
    <w:link w:val="a8"/>
    <w:uiPriority w:val="99"/>
    <w:qFormat/>
    <w:rsid w:val="00BE273F"/>
    <w:rPr>
      <w:rFonts w:cs="Calibri"/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uiPriority w:val="99"/>
    <w:qFormat/>
    <w:rsid w:val="00BE273F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Char10">
    <w:name w:val="Char1"/>
    <w:basedOn w:val="a"/>
    <w:uiPriority w:val="99"/>
    <w:qFormat/>
    <w:rsid w:val="00BE273F"/>
    <w:pPr>
      <w:widowControl/>
      <w:spacing w:after="160" w:line="240" w:lineRule="exact"/>
      <w:jc w:val="left"/>
    </w:pPr>
    <w:rPr>
      <w:rFonts w:ascii="Verdana" w:eastAsia="楷体_GB2312" w:hAnsi="Verdana" w:cs="Verdana"/>
      <w:b/>
      <w:bCs/>
      <w:i/>
      <w:iCs/>
      <w:color w:val="000000"/>
      <w:kern w:val="0"/>
      <w:sz w:val="20"/>
      <w:szCs w:val="20"/>
      <w:lang w:eastAsia="en-US"/>
    </w:rPr>
  </w:style>
  <w:style w:type="character" w:customStyle="1" w:styleId="Char2">
    <w:name w:val="日期 Char"/>
    <w:basedOn w:val="a0"/>
    <w:link w:val="a6"/>
    <w:uiPriority w:val="99"/>
    <w:rsid w:val="00BE273F"/>
    <w:rPr>
      <w:rFonts w:cs="Calibri"/>
      <w:szCs w:val="21"/>
    </w:rPr>
  </w:style>
  <w:style w:type="character" w:customStyle="1" w:styleId="Char0">
    <w:name w:val="正文文本 Char"/>
    <w:basedOn w:val="a0"/>
    <w:link w:val="a4"/>
    <w:uiPriority w:val="99"/>
    <w:rsid w:val="00BE273F"/>
    <w:rPr>
      <w:rFonts w:cs="Calibri"/>
      <w:szCs w:val="21"/>
    </w:rPr>
  </w:style>
  <w:style w:type="character" w:customStyle="1" w:styleId="Char1">
    <w:name w:val="纯文本 Char1"/>
    <w:basedOn w:val="a0"/>
    <w:link w:val="a5"/>
    <w:uiPriority w:val="99"/>
    <w:qFormat/>
    <w:rsid w:val="00BE273F"/>
    <w:rPr>
      <w:rFonts w:ascii="宋体" w:hAnsi="Courier New" w:cs="Courier New"/>
      <w:szCs w:val="21"/>
    </w:rPr>
  </w:style>
  <w:style w:type="paragraph" w:customStyle="1" w:styleId="CharCharCharCharCharCharChar">
    <w:name w:val="Char Char Char Char Char Char Char"/>
    <w:basedOn w:val="a"/>
    <w:uiPriority w:val="99"/>
    <w:qFormat/>
    <w:rsid w:val="00BE273F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C6A14-1F4C-4BB2-BE80-087ADCF4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428</Words>
  <Characters>2444</Characters>
  <Application>Microsoft Office Word</Application>
  <DocSecurity>0</DocSecurity>
  <Lines>20</Lines>
  <Paragraphs>5</Paragraphs>
  <ScaleCrop>false</ScaleCrop>
  <Company>www.xunchi.com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青岛市目标管理绩效考核办公室文件</dc:title>
  <dc:creator>leon</dc:creator>
  <cp:lastModifiedBy>王凯旋</cp:lastModifiedBy>
  <cp:revision>53</cp:revision>
  <cp:lastPrinted>2021-06-18T09:16:00Z</cp:lastPrinted>
  <dcterms:created xsi:type="dcterms:W3CDTF">2021-06-18T09:20:00Z</dcterms:created>
  <dcterms:modified xsi:type="dcterms:W3CDTF">2021-06-28T04:04:00Z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2fc06dc0067542ce85e60852c480faf0</vt:lpwstr>
  </property>
  <property fmtid="{D5CDD505-2E9C-101B-9397-08002B2CF9AE}" pid="4" name="KSOSaveFontToCloudKey">
    <vt:lpwstr>336435531_btnclosed</vt:lpwstr>
  </property>
</Properties>
</file>