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FC1" w:rsidRPr="002B09B6" w:rsidRDefault="00A90FC1" w:rsidP="00A90FC1">
      <w:pPr>
        <w:adjustRightInd w:val="0"/>
        <w:snapToGrid w:val="0"/>
        <w:jc w:val="center"/>
        <w:rPr>
          <w:rFonts w:ascii="方正小标宋_GBK" w:eastAsia="方正小标宋_GBK" w:hAnsi="方正小标宋_GBK" w:cs="方正小标宋_GBK"/>
          <w:color w:val="000000" w:themeColor="text1"/>
          <w:sz w:val="44"/>
          <w:szCs w:val="44"/>
        </w:rPr>
      </w:pPr>
      <w:r w:rsidRPr="002B09B6">
        <w:rPr>
          <w:rFonts w:ascii="方正小标宋_GBK" w:eastAsia="方正小标宋_GBK" w:hAnsi="方正小标宋_GBK" w:cs="方正小标宋_GBK" w:hint="eastAsia"/>
          <w:color w:val="000000" w:themeColor="text1"/>
          <w:sz w:val="44"/>
          <w:szCs w:val="44"/>
        </w:rPr>
        <w:t>2021年度市直单位业务目标</w:t>
      </w:r>
      <w:bookmarkStart w:id="0" w:name="_GoBack"/>
      <w:bookmarkEnd w:id="0"/>
    </w:p>
    <w:p w:rsidR="002B30D7" w:rsidRPr="002B09B6" w:rsidRDefault="000713D1">
      <w:pPr>
        <w:snapToGrid w:val="0"/>
        <w:spacing w:line="300" w:lineRule="auto"/>
        <w:rPr>
          <w:rFonts w:ascii="楷体_GB2312" w:eastAsia="楷体_GB2312"/>
          <w:color w:val="000000" w:themeColor="text1"/>
          <w:sz w:val="28"/>
          <w:szCs w:val="28"/>
        </w:rPr>
      </w:pPr>
      <w:r w:rsidRPr="002B09B6">
        <w:rPr>
          <w:rFonts w:ascii="楷体_GB2312" w:eastAsia="楷体_GB2312"/>
          <w:color w:val="000000" w:themeColor="text1"/>
          <w:sz w:val="28"/>
          <w:szCs w:val="28"/>
        </w:rPr>
        <w:t>单位名称：</w:t>
      </w:r>
      <w:r w:rsidR="004C4F81" w:rsidRPr="002B09B6">
        <w:rPr>
          <w:rFonts w:ascii="楷体_GB2312" w:eastAsia="楷体_GB2312"/>
          <w:color w:val="000000" w:themeColor="text1"/>
          <w:sz w:val="28"/>
          <w:szCs w:val="28"/>
        </w:rPr>
        <w:t>市发展改革委</w:t>
      </w:r>
      <w:r w:rsidR="00792CB9" w:rsidRPr="002B09B6">
        <w:rPr>
          <w:rFonts w:ascii="楷体_GB2312" w:eastAsia="楷体_GB2312"/>
          <w:color w:val="000000" w:themeColor="text1"/>
          <w:sz w:val="28"/>
          <w:szCs w:val="28"/>
        </w:rPr>
        <w:t xml:space="preserve">      </w:t>
      </w:r>
      <w:r w:rsidRPr="002B09B6">
        <w:rPr>
          <w:rFonts w:ascii="楷体_GB2312" w:eastAsia="楷体_GB2312"/>
          <w:color w:val="000000" w:themeColor="text1"/>
          <w:sz w:val="28"/>
          <w:szCs w:val="28"/>
        </w:rPr>
        <w:t>主要负责人：</w:t>
      </w:r>
      <w:r w:rsidR="004C4F81" w:rsidRPr="002B09B6">
        <w:rPr>
          <w:rFonts w:ascii="楷体_GB2312" w:eastAsia="楷体_GB2312"/>
          <w:color w:val="000000" w:themeColor="text1"/>
          <w:sz w:val="28"/>
          <w:szCs w:val="28"/>
        </w:rPr>
        <w:t>李刚</w:t>
      </w:r>
      <w:r w:rsidR="00792CB9" w:rsidRPr="002B09B6">
        <w:rPr>
          <w:rFonts w:ascii="楷体_GB2312" w:eastAsia="楷体_GB2312"/>
          <w:color w:val="000000" w:themeColor="text1"/>
          <w:sz w:val="28"/>
          <w:szCs w:val="28"/>
        </w:rPr>
        <w:t xml:space="preserve">      </w:t>
      </w:r>
      <w:r w:rsidRPr="002B09B6">
        <w:rPr>
          <w:rFonts w:ascii="楷体_GB2312" w:eastAsia="楷体_GB2312"/>
          <w:color w:val="000000" w:themeColor="text1"/>
          <w:sz w:val="28"/>
          <w:szCs w:val="28"/>
        </w:rPr>
        <w:t>联系人：</w:t>
      </w:r>
      <w:r w:rsidR="004C4F81" w:rsidRPr="002B09B6">
        <w:rPr>
          <w:rFonts w:ascii="楷体_GB2312" w:eastAsia="楷体_GB2312"/>
          <w:color w:val="000000" w:themeColor="text1"/>
          <w:sz w:val="28"/>
          <w:szCs w:val="28"/>
        </w:rPr>
        <w:t>王云川</w:t>
      </w:r>
      <w:r w:rsidR="00792CB9" w:rsidRPr="002B09B6">
        <w:rPr>
          <w:rFonts w:ascii="楷体_GB2312" w:eastAsia="楷体_GB2312"/>
          <w:color w:val="000000" w:themeColor="text1"/>
          <w:sz w:val="28"/>
          <w:szCs w:val="28"/>
        </w:rPr>
        <w:t xml:space="preserve">      </w:t>
      </w:r>
      <w:r w:rsidRPr="002B09B6">
        <w:rPr>
          <w:rFonts w:ascii="楷体_GB2312" w:eastAsia="楷体_GB2312"/>
          <w:color w:val="000000" w:themeColor="text1"/>
          <w:sz w:val="28"/>
          <w:szCs w:val="28"/>
        </w:rPr>
        <w:t>联系电话：</w:t>
      </w:r>
      <w:r w:rsidR="004C4F81" w:rsidRPr="002B09B6">
        <w:rPr>
          <w:rFonts w:ascii="楷体_GB2312" w:eastAsia="楷体_GB2312"/>
          <w:color w:val="000000" w:themeColor="text1"/>
          <w:sz w:val="28"/>
          <w:szCs w:val="28"/>
        </w:rPr>
        <w:t>85911456</w:t>
      </w:r>
    </w:p>
    <w:tbl>
      <w:tblPr>
        <w:tblW w:w="14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0"/>
        <w:gridCol w:w="560"/>
        <w:gridCol w:w="2791"/>
        <w:gridCol w:w="10521"/>
      </w:tblGrid>
      <w:tr w:rsidR="002B09B6" w:rsidRPr="002B09B6" w:rsidTr="00E366DC">
        <w:trPr>
          <w:trHeight w:val="169"/>
          <w:tblHeader/>
          <w:jc w:val="center"/>
        </w:trPr>
        <w:tc>
          <w:tcPr>
            <w:tcW w:w="560" w:type="dxa"/>
            <w:vAlign w:val="center"/>
          </w:tcPr>
          <w:p w:rsidR="002B30D7" w:rsidRPr="002B09B6" w:rsidRDefault="000713D1">
            <w:pPr>
              <w:adjustRightInd w:val="0"/>
              <w:snapToGrid w:val="0"/>
              <w:jc w:val="center"/>
              <w:rPr>
                <w:rFonts w:eastAsia="黑体"/>
                <w:color w:val="000000" w:themeColor="text1"/>
                <w:sz w:val="28"/>
                <w:szCs w:val="28"/>
              </w:rPr>
            </w:pPr>
            <w:r w:rsidRPr="002B09B6">
              <w:rPr>
                <w:rFonts w:eastAsia="黑体"/>
                <w:color w:val="000000" w:themeColor="text1"/>
                <w:sz w:val="28"/>
                <w:szCs w:val="28"/>
              </w:rPr>
              <w:t>类别</w:t>
            </w:r>
          </w:p>
        </w:tc>
        <w:tc>
          <w:tcPr>
            <w:tcW w:w="560" w:type="dxa"/>
            <w:vAlign w:val="center"/>
          </w:tcPr>
          <w:p w:rsidR="002B30D7" w:rsidRPr="002B09B6" w:rsidRDefault="000713D1">
            <w:pPr>
              <w:adjustRightInd w:val="0"/>
              <w:snapToGrid w:val="0"/>
              <w:jc w:val="center"/>
              <w:rPr>
                <w:rFonts w:eastAsia="黑体"/>
                <w:color w:val="000000" w:themeColor="text1"/>
                <w:sz w:val="28"/>
                <w:szCs w:val="28"/>
              </w:rPr>
            </w:pPr>
            <w:r w:rsidRPr="002B09B6">
              <w:rPr>
                <w:rFonts w:eastAsia="黑体"/>
                <w:color w:val="000000" w:themeColor="text1"/>
                <w:sz w:val="28"/>
                <w:szCs w:val="28"/>
              </w:rPr>
              <w:t>序号</w:t>
            </w:r>
          </w:p>
        </w:tc>
        <w:tc>
          <w:tcPr>
            <w:tcW w:w="2791" w:type="dxa"/>
            <w:vAlign w:val="center"/>
          </w:tcPr>
          <w:p w:rsidR="002B30D7" w:rsidRPr="002B09B6" w:rsidRDefault="000713D1">
            <w:pPr>
              <w:adjustRightInd w:val="0"/>
              <w:snapToGrid w:val="0"/>
              <w:jc w:val="center"/>
              <w:rPr>
                <w:rFonts w:eastAsia="黑体"/>
                <w:color w:val="000000" w:themeColor="text1"/>
                <w:sz w:val="28"/>
                <w:szCs w:val="28"/>
              </w:rPr>
            </w:pPr>
            <w:r w:rsidRPr="002B09B6">
              <w:rPr>
                <w:rFonts w:eastAsia="黑体"/>
                <w:color w:val="000000" w:themeColor="text1"/>
                <w:sz w:val="28"/>
                <w:szCs w:val="28"/>
              </w:rPr>
              <w:t>目标名称</w:t>
            </w:r>
          </w:p>
        </w:tc>
        <w:tc>
          <w:tcPr>
            <w:tcW w:w="10521" w:type="dxa"/>
            <w:vAlign w:val="center"/>
          </w:tcPr>
          <w:p w:rsidR="002B30D7" w:rsidRPr="002B09B6" w:rsidRDefault="000713D1">
            <w:pPr>
              <w:adjustRightInd w:val="0"/>
              <w:snapToGrid w:val="0"/>
              <w:jc w:val="center"/>
              <w:rPr>
                <w:rFonts w:eastAsia="黑体"/>
                <w:color w:val="000000" w:themeColor="text1"/>
                <w:sz w:val="28"/>
                <w:szCs w:val="28"/>
              </w:rPr>
            </w:pPr>
            <w:r w:rsidRPr="002B09B6">
              <w:rPr>
                <w:rFonts w:eastAsia="黑体"/>
                <w:color w:val="000000" w:themeColor="text1"/>
                <w:sz w:val="28"/>
                <w:szCs w:val="28"/>
              </w:rPr>
              <w:t>目标内容</w:t>
            </w:r>
          </w:p>
        </w:tc>
      </w:tr>
      <w:tr w:rsidR="00E92B70" w:rsidRPr="002B09B6" w:rsidTr="00574520">
        <w:trPr>
          <w:cantSplit/>
          <w:trHeight w:val="2484"/>
          <w:jc w:val="center"/>
        </w:trPr>
        <w:tc>
          <w:tcPr>
            <w:tcW w:w="560" w:type="dxa"/>
            <w:vMerge w:val="restart"/>
            <w:vAlign w:val="center"/>
          </w:tcPr>
          <w:p w:rsidR="00E92B70" w:rsidRPr="002B09B6" w:rsidRDefault="00E92B70">
            <w:pPr>
              <w:spacing w:line="0" w:lineRule="atLeast"/>
              <w:jc w:val="center"/>
              <w:rPr>
                <w:rFonts w:eastAsia="楷体_GB2312"/>
                <w:color w:val="000000" w:themeColor="text1"/>
                <w:sz w:val="24"/>
              </w:rPr>
            </w:pPr>
            <w:r w:rsidRPr="002B09B6">
              <w:rPr>
                <w:rFonts w:eastAsia="楷体_GB2312"/>
                <w:color w:val="000000" w:themeColor="text1"/>
                <w:kern w:val="0"/>
                <w:sz w:val="24"/>
              </w:rPr>
              <w:t>重点目标</w:t>
            </w:r>
          </w:p>
        </w:tc>
        <w:tc>
          <w:tcPr>
            <w:tcW w:w="560" w:type="dxa"/>
            <w:vAlign w:val="center"/>
          </w:tcPr>
          <w:p w:rsidR="00E92B70" w:rsidRPr="002B09B6" w:rsidRDefault="00E92B70" w:rsidP="00A90FC1">
            <w:pPr>
              <w:spacing w:line="320" w:lineRule="exact"/>
              <w:jc w:val="center"/>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1</w:t>
            </w:r>
          </w:p>
        </w:tc>
        <w:tc>
          <w:tcPr>
            <w:tcW w:w="2791" w:type="dxa"/>
            <w:vAlign w:val="center"/>
          </w:tcPr>
          <w:p w:rsidR="00E92B70" w:rsidRPr="002B09B6" w:rsidRDefault="00E92B70" w:rsidP="0003614B">
            <w:pPr>
              <w:spacing w:line="320" w:lineRule="exact"/>
              <w:jc w:val="left"/>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统筹抓好疫情防控和经济社会发展</w:t>
            </w:r>
          </w:p>
        </w:tc>
        <w:tc>
          <w:tcPr>
            <w:tcW w:w="10521" w:type="dxa"/>
            <w:vAlign w:val="center"/>
          </w:tcPr>
          <w:p w:rsidR="00E92B70" w:rsidRPr="002B09B6" w:rsidRDefault="00E92B70" w:rsidP="0003614B">
            <w:pPr>
              <w:spacing w:line="320" w:lineRule="exact"/>
              <w:ind w:firstLineChars="200" w:firstLine="560"/>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按照常态化疫情防控要求，提前做好防疫物资生产、采购、储备、调拨相关工作，重点做好海关、边检、机场、交通等部门应急物资保障。完善全链条防疫物资储备，每月临储口罩100万只、防护服1万件。制定出台《青岛市落实“六稳”“六保”促进高质量发展政策清单》，建立经济运行季度计分挂旗办法，激励区市和部门进位争先、走在前列。支持我市企业获批注册企业债券额度40亿元以上。切实加强经济运行分析调度，力争全市生产总值增长8%左右，固定资产投资增长10%以上，全体居民人均可支配收入稳定增长，居民消费价格指数涨幅控制在3%左右。</w:t>
            </w:r>
          </w:p>
        </w:tc>
      </w:tr>
      <w:tr w:rsidR="00E92B70" w:rsidRPr="002B09B6" w:rsidTr="00574520">
        <w:trPr>
          <w:cantSplit/>
          <w:trHeight w:val="2533"/>
          <w:jc w:val="center"/>
        </w:trPr>
        <w:tc>
          <w:tcPr>
            <w:tcW w:w="560" w:type="dxa"/>
            <w:vMerge/>
            <w:vAlign w:val="center"/>
          </w:tcPr>
          <w:p w:rsidR="00E92B70" w:rsidRPr="002B09B6" w:rsidRDefault="00E92B70">
            <w:pPr>
              <w:spacing w:line="0" w:lineRule="atLeast"/>
              <w:jc w:val="center"/>
              <w:rPr>
                <w:rFonts w:eastAsia="楷体_GB2312"/>
                <w:color w:val="000000" w:themeColor="text1"/>
                <w:kern w:val="0"/>
                <w:sz w:val="24"/>
              </w:rPr>
            </w:pPr>
          </w:p>
        </w:tc>
        <w:tc>
          <w:tcPr>
            <w:tcW w:w="560" w:type="dxa"/>
            <w:vAlign w:val="center"/>
          </w:tcPr>
          <w:p w:rsidR="00E92B70" w:rsidRPr="002B09B6" w:rsidRDefault="00E92B70" w:rsidP="00A90FC1">
            <w:pPr>
              <w:spacing w:line="320" w:lineRule="exact"/>
              <w:jc w:val="center"/>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2</w:t>
            </w:r>
          </w:p>
        </w:tc>
        <w:tc>
          <w:tcPr>
            <w:tcW w:w="2791" w:type="dxa"/>
            <w:vAlign w:val="center"/>
          </w:tcPr>
          <w:p w:rsidR="00E92B70" w:rsidRPr="002B09B6" w:rsidRDefault="00E92B70" w:rsidP="0003614B">
            <w:pPr>
              <w:spacing w:line="320" w:lineRule="exact"/>
              <w:jc w:val="left"/>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项目化推进攻势3.0版战役</w:t>
            </w:r>
          </w:p>
        </w:tc>
        <w:tc>
          <w:tcPr>
            <w:tcW w:w="10521" w:type="dxa"/>
            <w:vAlign w:val="center"/>
          </w:tcPr>
          <w:p w:rsidR="00E92B70" w:rsidRPr="002B09B6" w:rsidRDefault="00E92B70" w:rsidP="0003614B">
            <w:pPr>
              <w:spacing w:line="320" w:lineRule="exact"/>
              <w:ind w:firstLineChars="200" w:firstLine="560"/>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高标准制定“突破平度莱西”攻势3.0版作战方案，积极参与“双招双引”攻势、“高效青岛建设”攻势。深入推进平度莱西“工业四化”和“农业五化”，打好“七大提升战”，两市纳入大数据平台调度的项目超过400个，总投资超过4600亿元，2021年完成投资400亿元。“双招双引”完成项目签约70亿元、落地1个30亿元以上项目。协调争取企业境外发债10亿美元以上。研究制定青岛市外资安全审查工作制度，紧抓RCEP签署机遇，推动总投资10亿美元城投印尼产业园等重点境外投资项目实施。配合做好国家、省营商环境评价工作，坚持以评促优、争先进位。</w:t>
            </w:r>
          </w:p>
        </w:tc>
      </w:tr>
      <w:tr w:rsidR="00E92B70" w:rsidRPr="002B09B6" w:rsidTr="00574520">
        <w:trPr>
          <w:cantSplit/>
          <w:trHeight w:val="4056"/>
          <w:jc w:val="center"/>
        </w:trPr>
        <w:tc>
          <w:tcPr>
            <w:tcW w:w="560" w:type="dxa"/>
            <w:vMerge/>
            <w:vAlign w:val="center"/>
          </w:tcPr>
          <w:p w:rsidR="00E92B70" w:rsidRPr="002B09B6" w:rsidRDefault="00E92B70">
            <w:pPr>
              <w:spacing w:line="260" w:lineRule="exact"/>
              <w:jc w:val="center"/>
              <w:rPr>
                <w:rFonts w:eastAsia="楷体_GB2312"/>
                <w:color w:val="000000" w:themeColor="text1"/>
                <w:sz w:val="28"/>
                <w:szCs w:val="28"/>
              </w:rPr>
            </w:pPr>
          </w:p>
        </w:tc>
        <w:tc>
          <w:tcPr>
            <w:tcW w:w="560" w:type="dxa"/>
            <w:vAlign w:val="center"/>
          </w:tcPr>
          <w:p w:rsidR="00E92B70" w:rsidRPr="002B09B6" w:rsidRDefault="00E92B70" w:rsidP="00A90FC1">
            <w:pPr>
              <w:spacing w:line="320" w:lineRule="exact"/>
              <w:jc w:val="center"/>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3</w:t>
            </w:r>
          </w:p>
        </w:tc>
        <w:tc>
          <w:tcPr>
            <w:tcW w:w="2791" w:type="dxa"/>
            <w:vAlign w:val="center"/>
          </w:tcPr>
          <w:p w:rsidR="00E92B70" w:rsidRPr="002B09B6" w:rsidRDefault="00E92B70" w:rsidP="0003614B">
            <w:pPr>
              <w:spacing w:line="320" w:lineRule="exact"/>
              <w:jc w:val="left"/>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推进新旧动能转换</w:t>
            </w:r>
          </w:p>
        </w:tc>
        <w:tc>
          <w:tcPr>
            <w:tcW w:w="10521" w:type="dxa"/>
            <w:vAlign w:val="center"/>
          </w:tcPr>
          <w:p w:rsidR="00E92B70" w:rsidRPr="002B09B6" w:rsidRDefault="00E92B70" w:rsidP="0003614B">
            <w:pPr>
              <w:spacing w:line="320" w:lineRule="exact"/>
              <w:ind w:firstLineChars="200" w:firstLine="560"/>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编制实施新旧动能转换“五年取得突破”工作方案，制定2021年重点任务清单。</w:t>
            </w:r>
            <w:r w:rsidRPr="002B09B6">
              <w:rPr>
                <w:rFonts w:ascii="仿宋_GB2312" w:eastAsia="仿宋_GB2312" w:hint="eastAsia"/>
                <w:bCs/>
                <w:color w:val="000000" w:themeColor="text1"/>
                <w:sz w:val="28"/>
                <w:szCs w:val="28"/>
              </w:rPr>
              <w:t>贯彻</w:t>
            </w:r>
            <w:r w:rsidRPr="002B09B6">
              <w:rPr>
                <w:rFonts w:ascii="仿宋_GB2312" w:eastAsia="仿宋_GB2312" w:hint="eastAsia"/>
                <w:color w:val="000000" w:themeColor="text1"/>
                <w:sz w:val="28"/>
                <w:szCs w:val="28"/>
              </w:rPr>
              <w:t>落实省“三个坚决”行动方案，编制推进传统动能改造提升和新动能培育壮大的工作方案。</w:t>
            </w:r>
            <w:r w:rsidRPr="002B09B6">
              <w:rPr>
                <w:rFonts w:ascii="仿宋_GB2312" w:eastAsia="仿宋_GB2312" w:hint="eastAsia"/>
                <w:bCs/>
                <w:color w:val="000000" w:themeColor="text1"/>
                <w:sz w:val="28"/>
                <w:szCs w:val="28"/>
              </w:rPr>
              <w:t>印发“十四五”战略性新兴产业发展规划，</w:t>
            </w:r>
            <w:r w:rsidRPr="002B09B6">
              <w:rPr>
                <w:rFonts w:ascii="仿宋_GB2312" w:eastAsia="仿宋_GB2312" w:hint="eastAsia"/>
                <w:color w:val="000000" w:themeColor="text1"/>
                <w:sz w:val="28"/>
                <w:szCs w:val="28"/>
              </w:rPr>
              <w:t>组织开展创新平台认定和管理，推进大科学装置落户青岛，推动双创示范基地提升水平。组织编制13条产业链三年行动计划，出台财政支持13条产业链高质量发展意见。开展“加快发展新经济和超前布局未来产业研究”课题，建立新经济企业库，力争“四新”经济增加值占GDP比重提高1个百分点以上。出台创新应用实验室和场景应用实验室认定管理办法，发布首批名单。建立市级重点产业链项目库，出台管理办法和支持政策。推进省“十四五”期间新旧动能转换重大支撑性产业项目进展，开工建设奇瑞乘用车项目，推进国橡中心功能性新材料产业园项目前期工作。加快国际招商产业园建设，协调欧力士、国际客厅等平台服务园区招商工作，推动各园区落地世界500强、行业领军和产业链引擎企业项目达到40个。</w:t>
            </w:r>
          </w:p>
        </w:tc>
      </w:tr>
      <w:tr w:rsidR="00E92B70" w:rsidRPr="002B09B6" w:rsidTr="00574520">
        <w:trPr>
          <w:cantSplit/>
          <w:trHeight w:val="2809"/>
          <w:jc w:val="center"/>
        </w:trPr>
        <w:tc>
          <w:tcPr>
            <w:tcW w:w="560" w:type="dxa"/>
            <w:vMerge/>
            <w:vAlign w:val="center"/>
          </w:tcPr>
          <w:p w:rsidR="00E92B70" w:rsidRPr="002B09B6" w:rsidRDefault="00E92B70">
            <w:pPr>
              <w:spacing w:line="260" w:lineRule="exact"/>
              <w:jc w:val="center"/>
              <w:rPr>
                <w:rFonts w:eastAsia="楷体_GB2312"/>
                <w:color w:val="000000" w:themeColor="text1"/>
                <w:sz w:val="28"/>
                <w:szCs w:val="28"/>
              </w:rPr>
            </w:pPr>
          </w:p>
        </w:tc>
        <w:tc>
          <w:tcPr>
            <w:tcW w:w="560" w:type="dxa"/>
            <w:vAlign w:val="center"/>
          </w:tcPr>
          <w:p w:rsidR="00E92B70" w:rsidRPr="002B09B6" w:rsidRDefault="00E92B70" w:rsidP="00A90FC1">
            <w:pPr>
              <w:spacing w:line="320" w:lineRule="exact"/>
              <w:jc w:val="center"/>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4</w:t>
            </w:r>
          </w:p>
        </w:tc>
        <w:tc>
          <w:tcPr>
            <w:tcW w:w="2791" w:type="dxa"/>
            <w:vAlign w:val="center"/>
          </w:tcPr>
          <w:p w:rsidR="00E92B70" w:rsidRPr="002B09B6" w:rsidRDefault="00E92B70" w:rsidP="0003614B">
            <w:pPr>
              <w:spacing w:line="320" w:lineRule="exact"/>
              <w:jc w:val="left"/>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抓好重大战略规划实施</w:t>
            </w:r>
          </w:p>
        </w:tc>
        <w:tc>
          <w:tcPr>
            <w:tcW w:w="10521" w:type="dxa"/>
            <w:vAlign w:val="center"/>
          </w:tcPr>
          <w:p w:rsidR="00E92B70" w:rsidRPr="002B09B6" w:rsidRDefault="00E92B70" w:rsidP="0003614B">
            <w:pPr>
              <w:spacing w:line="320" w:lineRule="exact"/>
              <w:ind w:firstLineChars="200" w:firstLine="560"/>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印发青岛市“十四五”规划《纲要》，制定《纲要》实施机制和目标任务举措分工方案，推进“十四五”规划22项发展指标、130余项重点任务、200余项重大工程项目落地实施。完善规划体系衔接机制，统筹推进41个专项规划编制工作。推进规划编制实施与对上争取相结合，争取青岛都市圈、城乡融合发展试验区等一批重大事项和重大工程项目纳入国家和省规划布局。编制完成青岛都市圈发展规划、中日（青岛）地方发展合作示范区总体方案。编制青岛市“十四五”“一带一路”建设规划，争创国家级“一带一路”综试区、国家中欧班列集结中心示范工程，争取承办第二届“一带一路”能源部长会议。</w:t>
            </w:r>
          </w:p>
        </w:tc>
      </w:tr>
      <w:tr w:rsidR="00E92B70" w:rsidRPr="002B09B6" w:rsidTr="00574520">
        <w:trPr>
          <w:cantSplit/>
          <w:trHeight w:val="3206"/>
          <w:jc w:val="center"/>
        </w:trPr>
        <w:tc>
          <w:tcPr>
            <w:tcW w:w="560" w:type="dxa"/>
            <w:vMerge/>
            <w:vAlign w:val="center"/>
          </w:tcPr>
          <w:p w:rsidR="00E92B70" w:rsidRPr="002B09B6" w:rsidRDefault="00E92B70">
            <w:pPr>
              <w:spacing w:line="260" w:lineRule="exact"/>
              <w:jc w:val="center"/>
              <w:rPr>
                <w:rFonts w:eastAsia="楷体_GB2312"/>
                <w:color w:val="000000" w:themeColor="text1"/>
                <w:sz w:val="28"/>
                <w:szCs w:val="28"/>
              </w:rPr>
            </w:pPr>
          </w:p>
        </w:tc>
        <w:tc>
          <w:tcPr>
            <w:tcW w:w="560" w:type="dxa"/>
            <w:vAlign w:val="center"/>
          </w:tcPr>
          <w:p w:rsidR="00E92B70" w:rsidRPr="002B09B6" w:rsidRDefault="00E92B70" w:rsidP="00A90FC1">
            <w:pPr>
              <w:spacing w:line="320" w:lineRule="exact"/>
              <w:jc w:val="center"/>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5</w:t>
            </w:r>
          </w:p>
        </w:tc>
        <w:tc>
          <w:tcPr>
            <w:tcW w:w="2791" w:type="dxa"/>
            <w:vAlign w:val="center"/>
          </w:tcPr>
          <w:p w:rsidR="00E92B70" w:rsidRPr="002B09B6" w:rsidRDefault="00E92B70" w:rsidP="0003614B">
            <w:pPr>
              <w:spacing w:line="320" w:lineRule="exact"/>
              <w:jc w:val="left"/>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推动胶东经济圈全面起势</w:t>
            </w:r>
          </w:p>
        </w:tc>
        <w:tc>
          <w:tcPr>
            <w:tcW w:w="10521" w:type="dxa"/>
            <w:vAlign w:val="center"/>
          </w:tcPr>
          <w:p w:rsidR="00E92B70" w:rsidRPr="002B09B6" w:rsidRDefault="00E92B70" w:rsidP="0003614B">
            <w:pPr>
              <w:spacing w:line="320" w:lineRule="exact"/>
              <w:ind w:firstLineChars="200" w:firstLine="560"/>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印发胶东经济圈“十四五”一体化发展规划。推东莱西—莱阳一体化发展示范区率先破题，加快胶州—高密临空临港协作区、平度—莱州—昌邑绿色化工联动区等建设。建立一体化重点项目库，用好山东半岛城市群基础设施投资基金，支持重点一体化项目建设。推进基础设施互联互通，编制胶东经济圈交通一体化近期建设规划。建设开放胶东经济圈大数据平台，加快胶东经济圈公共数据开放专区建设，全面推广卡奥斯工业互联网赋能胶东产业。举办胶东经济圈与黄河流域城市合作大会，开展城市群发展研讨。推动胶东经济圈信用协同发展，加快形成“一市失信、五市受限”的联动机制。</w:t>
            </w:r>
          </w:p>
        </w:tc>
      </w:tr>
      <w:tr w:rsidR="00E92B70" w:rsidRPr="002B09B6" w:rsidTr="00574520">
        <w:trPr>
          <w:cantSplit/>
          <w:trHeight w:val="3804"/>
          <w:jc w:val="center"/>
        </w:trPr>
        <w:tc>
          <w:tcPr>
            <w:tcW w:w="560" w:type="dxa"/>
            <w:vMerge/>
            <w:vAlign w:val="center"/>
          </w:tcPr>
          <w:p w:rsidR="00E92B70" w:rsidRPr="002B09B6" w:rsidRDefault="00E92B70">
            <w:pPr>
              <w:spacing w:line="260" w:lineRule="exact"/>
              <w:jc w:val="center"/>
              <w:rPr>
                <w:rFonts w:eastAsia="楷体_GB2312"/>
                <w:color w:val="000000" w:themeColor="text1"/>
                <w:sz w:val="28"/>
                <w:szCs w:val="28"/>
              </w:rPr>
            </w:pPr>
          </w:p>
        </w:tc>
        <w:tc>
          <w:tcPr>
            <w:tcW w:w="560" w:type="dxa"/>
            <w:vAlign w:val="center"/>
          </w:tcPr>
          <w:p w:rsidR="00E92B70" w:rsidRPr="002B09B6" w:rsidRDefault="00E92B70" w:rsidP="00A90FC1">
            <w:pPr>
              <w:spacing w:line="320" w:lineRule="exact"/>
              <w:jc w:val="center"/>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6</w:t>
            </w:r>
          </w:p>
        </w:tc>
        <w:tc>
          <w:tcPr>
            <w:tcW w:w="2791" w:type="dxa"/>
            <w:vAlign w:val="center"/>
          </w:tcPr>
          <w:p w:rsidR="00E92B70" w:rsidRPr="002B09B6" w:rsidRDefault="00E92B70" w:rsidP="0003614B">
            <w:pPr>
              <w:spacing w:line="320" w:lineRule="exact"/>
              <w:jc w:val="left"/>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推动现代服务业高质量发展</w:t>
            </w:r>
          </w:p>
        </w:tc>
        <w:tc>
          <w:tcPr>
            <w:tcW w:w="10521" w:type="dxa"/>
            <w:vAlign w:val="center"/>
          </w:tcPr>
          <w:p w:rsidR="00E92B70" w:rsidRPr="002B09B6" w:rsidRDefault="00E92B70" w:rsidP="0003614B">
            <w:pPr>
              <w:spacing w:line="320" w:lineRule="exact"/>
              <w:ind w:firstLineChars="200" w:firstLine="560"/>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编制完成“十四五”现代服务业发展规划，研究形成对标上海促进青岛现代服务业高质量发展报告。印发实施进一步推进服务业改革开放发展的若干措施，推动服务业新一轮综合改革、扩大开放。印发实施青岛市市级现代服务业集聚区认定管理办法，组织申报市级首批现代服务业集聚区。出台实施推进先进制造业和现代服务业深度融合发展若干措施，认定市级首批先进制造业和现代服务业深度融合发展试点企业。研究制订商务服务产业链发展三年行动计划。建立生产性服务业高质量发展考核指标体系，研究制定全市生产性服务业发展相关政策。建立青岛市2021年服务业重点项目名单，推进一批现代服务业重点项目建设。加快国家物流枢纽和国家骨干冷链物流基地建设。举办全国“完善废旧家电回收处理体系推动家电更新消费”现场会。</w:t>
            </w:r>
          </w:p>
        </w:tc>
      </w:tr>
      <w:tr w:rsidR="00E92B70" w:rsidRPr="002B09B6" w:rsidTr="00574520">
        <w:trPr>
          <w:cantSplit/>
          <w:trHeight w:val="2780"/>
          <w:jc w:val="center"/>
        </w:trPr>
        <w:tc>
          <w:tcPr>
            <w:tcW w:w="560" w:type="dxa"/>
            <w:vMerge/>
            <w:vAlign w:val="center"/>
          </w:tcPr>
          <w:p w:rsidR="00E92B70" w:rsidRPr="002B09B6" w:rsidRDefault="00E92B70">
            <w:pPr>
              <w:spacing w:line="260" w:lineRule="exact"/>
              <w:jc w:val="center"/>
              <w:rPr>
                <w:rFonts w:eastAsia="楷体_GB2312"/>
                <w:color w:val="000000" w:themeColor="text1"/>
                <w:sz w:val="28"/>
                <w:szCs w:val="28"/>
              </w:rPr>
            </w:pPr>
          </w:p>
        </w:tc>
        <w:tc>
          <w:tcPr>
            <w:tcW w:w="560" w:type="dxa"/>
            <w:vAlign w:val="center"/>
          </w:tcPr>
          <w:p w:rsidR="00E92B70" w:rsidRPr="002B09B6" w:rsidRDefault="00E92B70" w:rsidP="00A90FC1">
            <w:pPr>
              <w:spacing w:line="320" w:lineRule="exact"/>
              <w:jc w:val="center"/>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7</w:t>
            </w:r>
          </w:p>
        </w:tc>
        <w:tc>
          <w:tcPr>
            <w:tcW w:w="2791" w:type="dxa"/>
            <w:vAlign w:val="center"/>
          </w:tcPr>
          <w:p w:rsidR="00E92B70" w:rsidRPr="002B09B6" w:rsidRDefault="00E92B70" w:rsidP="0003614B">
            <w:pPr>
              <w:spacing w:line="320" w:lineRule="exact"/>
              <w:jc w:val="left"/>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深化重点领域改革</w:t>
            </w:r>
          </w:p>
        </w:tc>
        <w:tc>
          <w:tcPr>
            <w:tcW w:w="10521" w:type="dxa"/>
            <w:vAlign w:val="center"/>
          </w:tcPr>
          <w:p w:rsidR="00E92B70" w:rsidRPr="002B09B6" w:rsidRDefault="00E92B70" w:rsidP="0003614B">
            <w:pPr>
              <w:spacing w:line="320" w:lineRule="exact"/>
              <w:ind w:firstLineChars="200" w:firstLine="560"/>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全力争创民营经济示范城市。持续推进国有企业混合所有制改革试点。推进国家城乡融合发展试验区建设。稳步推进天然气价格、供热价格、民办教育收费等价格改革。持续抓好转供电环节加价清理规范工作，进一步降低用能成本。研究出台我市工业“标准地”出让指标体系和负面清单，探索“标准地”信用监管模式。加快信用综合服务平台建设，推动平台与其他业务系统互联互通，打造“信易贷”青岛样板。拓展“信易+”模式，在更多领域推行以信用为基础的新型监管机制。争取我市农村产业融合发展示范园获得国家认定。</w:t>
            </w:r>
          </w:p>
        </w:tc>
      </w:tr>
      <w:tr w:rsidR="00E92B70" w:rsidRPr="002B09B6" w:rsidTr="00574520">
        <w:trPr>
          <w:cantSplit/>
          <w:trHeight w:val="3101"/>
          <w:jc w:val="center"/>
        </w:trPr>
        <w:tc>
          <w:tcPr>
            <w:tcW w:w="560" w:type="dxa"/>
            <w:vMerge/>
            <w:vAlign w:val="center"/>
          </w:tcPr>
          <w:p w:rsidR="00E92B70" w:rsidRPr="002B09B6" w:rsidRDefault="00E92B70">
            <w:pPr>
              <w:spacing w:line="260" w:lineRule="exact"/>
              <w:jc w:val="center"/>
              <w:rPr>
                <w:rFonts w:eastAsia="楷体_GB2312"/>
                <w:color w:val="000000" w:themeColor="text1"/>
                <w:sz w:val="28"/>
                <w:szCs w:val="28"/>
              </w:rPr>
            </w:pPr>
          </w:p>
        </w:tc>
        <w:tc>
          <w:tcPr>
            <w:tcW w:w="560" w:type="dxa"/>
            <w:vAlign w:val="center"/>
          </w:tcPr>
          <w:p w:rsidR="00E92B70" w:rsidRPr="002B09B6" w:rsidRDefault="00E92B70" w:rsidP="00A90FC1">
            <w:pPr>
              <w:spacing w:line="320" w:lineRule="exact"/>
              <w:jc w:val="center"/>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8</w:t>
            </w:r>
          </w:p>
        </w:tc>
        <w:tc>
          <w:tcPr>
            <w:tcW w:w="2791" w:type="dxa"/>
            <w:vAlign w:val="center"/>
          </w:tcPr>
          <w:p w:rsidR="00E92B70" w:rsidRPr="002B09B6" w:rsidRDefault="00E92B70" w:rsidP="0003614B">
            <w:pPr>
              <w:spacing w:line="320" w:lineRule="exact"/>
              <w:jc w:val="left"/>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着力改善社会民生</w:t>
            </w:r>
          </w:p>
        </w:tc>
        <w:tc>
          <w:tcPr>
            <w:tcW w:w="10521" w:type="dxa"/>
            <w:vAlign w:val="center"/>
          </w:tcPr>
          <w:p w:rsidR="00E92B70" w:rsidRPr="002B09B6" w:rsidRDefault="00E92B70" w:rsidP="0003614B">
            <w:pPr>
              <w:spacing w:line="320" w:lineRule="exact"/>
              <w:ind w:firstLineChars="200" w:firstLine="560"/>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组织编制“十四五”基本公共服务规划、人口发展规划，牵头制定“十四五”时期养老、旅游、社会兜底、体育等领域基础设施建设行动方案。开展城企联动普惠养老专项行动和普惠托育专项行动，继续支持一批养老托育项目建设。深入开展产教融合试点工作，培育一批产教融合重点企业。</w:t>
            </w:r>
            <w:r w:rsidRPr="002B09B6">
              <w:rPr>
                <w:rFonts w:ascii="仿宋_GB2312" w:eastAsia="仿宋_GB2312" w:hint="eastAsia"/>
                <w:bCs/>
                <w:color w:val="000000" w:themeColor="text1"/>
                <w:sz w:val="28"/>
                <w:szCs w:val="28"/>
              </w:rPr>
              <w:t>积极推动航空医疗救援体系建设。</w:t>
            </w:r>
            <w:r w:rsidRPr="002B09B6">
              <w:rPr>
                <w:rFonts w:ascii="仿宋_GB2312" w:eastAsia="仿宋_GB2312" w:hint="eastAsia"/>
                <w:color w:val="000000" w:themeColor="text1"/>
                <w:sz w:val="28"/>
                <w:szCs w:val="28"/>
              </w:rPr>
              <w:t>落实社会救助和保障标准与物价上涨挂钩联动机制，及时发放困难群众价格临时补贴。做好全市煤电油气运行调度尤其是迎峰度夏、重大活动及供暖季期间能源保供工作。加快推进康复大学建设，推进市公共卫生中心、山东大学齐鲁医院（青岛）二期项目、市民健康中心二期等项目建设，推进官路水库及输配水工程前期工作。</w:t>
            </w:r>
          </w:p>
        </w:tc>
      </w:tr>
      <w:tr w:rsidR="00E92B70" w:rsidRPr="002B09B6" w:rsidTr="00894CE8">
        <w:trPr>
          <w:cantSplit/>
          <w:trHeight w:val="3914"/>
          <w:jc w:val="center"/>
        </w:trPr>
        <w:tc>
          <w:tcPr>
            <w:tcW w:w="560" w:type="dxa"/>
            <w:vMerge w:val="restart"/>
            <w:vAlign w:val="center"/>
          </w:tcPr>
          <w:p w:rsidR="00E92B70" w:rsidRPr="002B09B6" w:rsidRDefault="00E92B70">
            <w:pPr>
              <w:spacing w:line="0" w:lineRule="atLeast"/>
              <w:jc w:val="center"/>
              <w:rPr>
                <w:rFonts w:eastAsia="楷体_GB2312"/>
                <w:color w:val="000000" w:themeColor="text1"/>
                <w:sz w:val="24"/>
              </w:rPr>
            </w:pPr>
            <w:r w:rsidRPr="002B09B6">
              <w:rPr>
                <w:rFonts w:eastAsia="楷体_GB2312"/>
                <w:color w:val="000000" w:themeColor="text1"/>
                <w:kern w:val="0"/>
                <w:sz w:val="24"/>
              </w:rPr>
              <w:lastRenderedPageBreak/>
              <w:t>创优目标</w:t>
            </w:r>
          </w:p>
        </w:tc>
        <w:tc>
          <w:tcPr>
            <w:tcW w:w="560" w:type="dxa"/>
            <w:vAlign w:val="center"/>
          </w:tcPr>
          <w:p w:rsidR="00E92B70" w:rsidRPr="002B09B6" w:rsidRDefault="00E92B70" w:rsidP="00A90FC1">
            <w:pPr>
              <w:spacing w:line="320" w:lineRule="exact"/>
              <w:jc w:val="center"/>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1</w:t>
            </w:r>
          </w:p>
        </w:tc>
        <w:tc>
          <w:tcPr>
            <w:tcW w:w="2791" w:type="dxa"/>
            <w:vAlign w:val="center"/>
          </w:tcPr>
          <w:p w:rsidR="00E92B70" w:rsidRPr="002B09B6" w:rsidRDefault="00E92B70" w:rsidP="0003614B">
            <w:pPr>
              <w:spacing w:line="320" w:lineRule="exact"/>
              <w:jc w:val="left"/>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统筹推进全市“项目落地年”行动，以高质量投资助力高质量增长</w:t>
            </w:r>
          </w:p>
        </w:tc>
        <w:tc>
          <w:tcPr>
            <w:tcW w:w="10521" w:type="dxa"/>
            <w:vAlign w:val="center"/>
          </w:tcPr>
          <w:p w:rsidR="00E92B70" w:rsidRPr="002B09B6" w:rsidRDefault="00E92B70" w:rsidP="0003614B">
            <w:pPr>
              <w:spacing w:line="320" w:lineRule="exact"/>
              <w:ind w:firstLineChars="200" w:firstLine="560"/>
              <w:rPr>
                <w:rFonts w:ascii="仿宋_GB2312" w:eastAsia="仿宋_GB2312"/>
                <w:color w:val="000000" w:themeColor="text1"/>
                <w:kern w:val="0"/>
                <w:sz w:val="28"/>
                <w:szCs w:val="28"/>
              </w:rPr>
            </w:pPr>
            <w:r w:rsidRPr="002B09B6">
              <w:rPr>
                <w:rFonts w:ascii="仿宋_GB2312" w:eastAsia="仿宋_GB2312" w:hint="eastAsia"/>
                <w:color w:val="000000" w:themeColor="text1"/>
                <w:sz w:val="28"/>
                <w:szCs w:val="28"/>
              </w:rPr>
              <w:t>发挥好市级调度指挥中心作用，推动全市“项目落地年”部署落地，确保全年固定资产投资增长10%以上。推动5张清单重点项目建设，抓好249个省市重点建设项目、首批94个市级重点产业链项目管理服务。印发实施《青岛市重点项目建设推进管理办法》，健全完善市级领导同志顶格推进重大项目制度，组织推进78个顶格推进重点项目。加快总投资2190亿元的150个5亿元以上重点工业项目建设，年度完成投资320亿元。加快现代综合交通基础设施建设，推进潍坊至青岛高速、董家口至梁山高速、辽阳路快速路、海尔路银川路立交、6条地铁线路等重大工程建设。开工建设潍坊至烟台、莱西至荣成等高速铁路。推动地铁三期规划获国家发展改革委批复。争取青岛至京沪高铁辅助通道铁路获国家批复、即墨至海阳市域（郊）铁路纳入国家、省相关规划。牵头推进青岛海上综合试验场项目建设。争取地方政府专项债、中央预算内资金支持，梳理储备REITs备选项目，保障重大项目及社会民生项目资金需求。</w:t>
            </w:r>
          </w:p>
          <w:p w:rsidR="00E92B70" w:rsidRPr="002B09B6" w:rsidRDefault="00E92B70" w:rsidP="0003614B">
            <w:pPr>
              <w:spacing w:line="320" w:lineRule="exact"/>
              <w:ind w:firstLineChars="200" w:firstLine="562"/>
              <w:rPr>
                <w:rFonts w:ascii="仿宋_GB2312" w:eastAsia="仿宋_GB2312"/>
                <w:color w:val="000000" w:themeColor="text1"/>
                <w:sz w:val="28"/>
                <w:szCs w:val="28"/>
              </w:rPr>
            </w:pPr>
            <w:r w:rsidRPr="002B09B6">
              <w:rPr>
                <w:rFonts w:ascii="仿宋_GB2312" w:eastAsia="仿宋_GB2312" w:hint="eastAsia"/>
                <w:b/>
                <w:bCs/>
                <w:color w:val="000000" w:themeColor="text1"/>
                <w:kern w:val="0"/>
                <w:sz w:val="28"/>
                <w:szCs w:val="28"/>
              </w:rPr>
              <w:t>标杆城市：</w:t>
            </w:r>
            <w:r w:rsidRPr="002B09B6">
              <w:rPr>
                <w:rFonts w:ascii="仿宋_GB2312" w:eastAsia="仿宋_GB2312" w:hint="eastAsia"/>
                <w:bCs/>
                <w:color w:val="000000" w:themeColor="text1"/>
                <w:kern w:val="0"/>
                <w:sz w:val="28"/>
                <w:szCs w:val="28"/>
              </w:rPr>
              <w:t>成都</w:t>
            </w:r>
            <w:r>
              <w:rPr>
                <w:rFonts w:ascii="仿宋_GB2312" w:eastAsia="仿宋_GB2312" w:hint="eastAsia"/>
                <w:bCs/>
                <w:color w:val="000000" w:themeColor="text1"/>
                <w:kern w:val="0"/>
                <w:sz w:val="28"/>
                <w:szCs w:val="28"/>
              </w:rPr>
              <w:t xml:space="preserve">市    </w:t>
            </w:r>
            <w:r w:rsidRPr="002B09B6">
              <w:rPr>
                <w:rFonts w:ascii="仿宋_GB2312" w:eastAsia="仿宋_GB2312" w:hint="eastAsia"/>
                <w:b/>
                <w:bCs/>
                <w:color w:val="000000" w:themeColor="text1"/>
                <w:kern w:val="0"/>
                <w:sz w:val="28"/>
                <w:szCs w:val="28"/>
              </w:rPr>
              <w:t>标杆值：</w:t>
            </w:r>
            <w:r w:rsidRPr="002B09B6">
              <w:rPr>
                <w:rFonts w:ascii="仿宋_GB2312" w:eastAsia="仿宋_GB2312" w:hint="eastAsia"/>
                <w:bCs/>
                <w:color w:val="000000" w:themeColor="text1"/>
                <w:kern w:val="0"/>
                <w:sz w:val="28"/>
                <w:szCs w:val="28"/>
              </w:rPr>
              <w:t>固定资产投资增长率不低于成都。</w:t>
            </w:r>
          </w:p>
        </w:tc>
      </w:tr>
      <w:tr w:rsidR="00E92B70" w:rsidRPr="002B09B6" w:rsidTr="00894CE8">
        <w:trPr>
          <w:cantSplit/>
          <w:trHeight w:val="3955"/>
          <w:jc w:val="center"/>
        </w:trPr>
        <w:tc>
          <w:tcPr>
            <w:tcW w:w="560" w:type="dxa"/>
            <w:vMerge/>
            <w:vAlign w:val="center"/>
          </w:tcPr>
          <w:p w:rsidR="00E92B70" w:rsidRPr="002B09B6" w:rsidRDefault="00E92B70">
            <w:pPr>
              <w:jc w:val="center"/>
              <w:rPr>
                <w:rFonts w:eastAsia="楷体_GB2312"/>
                <w:color w:val="000000" w:themeColor="text1"/>
                <w:sz w:val="28"/>
                <w:szCs w:val="28"/>
              </w:rPr>
            </w:pPr>
          </w:p>
        </w:tc>
        <w:tc>
          <w:tcPr>
            <w:tcW w:w="560" w:type="dxa"/>
            <w:vAlign w:val="center"/>
          </w:tcPr>
          <w:p w:rsidR="00E92B70" w:rsidRPr="002B09B6" w:rsidRDefault="00E92B70" w:rsidP="00A90FC1">
            <w:pPr>
              <w:spacing w:line="320" w:lineRule="exact"/>
              <w:jc w:val="center"/>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2</w:t>
            </w:r>
          </w:p>
        </w:tc>
        <w:tc>
          <w:tcPr>
            <w:tcW w:w="2791" w:type="dxa"/>
            <w:vAlign w:val="center"/>
          </w:tcPr>
          <w:p w:rsidR="00E92B70" w:rsidRPr="002B09B6" w:rsidRDefault="00E92B70" w:rsidP="0003614B">
            <w:pPr>
              <w:spacing w:line="320" w:lineRule="exact"/>
              <w:jc w:val="left"/>
              <w:rPr>
                <w:rFonts w:ascii="仿宋_GB2312" w:eastAsia="仿宋_GB2312"/>
                <w:color w:val="000000" w:themeColor="text1"/>
                <w:sz w:val="28"/>
                <w:szCs w:val="28"/>
              </w:rPr>
            </w:pPr>
            <w:r w:rsidRPr="002B09B6">
              <w:rPr>
                <w:rFonts w:ascii="仿宋_GB2312" w:eastAsia="仿宋_GB2312" w:hint="eastAsia"/>
                <w:color w:val="000000" w:themeColor="text1"/>
                <w:sz w:val="28"/>
                <w:szCs w:val="28"/>
              </w:rPr>
              <w:t>推进碳达峰、碳中和，保障重点项目落地</w:t>
            </w:r>
          </w:p>
        </w:tc>
        <w:tc>
          <w:tcPr>
            <w:tcW w:w="10521" w:type="dxa"/>
            <w:vAlign w:val="center"/>
          </w:tcPr>
          <w:p w:rsidR="00E92B70" w:rsidRPr="002B09B6" w:rsidRDefault="00E92B70" w:rsidP="0003614B">
            <w:pPr>
              <w:spacing w:line="320" w:lineRule="exact"/>
              <w:ind w:firstLineChars="200" w:firstLine="560"/>
              <w:rPr>
                <w:rFonts w:ascii="仿宋_GB2312" w:eastAsia="仿宋_GB2312"/>
                <w:color w:val="000000" w:themeColor="text1"/>
                <w:kern w:val="0"/>
                <w:sz w:val="28"/>
                <w:szCs w:val="28"/>
              </w:rPr>
            </w:pPr>
            <w:r w:rsidRPr="002B09B6">
              <w:rPr>
                <w:rFonts w:ascii="仿宋_GB2312" w:eastAsia="仿宋_GB2312" w:hint="eastAsia"/>
                <w:color w:val="000000" w:themeColor="text1"/>
                <w:kern w:val="0"/>
                <w:sz w:val="28"/>
                <w:szCs w:val="28"/>
              </w:rPr>
              <w:t>结合后疫情时代经济社会发展态势，科学测算全市碳达峰峰值及时间节点，明确重点领域的碳达峰路径，制定全市碳达峰、碳中和行动计划。</w:t>
            </w:r>
            <w:r w:rsidRPr="002B09B6">
              <w:rPr>
                <w:rFonts w:ascii="仿宋_GB2312" w:eastAsia="仿宋_GB2312" w:hint="eastAsia"/>
                <w:color w:val="000000" w:themeColor="text1"/>
                <w:sz w:val="28"/>
                <w:szCs w:val="28"/>
              </w:rPr>
              <w:t>全面完成省下达的能耗强度和总量控制目标任务，</w:t>
            </w:r>
            <w:r w:rsidRPr="002B09B6">
              <w:rPr>
                <w:rFonts w:ascii="仿宋_GB2312" w:eastAsia="仿宋_GB2312" w:hint="eastAsia"/>
                <w:color w:val="000000" w:themeColor="text1"/>
                <w:kern w:val="0"/>
                <w:sz w:val="28"/>
                <w:szCs w:val="28"/>
              </w:rPr>
              <w:t>持续降低万元GDP能耗，确保国内领先水平。出台《青岛市用能权交易工作实施意见》，探索通过市场化手段，依托用能（煤）权交易等手段激励企业节能降碳，为重点项目落地提供能耗、煤耗空间。积极服务新能源消纳利用，全年新增可再生能源装机30万千瓦，消纳新能源发电占全市全社会用电量10.5%以上。遏制两高项目盲目发展，聚焦新能源汽车、氢能开发利用等产业，加快推进国际新能源汽车智造产业基地、FCP中德氢动力产业园等一批重大项目，金能科技氢能源综合利用一期项目建成投产，中国北方国际油气中心投入运营。支持特来电等新能源业态企业做大做强，新建新能源汽车充电基础设施2500个以上。通过实施“煤改气”项目建设，年内淘汰7台燃煤锅炉，减少二氧化碳排放15万吨以上。</w:t>
            </w:r>
          </w:p>
          <w:p w:rsidR="00E92B70" w:rsidRPr="002B09B6" w:rsidRDefault="00E92B70" w:rsidP="0003614B">
            <w:pPr>
              <w:spacing w:line="320" w:lineRule="exact"/>
              <w:ind w:firstLineChars="200" w:firstLine="562"/>
              <w:rPr>
                <w:rFonts w:ascii="仿宋_GB2312" w:eastAsia="仿宋_GB2312"/>
                <w:color w:val="000000" w:themeColor="text1"/>
                <w:sz w:val="28"/>
                <w:szCs w:val="28"/>
              </w:rPr>
            </w:pPr>
            <w:r w:rsidRPr="002B09B6">
              <w:rPr>
                <w:rFonts w:ascii="仿宋_GB2312" w:eastAsia="仿宋_GB2312" w:hint="eastAsia"/>
                <w:b/>
                <w:color w:val="000000" w:themeColor="text1"/>
                <w:kern w:val="0"/>
                <w:sz w:val="28"/>
                <w:szCs w:val="28"/>
              </w:rPr>
              <w:t>标杆城市：</w:t>
            </w:r>
            <w:r w:rsidRPr="002B09B6">
              <w:rPr>
                <w:rFonts w:ascii="仿宋_GB2312" w:eastAsia="仿宋_GB2312" w:hint="eastAsia"/>
                <w:color w:val="000000" w:themeColor="text1"/>
                <w:kern w:val="0"/>
                <w:sz w:val="28"/>
                <w:szCs w:val="28"/>
              </w:rPr>
              <w:t>深圳</w:t>
            </w:r>
            <w:r>
              <w:rPr>
                <w:rFonts w:ascii="仿宋_GB2312" w:eastAsia="仿宋_GB2312" w:hint="eastAsia"/>
                <w:bCs/>
                <w:color w:val="000000" w:themeColor="text1"/>
                <w:kern w:val="0"/>
                <w:sz w:val="28"/>
                <w:szCs w:val="28"/>
              </w:rPr>
              <w:t>市</w:t>
            </w:r>
            <w:r>
              <w:rPr>
                <w:rFonts w:ascii="仿宋_GB2312" w:eastAsia="仿宋_GB2312" w:hint="eastAsia"/>
                <w:color w:val="000000" w:themeColor="text1"/>
                <w:kern w:val="0"/>
                <w:sz w:val="28"/>
                <w:szCs w:val="28"/>
              </w:rPr>
              <w:t xml:space="preserve">    </w:t>
            </w:r>
            <w:r w:rsidRPr="002B09B6">
              <w:rPr>
                <w:rFonts w:ascii="仿宋_GB2312" w:eastAsia="仿宋_GB2312" w:hint="eastAsia"/>
                <w:b/>
                <w:color w:val="000000" w:themeColor="text1"/>
                <w:kern w:val="0"/>
                <w:sz w:val="28"/>
                <w:szCs w:val="28"/>
              </w:rPr>
              <w:t>标杆值：</w:t>
            </w:r>
            <w:r w:rsidRPr="002B09B6">
              <w:rPr>
                <w:rFonts w:ascii="仿宋_GB2312" w:eastAsia="仿宋_GB2312" w:hint="eastAsia"/>
                <w:color w:val="000000" w:themeColor="text1"/>
                <w:kern w:val="0"/>
                <w:sz w:val="28"/>
                <w:szCs w:val="28"/>
              </w:rPr>
              <w:t>万元GDP能耗下降率高于深圳。</w:t>
            </w:r>
          </w:p>
        </w:tc>
      </w:tr>
    </w:tbl>
    <w:p w:rsidR="00A53B2F" w:rsidRPr="002B09B6" w:rsidRDefault="00A53B2F" w:rsidP="00612D67">
      <w:pPr>
        <w:widowControl/>
        <w:spacing w:line="140" w:lineRule="exact"/>
        <w:jc w:val="left"/>
        <w:rPr>
          <w:rFonts w:eastAsia="黑体"/>
          <w:color w:val="000000" w:themeColor="text1"/>
          <w:sz w:val="32"/>
          <w:szCs w:val="32"/>
        </w:rPr>
      </w:pPr>
    </w:p>
    <w:sectPr w:rsidR="00A53B2F" w:rsidRPr="002B09B6" w:rsidSect="00612D67">
      <w:footerReference w:type="even" r:id="rId6"/>
      <w:footerReference w:type="default" r:id="rId7"/>
      <w:pgSz w:w="16838" w:h="11906" w:orient="landscape"/>
      <w:pgMar w:top="1588" w:right="2098" w:bottom="1474" w:left="1985" w:header="851" w:footer="992" w:gutter="0"/>
      <w:pgNumType w:fmt="numberInDash"/>
      <w:cols w:space="720"/>
      <w:docGrid w:type="linesAndChars" w:linePitch="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7B4" w:rsidRDefault="009A07B4">
      <w:r>
        <w:separator/>
      </w:r>
    </w:p>
  </w:endnote>
  <w:endnote w:type="continuationSeparator" w:id="0">
    <w:p w:rsidR="009A07B4" w:rsidRDefault="009A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0D7" w:rsidRDefault="009D6C50">
    <w:pPr>
      <w:pStyle w:val="ac"/>
      <w:framePr w:wrap="around" w:vAnchor="text" w:hAnchor="margin" w:xAlign="outside" w:y="1"/>
      <w:rPr>
        <w:rStyle w:val="a6"/>
      </w:rPr>
    </w:pPr>
    <w:r>
      <w:fldChar w:fldCharType="begin"/>
    </w:r>
    <w:r w:rsidR="000713D1">
      <w:rPr>
        <w:rStyle w:val="a6"/>
      </w:rPr>
      <w:instrText xml:space="preserve">PAGE  </w:instrText>
    </w:r>
    <w:r>
      <w:fldChar w:fldCharType="end"/>
    </w:r>
  </w:p>
  <w:p w:rsidR="002B30D7" w:rsidRDefault="002B30D7">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0D7" w:rsidRDefault="009D6C50">
    <w:pPr>
      <w:pStyle w:val="ac"/>
      <w:framePr w:wrap="around" w:vAnchor="text" w:hAnchor="margin" w:xAlign="outside" w:y="1"/>
      <w:rPr>
        <w:rStyle w:val="a6"/>
        <w:rFonts w:ascii="宋体" w:hAnsi="宋体"/>
        <w:sz w:val="28"/>
        <w:szCs w:val="28"/>
      </w:rPr>
    </w:pPr>
    <w:r>
      <w:rPr>
        <w:rFonts w:ascii="宋体" w:hAnsi="宋体"/>
        <w:sz w:val="28"/>
        <w:szCs w:val="28"/>
      </w:rPr>
      <w:fldChar w:fldCharType="begin"/>
    </w:r>
    <w:r w:rsidR="000713D1">
      <w:rPr>
        <w:rStyle w:val="a6"/>
        <w:rFonts w:ascii="宋体" w:hAnsi="宋体"/>
        <w:sz w:val="28"/>
        <w:szCs w:val="28"/>
      </w:rPr>
      <w:instrText xml:space="preserve">PAGE  </w:instrText>
    </w:r>
    <w:r>
      <w:rPr>
        <w:rFonts w:ascii="宋体" w:hAnsi="宋体"/>
        <w:sz w:val="28"/>
        <w:szCs w:val="28"/>
      </w:rPr>
      <w:fldChar w:fldCharType="separate"/>
    </w:r>
    <w:r w:rsidR="007F4CE5">
      <w:rPr>
        <w:rStyle w:val="a6"/>
        <w:rFonts w:ascii="宋体" w:hAnsi="宋体"/>
        <w:noProof/>
        <w:sz w:val="28"/>
        <w:szCs w:val="28"/>
      </w:rPr>
      <w:t>- 1 -</w:t>
    </w:r>
    <w:r>
      <w:rPr>
        <w:rFonts w:ascii="宋体" w:hAnsi="宋体"/>
        <w:sz w:val="28"/>
        <w:szCs w:val="28"/>
      </w:rPr>
      <w:fldChar w:fldCharType="end"/>
    </w:r>
  </w:p>
  <w:p w:rsidR="002B30D7" w:rsidRDefault="002B30D7">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7B4" w:rsidRDefault="009A07B4">
      <w:r>
        <w:separator/>
      </w:r>
    </w:p>
  </w:footnote>
  <w:footnote w:type="continuationSeparator" w:id="0">
    <w:p w:rsidR="009A07B4" w:rsidRDefault="009A0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168"/>
    <w:rsid w:val="00002247"/>
    <w:rsid w:val="00003551"/>
    <w:rsid w:val="00003BF9"/>
    <w:rsid w:val="00006B64"/>
    <w:rsid w:val="00007BEA"/>
    <w:rsid w:val="0001012C"/>
    <w:rsid w:val="000113AA"/>
    <w:rsid w:val="00011B43"/>
    <w:rsid w:val="00021EC2"/>
    <w:rsid w:val="00024B01"/>
    <w:rsid w:val="00024C3F"/>
    <w:rsid w:val="00026C37"/>
    <w:rsid w:val="00026EE5"/>
    <w:rsid w:val="0003051B"/>
    <w:rsid w:val="000359F8"/>
    <w:rsid w:val="00035DBD"/>
    <w:rsid w:val="00036683"/>
    <w:rsid w:val="00037F01"/>
    <w:rsid w:val="0004337B"/>
    <w:rsid w:val="0004367F"/>
    <w:rsid w:val="00043E8E"/>
    <w:rsid w:val="0004415C"/>
    <w:rsid w:val="000446F0"/>
    <w:rsid w:val="0004510A"/>
    <w:rsid w:val="00047621"/>
    <w:rsid w:val="00047CF0"/>
    <w:rsid w:val="000508F0"/>
    <w:rsid w:val="00050E1C"/>
    <w:rsid w:val="00056336"/>
    <w:rsid w:val="00056548"/>
    <w:rsid w:val="000567E9"/>
    <w:rsid w:val="000570D0"/>
    <w:rsid w:val="00060DE5"/>
    <w:rsid w:val="00063F00"/>
    <w:rsid w:val="000713D1"/>
    <w:rsid w:val="000718C2"/>
    <w:rsid w:val="0007244A"/>
    <w:rsid w:val="000755DA"/>
    <w:rsid w:val="00080EA3"/>
    <w:rsid w:val="00081D6A"/>
    <w:rsid w:val="000821FE"/>
    <w:rsid w:val="000857E7"/>
    <w:rsid w:val="00087E7A"/>
    <w:rsid w:val="00090086"/>
    <w:rsid w:val="00090B4C"/>
    <w:rsid w:val="00091B25"/>
    <w:rsid w:val="0009394D"/>
    <w:rsid w:val="000953E4"/>
    <w:rsid w:val="00095ED7"/>
    <w:rsid w:val="00096F89"/>
    <w:rsid w:val="000A36E0"/>
    <w:rsid w:val="000A6428"/>
    <w:rsid w:val="000A7C06"/>
    <w:rsid w:val="000B09F3"/>
    <w:rsid w:val="000B0A18"/>
    <w:rsid w:val="000B1017"/>
    <w:rsid w:val="000B275F"/>
    <w:rsid w:val="000B472F"/>
    <w:rsid w:val="000B5845"/>
    <w:rsid w:val="000C07A5"/>
    <w:rsid w:val="000C1D2C"/>
    <w:rsid w:val="000C3F94"/>
    <w:rsid w:val="000C46E5"/>
    <w:rsid w:val="000C47B5"/>
    <w:rsid w:val="000C74F5"/>
    <w:rsid w:val="000D0210"/>
    <w:rsid w:val="000D06B6"/>
    <w:rsid w:val="000D12DA"/>
    <w:rsid w:val="000D4B75"/>
    <w:rsid w:val="000E36EB"/>
    <w:rsid w:val="000E3958"/>
    <w:rsid w:val="000E399B"/>
    <w:rsid w:val="000E5601"/>
    <w:rsid w:val="000E63B9"/>
    <w:rsid w:val="000E687A"/>
    <w:rsid w:val="000E7D44"/>
    <w:rsid w:val="000F064B"/>
    <w:rsid w:val="000F2AFD"/>
    <w:rsid w:val="000F2E21"/>
    <w:rsid w:val="000F3118"/>
    <w:rsid w:val="000F357E"/>
    <w:rsid w:val="000F3946"/>
    <w:rsid w:val="000F449D"/>
    <w:rsid w:val="000F72BF"/>
    <w:rsid w:val="00103540"/>
    <w:rsid w:val="00105C95"/>
    <w:rsid w:val="00106251"/>
    <w:rsid w:val="001076E8"/>
    <w:rsid w:val="001077FD"/>
    <w:rsid w:val="00110E07"/>
    <w:rsid w:val="001115F2"/>
    <w:rsid w:val="00114937"/>
    <w:rsid w:val="001211E2"/>
    <w:rsid w:val="00121FE6"/>
    <w:rsid w:val="00122115"/>
    <w:rsid w:val="001232E1"/>
    <w:rsid w:val="00125E43"/>
    <w:rsid w:val="00125E87"/>
    <w:rsid w:val="00127DA9"/>
    <w:rsid w:val="00131391"/>
    <w:rsid w:val="00131FFF"/>
    <w:rsid w:val="001323A1"/>
    <w:rsid w:val="001332B1"/>
    <w:rsid w:val="00144189"/>
    <w:rsid w:val="00144A76"/>
    <w:rsid w:val="00145897"/>
    <w:rsid w:val="00146B1A"/>
    <w:rsid w:val="0015316E"/>
    <w:rsid w:val="001559F8"/>
    <w:rsid w:val="00156713"/>
    <w:rsid w:val="00156E45"/>
    <w:rsid w:val="00157A2D"/>
    <w:rsid w:val="00160A2A"/>
    <w:rsid w:val="001638BF"/>
    <w:rsid w:val="00164EE8"/>
    <w:rsid w:val="00165376"/>
    <w:rsid w:val="00167781"/>
    <w:rsid w:val="00167BE0"/>
    <w:rsid w:val="00170B52"/>
    <w:rsid w:val="00171A95"/>
    <w:rsid w:val="00172093"/>
    <w:rsid w:val="00172A27"/>
    <w:rsid w:val="0017353A"/>
    <w:rsid w:val="00173C73"/>
    <w:rsid w:val="00175F93"/>
    <w:rsid w:val="00182A7C"/>
    <w:rsid w:val="00182D79"/>
    <w:rsid w:val="0018303D"/>
    <w:rsid w:val="00183D77"/>
    <w:rsid w:val="00184D40"/>
    <w:rsid w:val="001852E2"/>
    <w:rsid w:val="00186E73"/>
    <w:rsid w:val="00187861"/>
    <w:rsid w:val="00187F56"/>
    <w:rsid w:val="00190316"/>
    <w:rsid w:val="00192FDF"/>
    <w:rsid w:val="00193099"/>
    <w:rsid w:val="001935B7"/>
    <w:rsid w:val="00195E3F"/>
    <w:rsid w:val="00196FFF"/>
    <w:rsid w:val="00197C4E"/>
    <w:rsid w:val="001A1C8D"/>
    <w:rsid w:val="001A4BF9"/>
    <w:rsid w:val="001A68E8"/>
    <w:rsid w:val="001A6DF6"/>
    <w:rsid w:val="001A7D63"/>
    <w:rsid w:val="001B172E"/>
    <w:rsid w:val="001B3E09"/>
    <w:rsid w:val="001B46EB"/>
    <w:rsid w:val="001B6220"/>
    <w:rsid w:val="001C023F"/>
    <w:rsid w:val="001C0A18"/>
    <w:rsid w:val="001C1BC3"/>
    <w:rsid w:val="001C1BDD"/>
    <w:rsid w:val="001C1CBE"/>
    <w:rsid w:val="001C46A2"/>
    <w:rsid w:val="001D0D2B"/>
    <w:rsid w:val="001D11AF"/>
    <w:rsid w:val="001D1209"/>
    <w:rsid w:val="001D40FF"/>
    <w:rsid w:val="001D463C"/>
    <w:rsid w:val="001D57DC"/>
    <w:rsid w:val="001D6E66"/>
    <w:rsid w:val="001E1D0A"/>
    <w:rsid w:val="001E1D2B"/>
    <w:rsid w:val="001E4235"/>
    <w:rsid w:val="001E6AC0"/>
    <w:rsid w:val="001E7014"/>
    <w:rsid w:val="001F1072"/>
    <w:rsid w:val="001F4678"/>
    <w:rsid w:val="001F469B"/>
    <w:rsid w:val="001F5419"/>
    <w:rsid w:val="001F6173"/>
    <w:rsid w:val="0020021E"/>
    <w:rsid w:val="00200BA2"/>
    <w:rsid w:val="00200BCA"/>
    <w:rsid w:val="00201D9C"/>
    <w:rsid w:val="002024BB"/>
    <w:rsid w:val="00202FD5"/>
    <w:rsid w:val="00206E27"/>
    <w:rsid w:val="00207839"/>
    <w:rsid w:val="00207C80"/>
    <w:rsid w:val="00211FDE"/>
    <w:rsid w:val="00212061"/>
    <w:rsid w:val="00213A3E"/>
    <w:rsid w:val="00217A0A"/>
    <w:rsid w:val="00222102"/>
    <w:rsid w:val="00222208"/>
    <w:rsid w:val="002223EE"/>
    <w:rsid w:val="0022344E"/>
    <w:rsid w:val="00224FEA"/>
    <w:rsid w:val="002254A7"/>
    <w:rsid w:val="002302EC"/>
    <w:rsid w:val="002336A8"/>
    <w:rsid w:val="00233931"/>
    <w:rsid w:val="00233EFC"/>
    <w:rsid w:val="00234082"/>
    <w:rsid w:val="00235FBC"/>
    <w:rsid w:val="002368C6"/>
    <w:rsid w:val="00236E77"/>
    <w:rsid w:val="00243577"/>
    <w:rsid w:val="00243B3E"/>
    <w:rsid w:val="002447B9"/>
    <w:rsid w:val="002472F8"/>
    <w:rsid w:val="002476AE"/>
    <w:rsid w:val="00257543"/>
    <w:rsid w:val="002575C5"/>
    <w:rsid w:val="002579A3"/>
    <w:rsid w:val="00262A59"/>
    <w:rsid w:val="00265D03"/>
    <w:rsid w:val="0026612E"/>
    <w:rsid w:val="0027003A"/>
    <w:rsid w:val="00272CF7"/>
    <w:rsid w:val="00273923"/>
    <w:rsid w:val="0027431F"/>
    <w:rsid w:val="00275F6A"/>
    <w:rsid w:val="00276A3C"/>
    <w:rsid w:val="002817E0"/>
    <w:rsid w:val="002840AE"/>
    <w:rsid w:val="002844E9"/>
    <w:rsid w:val="00286A1D"/>
    <w:rsid w:val="002917ED"/>
    <w:rsid w:val="00297CF3"/>
    <w:rsid w:val="002A1820"/>
    <w:rsid w:val="002A22E7"/>
    <w:rsid w:val="002A3A28"/>
    <w:rsid w:val="002A52E5"/>
    <w:rsid w:val="002A7DB8"/>
    <w:rsid w:val="002B09B6"/>
    <w:rsid w:val="002B1E8E"/>
    <w:rsid w:val="002B30D7"/>
    <w:rsid w:val="002B3B85"/>
    <w:rsid w:val="002C1258"/>
    <w:rsid w:val="002C2D6A"/>
    <w:rsid w:val="002C39F3"/>
    <w:rsid w:val="002C4872"/>
    <w:rsid w:val="002C4CE9"/>
    <w:rsid w:val="002C59B2"/>
    <w:rsid w:val="002C69E4"/>
    <w:rsid w:val="002D1F28"/>
    <w:rsid w:val="002D2E7C"/>
    <w:rsid w:val="002D432D"/>
    <w:rsid w:val="002D4C13"/>
    <w:rsid w:val="002D64F9"/>
    <w:rsid w:val="002D70DA"/>
    <w:rsid w:val="002E1569"/>
    <w:rsid w:val="002E2CC7"/>
    <w:rsid w:val="002E539A"/>
    <w:rsid w:val="002E7246"/>
    <w:rsid w:val="002F3969"/>
    <w:rsid w:val="002F3D63"/>
    <w:rsid w:val="002F4132"/>
    <w:rsid w:val="002F6710"/>
    <w:rsid w:val="002F76EE"/>
    <w:rsid w:val="002F77C3"/>
    <w:rsid w:val="002F7B93"/>
    <w:rsid w:val="003001A9"/>
    <w:rsid w:val="00300ACE"/>
    <w:rsid w:val="00304CC3"/>
    <w:rsid w:val="003061D7"/>
    <w:rsid w:val="00306980"/>
    <w:rsid w:val="00306DDE"/>
    <w:rsid w:val="00310BE9"/>
    <w:rsid w:val="00310F3A"/>
    <w:rsid w:val="00312941"/>
    <w:rsid w:val="00313EC0"/>
    <w:rsid w:val="00315186"/>
    <w:rsid w:val="00316199"/>
    <w:rsid w:val="0032097A"/>
    <w:rsid w:val="003214E9"/>
    <w:rsid w:val="00325375"/>
    <w:rsid w:val="003253BC"/>
    <w:rsid w:val="003258CF"/>
    <w:rsid w:val="00325EEC"/>
    <w:rsid w:val="00330016"/>
    <w:rsid w:val="003324B6"/>
    <w:rsid w:val="00335ED8"/>
    <w:rsid w:val="003417C0"/>
    <w:rsid w:val="00342C54"/>
    <w:rsid w:val="00342F28"/>
    <w:rsid w:val="003449A5"/>
    <w:rsid w:val="00344C37"/>
    <w:rsid w:val="003452AF"/>
    <w:rsid w:val="00346352"/>
    <w:rsid w:val="00347072"/>
    <w:rsid w:val="0034743A"/>
    <w:rsid w:val="00347D9D"/>
    <w:rsid w:val="00352A0B"/>
    <w:rsid w:val="0035439D"/>
    <w:rsid w:val="00354661"/>
    <w:rsid w:val="003568EA"/>
    <w:rsid w:val="003615CC"/>
    <w:rsid w:val="00362524"/>
    <w:rsid w:val="003627A4"/>
    <w:rsid w:val="003643FB"/>
    <w:rsid w:val="003659B2"/>
    <w:rsid w:val="00365E24"/>
    <w:rsid w:val="00366CE0"/>
    <w:rsid w:val="00370CAC"/>
    <w:rsid w:val="00371769"/>
    <w:rsid w:val="0037289F"/>
    <w:rsid w:val="00372CF5"/>
    <w:rsid w:val="00373B7F"/>
    <w:rsid w:val="00374571"/>
    <w:rsid w:val="003754F1"/>
    <w:rsid w:val="00376E0A"/>
    <w:rsid w:val="00376F74"/>
    <w:rsid w:val="00380F34"/>
    <w:rsid w:val="003819A4"/>
    <w:rsid w:val="00382889"/>
    <w:rsid w:val="00384086"/>
    <w:rsid w:val="00387983"/>
    <w:rsid w:val="00390A21"/>
    <w:rsid w:val="00391BCF"/>
    <w:rsid w:val="003926F2"/>
    <w:rsid w:val="00395F71"/>
    <w:rsid w:val="003A169A"/>
    <w:rsid w:val="003A27C4"/>
    <w:rsid w:val="003A37D0"/>
    <w:rsid w:val="003A5813"/>
    <w:rsid w:val="003A5E28"/>
    <w:rsid w:val="003A60EA"/>
    <w:rsid w:val="003A63B3"/>
    <w:rsid w:val="003B05C4"/>
    <w:rsid w:val="003B2420"/>
    <w:rsid w:val="003B3FD7"/>
    <w:rsid w:val="003B42E2"/>
    <w:rsid w:val="003B4ABA"/>
    <w:rsid w:val="003B5187"/>
    <w:rsid w:val="003B5348"/>
    <w:rsid w:val="003B65CA"/>
    <w:rsid w:val="003B709D"/>
    <w:rsid w:val="003B7784"/>
    <w:rsid w:val="003C1BB9"/>
    <w:rsid w:val="003C52E4"/>
    <w:rsid w:val="003C72AA"/>
    <w:rsid w:val="003D09CB"/>
    <w:rsid w:val="003D20FF"/>
    <w:rsid w:val="003D70A2"/>
    <w:rsid w:val="003E027B"/>
    <w:rsid w:val="003E03C4"/>
    <w:rsid w:val="003E1D4C"/>
    <w:rsid w:val="003E3692"/>
    <w:rsid w:val="003E3D84"/>
    <w:rsid w:val="003E77FF"/>
    <w:rsid w:val="003E7A4A"/>
    <w:rsid w:val="003F16F0"/>
    <w:rsid w:val="003F19EA"/>
    <w:rsid w:val="003F4586"/>
    <w:rsid w:val="003F5699"/>
    <w:rsid w:val="004012A3"/>
    <w:rsid w:val="00401479"/>
    <w:rsid w:val="0040148A"/>
    <w:rsid w:val="00401B67"/>
    <w:rsid w:val="004115FD"/>
    <w:rsid w:val="00412CCB"/>
    <w:rsid w:val="004132F9"/>
    <w:rsid w:val="00417010"/>
    <w:rsid w:val="004175E0"/>
    <w:rsid w:val="004206EB"/>
    <w:rsid w:val="00421A13"/>
    <w:rsid w:val="00421ADA"/>
    <w:rsid w:val="00423A4F"/>
    <w:rsid w:val="0042453C"/>
    <w:rsid w:val="00424943"/>
    <w:rsid w:val="004321FE"/>
    <w:rsid w:val="0043344A"/>
    <w:rsid w:val="00434753"/>
    <w:rsid w:val="00434E7A"/>
    <w:rsid w:val="00443B9E"/>
    <w:rsid w:val="00443C12"/>
    <w:rsid w:val="004444B0"/>
    <w:rsid w:val="004467C3"/>
    <w:rsid w:val="00446EC8"/>
    <w:rsid w:val="00446F51"/>
    <w:rsid w:val="004477A7"/>
    <w:rsid w:val="00452F79"/>
    <w:rsid w:val="00453982"/>
    <w:rsid w:val="00454E12"/>
    <w:rsid w:val="0045625C"/>
    <w:rsid w:val="004572FC"/>
    <w:rsid w:val="004604A1"/>
    <w:rsid w:val="00460627"/>
    <w:rsid w:val="004659C6"/>
    <w:rsid w:val="00465B35"/>
    <w:rsid w:val="00465C32"/>
    <w:rsid w:val="00466B24"/>
    <w:rsid w:val="00467A17"/>
    <w:rsid w:val="004704C9"/>
    <w:rsid w:val="0047455D"/>
    <w:rsid w:val="00475643"/>
    <w:rsid w:val="00475EA9"/>
    <w:rsid w:val="00476B35"/>
    <w:rsid w:val="00476F1A"/>
    <w:rsid w:val="0047705D"/>
    <w:rsid w:val="004806A1"/>
    <w:rsid w:val="00480BB9"/>
    <w:rsid w:val="00481E22"/>
    <w:rsid w:val="00484592"/>
    <w:rsid w:val="00484DAE"/>
    <w:rsid w:val="004851BA"/>
    <w:rsid w:val="00485C21"/>
    <w:rsid w:val="00486D48"/>
    <w:rsid w:val="00486E9F"/>
    <w:rsid w:val="0048735A"/>
    <w:rsid w:val="00493C01"/>
    <w:rsid w:val="00496586"/>
    <w:rsid w:val="00497678"/>
    <w:rsid w:val="00497FF3"/>
    <w:rsid w:val="004A6845"/>
    <w:rsid w:val="004B1EC5"/>
    <w:rsid w:val="004B676D"/>
    <w:rsid w:val="004C025F"/>
    <w:rsid w:val="004C1FB0"/>
    <w:rsid w:val="004C4043"/>
    <w:rsid w:val="004C439F"/>
    <w:rsid w:val="004C4D77"/>
    <w:rsid w:val="004C4F81"/>
    <w:rsid w:val="004D4522"/>
    <w:rsid w:val="004D4ECC"/>
    <w:rsid w:val="004E44F1"/>
    <w:rsid w:val="004E4F92"/>
    <w:rsid w:val="004E544E"/>
    <w:rsid w:val="004E7109"/>
    <w:rsid w:val="004E71E2"/>
    <w:rsid w:val="004F1F03"/>
    <w:rsid w:val="004F3118"/>
    <w:rsid w:val="004F33AB"/>
    <w:rsid w:val="004F5487"/>
    <w:rsid w:val="004F6A06"/>
    <w:rsid w:val="004F6DDC"/>
    <w:rsid w:val="0050372E"/>
    <w:rsid w:val="00504297"/>
    <w:rsid w:val="00504B59"/>
    <w:rsid w:val="00505A96"/>
    <w:rsid w:val="005072B0"/>
    <w:rsid w:val="00507740"/>
    <w:rsid w:val="00510C70"/>
    <w:rsid w:val="00511F80"/>
    <w:rsid w:val="00512193"/>
    <w:rsid w:val="00512AC5"/>
    <w:rsid w:val="00513C8B"/>
    <w:rsid w:val="00515B50"/>
    <w:rsid w:val="00521097"/>
    <w:rsid w:val="005242A8"/>
    <w:rsid w:val="005272E7"/>
    <w:rsid w:val="00531D94"/>
    <w:rsid w:val="005329E9"/>
    <w:rsid w:val="00533192"/>
    <w:rsid w:val="00535784"/>
    <w:rsid w:val="005357CF"/>
    <w:rsid w:val="005425DE"/>
    <w:rsid w:val="0054420F"/>
    <w:rsid w:val="0054781E"/>
    <w:rsid w:val="0055117D"/>
    <w:rsid w:val="00552426"/>
    <w:rsid w:val="005524F9"/>
    <w:rsid w:val="00552C4B"/>
    <w:rsid w:val="00553AB2"/>
    <w:rsid w:val="00554A50"/>
    <w:rsid w:val="005610E2"/>
    <w:rsid w:val="0056186F"/>
    <w:rsid w:val="00562F40"/>
    <w:rsid w:val="00566D11"/>
    <w:rsid w:val="005676BD"/>
    <w:rsid w:val="0057033A"/>
    <w:rsid w:val="005711EB"/>
    <w:rsid w:val="00571E37"/>
    <w:rsid w:val="005725AC"/>
    <w:rsid w:val="00574520"/>
    <w:rsid w:val="005749EF"/>
    <w:rsid w:val="00576303"/>
    <w:rsid w:val="00576F95"/>
    <w:rsid w:val="00582822"/>
    <w:rsid w:val="0058456D"/>
    <w:rsid w:val="005854E2"/>
    <w:rsid w:val="00587EB7"/>
    <w:rsid w:val="00591A2A"/>
    <w:rsid w:val="00591D39"/>
    <w:rsid w:val="0059326C"/>
    <w:rsid w:val="00594382"/>
    <w:rsid w:val="0059522D"/>
    <w:rsid w:val="00595ABD"/>
    <w:rsid w:val="005A32C9"/>
    <w:rsid w:val="005A47B4"/>
    <w:rsid w:val="005A48EA"/>
    <w:rsid w:val="005A602A"/>
    <w:rsid w:val="005A610B"/>
    <w:rsid w:val="005B00F7"/>
    <w:rsid w:val="005B1316"/>
    <w:rsid w:val="005B1DFC"/>
    <w:rsid w:val="005B29AA"/>
    <w:rsid w:val="005B4B2E"/>
    <w:rsid w:val="005B52B6"/>
    <w:rsid w:val="005B57D5"/>
    <w:rsid w:val="005B7575"/>
    <w:rsid w:val="005C274E"/>
    <w:rsid w:val="005C277B"/>
    <w:rsid w:val="005C587D"/>
    <w:rsid w:val="005C6314"/>
    <w:rsid w:val="005C64B5"/>
    <w:rsid w:val="005D0BA7"/>
    <w:rsid w:val="005D3038"/>
    <w:rsid w:val="005D6489"/>
    <w:rsid w:val="005D7788"/>
    <w:rsid w:val="005D7854"/>
    <w:rsid w:val="005E300F"/>
    <w:rsid w:val="005E46EF"/>
    <w:rsid w:val="005E4F1F"/>
    <w:rsid w:val="005E6816"/>
    <w:rsid w:val="005E7411"/>
    <w:rsid w:val="005E78F6"/>
    <w:rsid w:val="005E7D94"/>
    <w:rsid w:val="005F2EFF"/>
    <w:rsid w:val="005F416B"/>
    <w:rsid w:val="005F4666"/>
    <w:rsid w:val="005F5412"/>
    <w:rsid w:val="005F6756"/>
    <w:rsid w:val="005F7494"/>
    <w:rsid w:val="005F7B48"/>
    <w:rsid w:val="00600A74"/>
    <w:rsid w:val="0060340B"/>
    <w:rsid w:val="00604F14"/>
    <w:rsid w:val="00610721"/>
    <w:rsid w:val="006113D4"/>
    <w:rsid w:val="00611926"/>
    <w:rsid w:val="00612D67"/>
    <w:rsid w:val="00613A91"/>
    <w:rsid w:val="00615819"/>
    <w:rsid w:val="00615A92"/>
    <w:rsid w:val="00615BD4"/>
    <w:rsid w:val="00616773"/>
    <w:rsid w:val="00617CE5"/>
    <w:rsid w:val="006224EA"/>
    <w:rsid w:val="006225C5"/>
    <w:rsid w:val="00622BBE"/>
    <w:rsid w:val="006247FA"/>
    <w:rsid w:val="00627A87"/>
    <w:rsid w:val="00630574"/>
    <w:rsid w:val="00631597"/>
    <w:rsid w:val="0063490D"/>
    <w:rsid w:val="0063714A"/>
    <w:rsid w:val="00640604"/>
    <w:rsid w:val="00643655"/>
    <w:rsid w:val="00645248"/>
    <w:rsid w:val="00645F4F"/>
    <w:rsid w:val="006471A6"/>
    <w:rsid w:val="00650747"/>
    <w:rsid w:val="00651DEF"/>
    <w:rsid w:val="0065305D"/>
    <w:rsid w:val="00653FD7"/>
    <w:rsid w:val="00655FED"/>
    <w:rsid w:val="00656387"/>
    <w:rsid w:val="00656548"/>
    <w:rsid w:val="0065678B"/>
    <w:rsid w:val="00661B17"/>
    <w:rsid w:val="0066346F"/>
    <w:rsid w:val="0066490E"/>
    <w:rsid w:val="00664FCA"/>
    <w:rsid w:val="006661E6"/>
    <w:rsid w:val="0067160D"/>
    <w:rsid w:val="006726CF"/>
    <w:rsid w:val="0067294A"/>
    <w:rsid w:val="00672B17"/>
    <w:rsid w:val="00672E6F"/>
    <w:rsid w:val="006741B3"/>
    <w:rsid w:val="00675271"/>
    <w:rsid w:val="006771D6"/>
    <w:rsid w:val="006829F4"/>
    <w:rsid w:val="0068445D"/>
    <w:rsid w:val="00685372"/>
    <w:rsid w:val="00686FDB"/>
    <w:rsid w:val="0068756E"/>
    <w:rsid w:val="0068769B"/>
    <w:rsid w:val="00691E2E"/>
    <w:rsid w:val="00693251"/>
    <w:rsid w:val="00694A21"/>
    <w:rsid w:val="00694C1E"/>
    <w:rsid w:val="006A0BC5"/>
    <w:rsid w:val="006A124E"/>
    <w:rsid w:val="006A4D8F"/>
    <w:rsid w:val="006A4DCC"/>
    <w:rsid w:val="006B295E"/>
    <w:rsid w:val="006B308E"/>
    <w:rsid w:val="006B325C"/>
    <w:rsid w:val="006B3899"/>
    <w:rsid w:val="006B7BAB"/>
    <w:rsid w:val="006C2978"/>
    <w:rsid w:val="006C4ACC"/>
    <w:rsid w:val="006C5142"/>
    <w:rsid w:val="006C691C"/>
    <w:rsid w:val="006C6D32"/>
    <w:rsid w:val="006C6EF1"/>
    <w:rsid w:val="006D0A5D"/>
    <w:rsid w:val="006D29DC"/>
    <w:rsid w:val="006D38F5"/>
    <w:rsid w:val="006E0029"/>
    <w:rsid w:val="006E4F35"/>
    <w:rsid w:val="006E5638"/>
    <w:rsid w:val="006E6795"/>
    <w:rsid w:val="006E7294"/>
    <w:rsid w:val="006E7691"/>
    <w:rsid w:val="006F12F4"/>
    <w:rsid w:val="006F1DCA"/>
    <w:rsid w:val="006F28F2"/>
    <w:rsid w:val="006F3372"/>
    <w:rsid w:val="006F409C"/>
    <w:rsid w:val="006F582C"/>
    <w:rsid w:val="006F7531"/>
    <w:rsid w:val="00701FE6"/>
    <w:rsid w:val="0070207D"/>
    <w:rsid w:val="00703DA1"/>
    <w:rsid w:val="00704320"/>
    <w:rsid w:val="00704823"/>
    <w:rsid w:val="00704F6D"/>
    <w:rsid w:val="00706844"/>
    <w:rsid w:val="007105D8"/>
    <w:rsid w:val="00711244"/>
    <w:rsid w:val="00712161"/>
    <w:rsid w:val="007125A8"/>
    <w:rsid w:val="007141B2"/>
    <w:rsid w:val="0071618F"/>
    <w:rsid w:val="0071766D"/>
    <w:rsid w:val="00722B64"/>
    <w:rsid w:val="00724089"/>
    <w:rsid w:val="00724898"/>
    <w:rsid w:val="00724905"/>
    <w:rsid w:val="007266D0"/>
    <w:rsid w:val="00730AA6"/>
    <w:rsid w:val="007318AC"/>
    <w:rsid w:val="00735CC2"/>
    <w:rsid w:val="00736BB6"/>
    <w:rsid w:val="00745E01"/>
    <w:rsid w:val="007507A0"/>
    <w:rsid w:val="00751D2E"/>
    <w:rsid w:val="00752676"/>
    <w:rsid w:val="007534BB"/>
    <w:rsid w:val="007535AB"/>
    <w:rsid w:val="0075407B"/>
    <w:rsid w:val="00763B25"/>
    <w:rsid w:val="007663E4"/>
    <w:rsid w:val="00766BE9"/>
    <w:rsid w:val="00772465"/>
    <w:rsid w:val="00772B95"/>
    <w:rsid w:val="00773467"/>
    <w:rsid w:val="00776349"/>
    <w:rsid w:val="00777DC0"/>
    <w:rsid w:val="0078002E"/>
    <w:rsid w:val="0078009A"/>
    <w:rsid w:val="00780139"/>
    <w:rsid w:val="00780FE4"/>
    <w:rsid w:val="00783DB8"/>
    <w:rsid w:val="00784D5E"/>
    <w:rsid w:val="007852DF"/>
    <w:rsid w:val="00792805"/>
    <w:rsid w:val="00792CB9"/>
    <w:rsid w:val="00794BF4"/>
    <w:rsid w:val="00794DF8"/>
    <w:rsid w:val="007952B4"/>
    <w:rsid w:val="007970FA"/>
    <w:rsid w:val="007A0BBB"/>
    <w:rsid w:val="007A20BD"/>
    <w:rsid w:val="007A2404"/>
    <w:rsid w:val="007A2483"/>
    <w:rsid w:val="007A3161"/>
    <w:rsid w:val="007B1239"/>
    <w:rsid w:val="007B1625"/>
    <w:rsid w:val="007B19F9"/>
    <w:rsid w:val="007B1E03"/>
    <w:rsid w:val="007B30F7"/>
    <w:rsid w:val="007B4701"/>
    <w:rsid w:val="007B6C1F"/>
    <w:rsid w:val="007B76F8"/>
    <w:rsid w:val="007C17A9"/>
    <w:rsid w:val="007C1FF8"/>
    <w:rsid w:val="007C3674"/>
    <w:rsid w:val="007C4A60"/>
    <w:rsid w:val="007C74E1"/>
    <w:rsid w:val="007D2E8E"/>
    <w:rsid w:val="007D3C67"/>
    <w:rsid w:val="007D5EFE"/>
    <w:rsid w:val="007E022B"/>
    <w:rsid w:val="007E24C1"/>
    <w:rsid w:val="007E663A"/>
    <w:rsid w:val="007E76CD"/>
    <w:rsid w:val="007E7ACC"/>
    <w:rsid w:val="007F4180"/>
    <w:rsid w:val="007F49B3"/>
    <w:rsid w:val="007F4CE5"/>
    <w:rsid w:val="007F6179"/>
    <w:rsid w:val="007F777C"/>
    <w:rsid w:val="0080146D"/>
    <w:rsid w:val="00802D2D"/>
    <w:rsid w:val="00804EC2"/>
    <w:rsid w:val="00805F31"/>
    <w:rsid w:val="0080634F"/>
    <w:rsid w:val="0080781E"/>
    <w:rsid w:val="008105DF"/>
    <w:rsid w:val="008148F1"/>
    <w:rsid w:val="008162DE"/>
    <w:rsid w:val="00822260"/>
    <w:rsid w:val="008239B0"/>
    <w:rsid w:val="00825CBE"/>
    <w:rsid w:val="00827BA3"/>
    <w:rsid w:val="00827F00"/>
    <w:rsid w:val="00834CBF"/>
    <w:rsid w:val="00835D98"/>
    <w:rsid w:val="00837BF6"/>
    <w:rsid w:val="00841EA4"/>
    <w:rsid w:val="008479C1"/>
    <w:rsid w:val="00850032"/>
    <w:rsid w:val="00851009"/>
    <w:rsid w:val="00852397"/>
    <w:rsid w:val="008534AD"/>
    <w:rsid w:val="00854331"/>
    <w:rsid w:val="00856F80"/>
    <w:rsid w:val="00856FF9"/>
    <w:rsid w:val="008620B3"/>
    <w:rsid w:val="0086234D"/>
    <w:rsid w:val="00862C0C"/>
    <w:rsid w:val="00865F00"/>
    <w:rsid w:val="008662BD"/>
    <w:rsid w:val="008724E4"/>
    <w:rsid w:val="008748C0"/>
    <w:rsid w:val="008760E3"/>
    <w:rsid w:val="0087666E"/>
    <w:rsid w:val="00880ACA"/>
    <w:rsid w:val="00881783"/>
    <w:rsid w:val="00881E97"/>
    <w:rsid w:val="00882CAA"/>
    <w:rsid w:val="008841C6"/>
    <w:rsid w:val="008918E1"/>
    <w:rsid w:val="00891D65"/>
    <w:rsid w:val="00894CE8"/>
    <w:rsid w:val="0089507C"/>
    <w:rsid w:val="0089511F"/>
    <w:rsid w:val="008A1D66"/>
    <w:rsid w:val="008A3368"/>
    <w:rsid w:val="008A3510"/>
    <w:rsid w:val="008A750D"/>
    <w:rsid w:val="008A7FD5"/>
    <w:rsid w:val="008B1503"/>
    <w:rsid w:val="008B1FFE"/>
    <w:rsid w:val="008B215C"/>
    <w:rsid w:val="008B2559"/>
    <w:rsid w:val="008B727E"/>
    <w:rsid w:val="008B7868"/>
    <w:rsid w:val="008C0447"/>
    <w:rsid w:val="008C08E5"/>
    <w:rsid w:val="008C1A7D"/>
    <w:rsid w:val="008C1C50"/>
    <w:rsid w:val="008C3797"/>
    <w:rsid w:val="008C4223"/>
    <w:rsid w:val="008C4532"/>
    <w:rsid w:val="008C475A"/>
    <w:rsid w:val="008C55BF"/>
    <w:rsid w:val="008C5FB1"/>
    <w:rsid w:val="008C6E3D"/>
    <w:rsid w:val="008D03C2"/>
    <w:rsid w:val="008D1865"/>
    <w:rsid w:val="008D1934"/>
    <w:rsid w:val="008D3120"/>
    <w:rsid w:val="008D3B32"/>
    <w:rsid w:val="008D47BB"/>
    <w:rsid w:val="008D49D8"/>
    <w:rsid w:val="008D5826"/>
    <w:rsid w:val="008E1AE9"/>
    <w:rsid w:val="008E1E61"/>
    <w:rsid w:val="008E4E75"/>
    <w:rsid w:val="008E56F4"/>
    <w:rsid w:val="008E6CA4"/>
    <w:rsid w:val="008E6D3A"/>
    <w:rsid w:val="008E70A1"/>
    <w:rsid w:val="008F00F4"/>
    <w:rsid w:val="008F2B9E"/>
    <w:rsid w:val="008F2DF3"/>
    <w:rsid w:val="008F37D6"/>
    <w:rsid w:val="008F5A37"/>
    <w:rsid w:val="00901C7A"/>
    <w:rsid w:val="00902AAD"/>
    <w:rsid w:val="00905368"/>
    <w:rsid w:val="00906B54"/>
    <w:rsid w:val="00907D73"/>
    <w:rsid w:val="00911378"/>
    <w:rsid w:val="00911DAC"/>
    <w:rsid w:val="009130E0"/>
    <w:rsid w:val="00915286"/>
    <w:rsid w:val="00915679"/>
    <w:rsid w:val="009173F2"/>
    <w:rsid w:val="00922F14"/>
    <w:rsid w:val="00923669"/>
    <w:rsid w:val="00923671"/>
    <w:rsid w:val="00924235"/>
    <w:rsid w:val="0093080F"/>
    <w:rsid w:val="00930C84"/>
    <w:rsid w:val="009319DA"/>
    <w:rsid w:val="00931D77"/>
    <w:rsid w:val="00932434"/>
    <w:rsid w:val="009370CA"/>
    <w:rsid w:val="009375E6"/>
    <w:rsid w:val="009400B9"/>
    <w:rsid w:val="0094024F"/>
    <w:rsid w:val="00940DB3"/>
    <w:rsid w:val="00941997"/>
    <w:rsid w:val="009419AB"/>
    <w:rsid w:val="0094296B"/>
    <w:rsid w:val="00943960"/>
    <w:rsid w:val="00944F79"/>
    <w:rsid w:val="00945C26"/>
    <w:rsid w:val="0094616B"/>
    <w:rsid w:val="009518B9"/>
    <w:rsid w:val="0095327D"/>
    <w:rsid w:val="009542B1"/>
    <w:rsid w:val="00954E1D"/>
    <w:rsid w:val="00954E3C"/>
    <w:rsid w:val="00957493"/>
    <w:rsid w:val="00957634"/>
    <w:rsid w:val="0096059B"/>
    <w:rsid w:val="00960C81"/>
    <w:rsid w:val="00963B6F"/>
    <w:rsid w:val="00964977"/>
    <w:rsid w:val="009667B3"/>
    <w:rsid w:val="009709B1"/>
    <w:rsid w:val="00971240"/>
    <w:rsid w:val="009712BF"/>
    <w:rsid w:val="00971767"/>
    <w:rsid w:val="0097366A"/>
    <w:rsid w:val="00973966"/>
    <w:rsid w:val="0097651C"/>
    <w:rsid w:val="0097763B"/>
    <w:rsid w:val="00977799"/>
    <w:rsid w:val="0098372D"/>
    <w:rsid w:val="00983A5F"/>
    <w:rsid w:val="009851B5"/>
    <w:rsid w:val="009856AC"/>
    <w:rsid w:val="009862B1"/>
    <w:rsid w:val="009870A7"/>
    <w:rsid w:val="00990830"/>
    <w:rsid w:val="00991DAE"/>
    <w:rsid w:val="00992B2D"/>
    <w:rsid w:val="00994642"/>
    <w:rsid w:val="00994D15"/>
    <w:rsid w:val="009960E6"/>
    <w:rsid w:val="00996393"/>
    <w:rsid w:val="009964DB"/>
    <w:rsid w:val="009A0502"/>
    <w:rsid w:val="009A070C"/>
    <w:rsid w:val="009A07B4"/>
    <w:rsid w:val="009A0F7F"/>
    <w:rsid w:val="009A2715"/>
    <w:rsid w:val="009A29B5"/>
    <w:rsid w:val="009A3542"/>
    <w:rsid w:val="009B2397"/>
    <w:rsid w:val="009B2E37"/>
    <w:rsid w:val="009B385F"/>
    <w:rsid w:val="009B3B97"/>
    <w:rsid w:val="009B48CB"/>
    <w:rsid w:val="009B6916"/>
    <w:rsid w:val="009C045E"/>
    <w:rsid w:val="009C1A33"/>
    <w:rsid w:val="009C1CE1"/>
    <w:rsid w:val="009C3113"/>
    <w:rsid w:val="009C7942"/>
    <w:rsid w:val="009D0A9D"/>
    <w:rsid w:val="009D0F28"/>
    <w:rsid w:val="009D1EE3"/>
    <w:rsid w:val="009D1EFF"/>
    <w:rsid w:val="009D215E"/>
    <w:rsid w:val="009D39CC"/>
    <w:rsid w:val="009D4217"/>
    <w:rsid w:val="009D431A"/>
    <w:rsid w:val="009D4FA5"/>
    <w:rsid w:val="009D6178"/>
    <w:rsid w:val="009D6C50"/>
    <w:rsid w:val="009D6CB8"/>
    <w:rsid w:val="009E0B39"/>
    <w:rsid w:val="009E56CB"/>
    <w:rsid w:val="009E694B"/>
    <w:rsid w:val="009F3012"/>
    <w:rsid w:val="009F4376"/>
    <w:rsid w:val="00A00065"/>
    <w:rsid w:val="00A00966"/>
    <w:rsid w:val="00A01A72"/>
    <w:rsid w:val="00A02081"/>
    <w:rsid w:val="00A05295"/>
    <w:rsid w:val="00A1002F"/>
    <w:rsid w:val="00A11B17"/>
    <w:rsid w:val="00A131E6"/>
    <w:rsid w:val="00A1368B"/>
    <w:rsid w:val="00A14332"/>
    <w:rsid w:val="00A16E6E"/>
    <w:rsid w:val="00A1758D"/>
    <w:rsid w:val="00A202DB"/>
    <w:rsid w:val="00A20B6D"/>
    <w:rsid w:val="00A2268D"/>
    <w:rsid w:val="00A237AA"/>
    <w:rsid w:val="00A23C08"/>
    <w:rsid w:val="00A25243"/>
    <w:rsid w:val="00A254A8"/>
    <w:rsid w:val="00A26D6A"/>
    <w:rsid w:val="00A27235"/>
    <w:rsid w:val="00A3139C"/>
    <w:rsid w:val="00A327AB"/>
    <w:rsid w:val="00A370D1"/>
    <w:rsid w:val="00A401ED"/>
    <w:rsid w:val="00A43C8D"/>
    <w:rsid w:val="00A46E13"/>
    <w:rsid w:val="00A47036"/>
    <w:rsid w:val="00A47418"/>
    <w:rsid w:val="00A52869"/>
    <w:rsid w:val="00A5291D"/>
    <w:rsid w:val="00A53B2F"/>
    <w:rsid w:val="00A54C66"/>
    <w:rsid w:val="00A54CE3"/>
    <w:rsid w:val="00A60105"/>
    <w:rsid w:val="00A602E5"/>
    <w:rsid w:val="00A62445"/>
    <w:rsid w:val="00A62C0E"/>
    <w:rsid w:val="00A63218"/>
    <w:rsid w:val="00A6479A"/>
    <w:rsid w:val="00A67864"/>
    <w:rsid w:val="00A73561"/>
    <w:rsid w:val="00A76B95"/>
    <w:rsid w:val="00A80B94"/>
    <w:rsid w:val="00A828C9"/>
    <w:rsid w:val="00A83291"/>
    <w:rsid w:val="00A83970"/>
    <w:rsid w:val="00A840BA"/>
    <w:rsid w:val="00A841DC"/>
    <w:rsid w:val="00A8654A"/>
    <w:rsid w:val="00A90FC1"/>
    <w:rsid w:val="00A91BF1"/>
    <w:rsid w:val="00A92498"/>
    <w:rsid w:val="00A92734"/>
    <w:rsid w:val="00A92B08"/>
    <w:rsid w:val="00A93104"/>
    <w:rsid w:val="00A93F09"/>
    <w:rsid w:val="00A97355"/>
    <w:rsid w:val="00A97901"/>
    <w:rsid w:val="00AA15C1"/>
    <w:rsid w:val="00AA2B35"/>
    <w:rsid w:val="00AA3BCA"/>
    <w:rsid w:val="00AA5B28"/>
    <w:rsid w:val="00AB28A1"/>
    <w:rsid w:val="00AB31F0"/>
    <w:rsid w:val="00AB34D2"/>
    <w:rsid w:val="00AB3736"/>
    <w:rsid w:val="00AB7134"/>
    <w:rsid w:val="00AB7E72"/>
    <w:rsid w:val="00AC0C1E"/>
    <w:rsid w:val="00AC2A62"/>
    <w:rsid w:val="00AC2EE4"/>
    <w:rsid w:val="00AC51BC"/>
    <w:rsid w:val="00AC5EFB"/>
    <w:rsid w:val="00AC6763"/>
    <w:rsid w:val="00AC7E77"/>
    <w:rsid w:val="00AD230E"/>
    <w:rsid w:val="00AD27F0"/>
    <w:rsid w:val="00AD4653"/>
    <w:rsid w:val="00AD625B"/>
    <w:rsid w:val="00AE06B5"/>
    <w:rsid w:val="00AE10FB"/>
    <w:rsid w:val="00AE2774"/>
    <w:rsid w:val="00AE30C5"/>
    <w:rsid w:val="00AE4BDD"/>
    <w:rsid w:val="00AE4DD3"/>
    <w:rsid w:val="00AE599F"/>
    <w:rsid w:val="00AE62AC"/>
    <w:rsid w:val="00AE62EB"/>
    <w:rsid w:val="00AF0309"/>
    <w:rsid w:val="00AF04A0"/>
    <w:rsid w:val="00AF0CF1"/>
    <w:rsid w:val="00AF2CE6"/>
    <w:rsid w:val="00AF32B0"/>
    <w:rsid w:val="00AF5E92"/>
    <w:rsid w:val="00AF6572"/>
    <w:rsid w:val="00AF671A"/>
    <w:rsid w:val="00AF6A97"/>
    <w:rsid w:val="00B01AFC"/>
    <w:rsid w:val="00B021F5"/>
    <w:rsid w:val="00B0224B"/>
    <w:rsid w:val="00B02AC3"/>
    <w:rsid w:val="00B04359"/>
    <w:rsid w:val="00B10309"/>
    <w:rsid w:val="00B150E1"/>
    <w:rsid w:val="00B16A6B"/>
    <w:rsid w:val="00B17C62"/>
    <w:rsid w:val="00B21F85"/>
    <w:rsid w:val="00B229B4"/>
    <w:rsid w:val="00B232A6"/>
    <w:rsid w:val="00B3116C"/>
    <w:rsid w:val="00B3157A"/>
    <w:rsid w:val="00B32236"/>
    <w:rsid w:val="00B3258E"/>
    <w:rsid w:val="00B328B2"/>
    <w:rsid w:val="00B34804"/>
    <w:rsid w:val="00B355AB"/>
    <w:rsid w:val="00B35D2C"/>
    <w:rsid w:val="00B37AB5"/>
    <w:rsid w:val="00B40511"/>
    <w:rsid w:val="00B42082"/>
    <w:rsid w:val="00B44608"/>
    <w:rsid w:val="00B44A9B"/>
    <w:rsid w:val="00B46234"/>
    <w:rsid w:val="00B46293"/>
    <w:rsid w:val="00B4789B"/>
    <w:rsid w:val="00B478A4"/>
    <w:rsid w:val="00B50656"/>
    <w:rsid w:val="00B5502B"/>
    <w:rsid w:val="00B57287"/>
    <w:rsid w:val="00B57D0B"/>
    <w:rsid w:val="00B60EC1"/>
    <w:rsid w:val="00B634EF"/>
    <w:rsid w:val="00B63550"/>
    <w:rsid w:val="00B645C6"/>
    <w:rsid w:val="00B7025C"/>
    <w:rsid w:val="00B71C4A"/>
    <w:rsid w:val="00B75EC7"/>
    <w:rsid w:val="00B76725"/>
    <w:rsid w:val="00B80920"/>
    <w:rsid w:val="00B811B1"/>
    <w:rsid w:val="00B816E1"/>
    <w:rsid w:val="00B81720"/>
    <w:rsid w:val="00B82CCC"/>
    <w:rsid w:val="00B847BF"/>
    <w:rsid w:val="00B8619A"/>
    <w:rsid w:val="00B904B3"/>
    <w:rsid w:val="00B93048"/>
    <w:rsid w:val="00B96B1F"/>
    <w:rsid w:val="00BA05B7"/>
    <w:rsid w:val="00BA37EB"/>
    <w:rsid w:val="00BA419D"/>
    <w:rsid w:val="00BA4445"/>
    <w:rsid w:val="00BA58B1"/>
    <w:rsid w:val="00BA65E6"/>
    <w:rsid w:val="00BA7C27"/>
    <w:rsid w:val="00BB0022"/>
    <w:rsid w:val="00BB057C"/>
    <w:rsid w:val="00BB0ADC"/>
    <w:rsid w:val="00BB1239"/>
    <w:rsid w:val="00BB260D"/>
    <w:rsid w:val="00BB4625"/>
    <w:rsid w:val="00BB491C"/>
    <w:rsid w:val="00BB5139"/>
    <w:rsid w:val="00BB6952"/>
    <w:rsid w:val="00BB7CBD"/>
    <w:rsid w:val="00BC17A6"/>
    <w:rsid w:val="00BC3024"/>
    <w:rsid w:val="00BC49FB"/>
    <w:rsid w:val="00BC5248"/>
    <w:rsid w:val="00BC52CD"/>
    <w:rsid w:val="00BC59CF"/>
    <w:rsid w:val="00BC7BBE"/>
    <w:rsid w:val="00BD16C1"/>
    <w:rsid w:val="00BD1809"/>
    <w:rsid w:val="00BD2040"/>
    <w:rsid w:val="00BD3252"/>
    <w:rsid w:val="00BD3D10"/>
    <w:rsid w:val="00BD4AE0"/>
    <w:rsid w:val="00BD6810"/>
    <w:rsid w:val="00BD74BD"/>
    <w:rsid w:val="00BD7FD9"/>
    <w:rsid w:val="00BE0371"/>
    <w:rsid w:val="00BE064D"/>
    <w:rsid w:val="00BE1B92"/>
    <w:rsid w:val="00BE1CEB"/>
    <w:rsid w:val="00BE256B"/>
    <w:rsid w:val="00BE2D29"/>
    <w:rsid w:val="00BE30BC"/>
    <w:rsid w:val="00BE343B"/>
    <w:rsid w:val="00BE42C3"/>
    <w:rsid w:val="00BE453D"/>
    <w:rsid w:val="00BE4E8C"/>
    <w:rsid w:val="00BE582A"/>
    <w:rsid w:val="00BE686F"/>
    <w:rsid w:val="00BE6A85"/>
    <w:rsid w:val="00BE7099"/>
    <w:rsid w:val="00BF09FB"/>
    <w:rsid w:val="00BF1B64"/>
    <w:rsid w:val="00BF4697"/>
    <w:rsid w:val="00C00697"/>
    <w:rsid w:val="00C015A7"/>
    <w:rsid w:val="00C02301"/>
    <w:rsid w:val="00C05D33"/>
    <w:rsid w:val="00C0784B"/>
    <w:rsid w:val="00C111E7"/>
    <w:rsid w:val="00C11815"/>
    <w:rsid w:val="00C12A55"/>
    <w:rsid w:val="00C12C09"/>
    <w:rsid w:val="00C133B0"/>
    <w:rsid w:val="00C138A6"/>
    <w:rsid w:val="00C14A15"/>
    <w:rsid w:val="00C16E4C"/>
    <w:rsid w:val="00C2229F"/>
    <w:rsid w:val="00C2345B"/>
    <w:rsid w:val="00C3038C"/>
    <w:rsid w:val="00C30ABC"/>
    <w:rsid w:val="00C30B0D"/>
    <w:rsid w:val="00C30D3B"/>
    <w:rsid w:val="00C31023"/>
    <w:rsid w:val="00C31935"/>
    <w:rsid w:val="00C31A7E"/>
    <w:rsid w:val="00C31DEB"/>
    <w:rsid w:val="00C323BE"/>
    <w:rsid w:val="00C34910"/>
    <w:rsid w:val="00C42B0B"/>
    <w:rsid w:val="00C42B7E"/>
    <w:rsid w:val="00C43316"/>
    <w:rsid w:val="00C450AF"/>
    <w:rsid w:val="00C459AA"/>
    <w:rsid w:val="00C47BC0"/>
    <w:rsid w:val="00C54AC4"/>
    <w:rsid w:val="00C55417"/>
    <w:rsid w:val="00C56029"/>
    <w:rsid w:val="00C56F36"/>
    <w:rsid w:val="00C62176"/>
    <w:rsid w:val="00C63988"/>
    <w:rsid w:val="00C63C7D"/>
    <w:rsid w:val="00C64514"/>
    <w:rsid w:val="00C65907"/>
    <w:rsid w:val="00C71A64"/>
    <w:rsid w:val="00C71EE4"/>
    <w:rsid w:val="00C72436"/>
    <w:rsid w:val="00C734F3"/>
    <w:rsid w:val="00C73BCD"/>
    <w:rsid w:val="00C74F36"/>
    <w:rsid w:val="00C7572E"/>
    <w:rsid w:val="00C77296"/>
    <w:rsid w:val="00C81642"/>
    <w:rsid w:val="00C81AAA"/>
    <w:rsid w:val="00C81B58"/>
    <w:rsid w:val="00C82BCB"/>
    <w:rsid w:val="00C83393"/>
    <w:rsid w:val="00C83730"/>
    <w:rsid w:val="00C84972"/>
    <w:rsid w:val="00C85BEB"/>
    <w:rsid w:val="00C908B8"/>
    <w:rsid w:val="00C90C07"/>
    <w:rsid w:val="00C90CB9"/>
    <w:rsid w:val="00C922A6"/>
    <w:rsid w:val="00C950D0"/>
    <w:rsid w:val="00C97C68"/>
    <w:rsid w:val="00CA0F18"/>
    <w:rsid w:val="00CA18A3"/>
    <w:rsid w:val="00CA25B5"/>
    <w:rsid w:val="00CA569D"/>
    <w:rsid w:val="00CA78B7"/>
    <w:rsid w:val="00CA7924"/>
    <w:rsid w:val="00CA79A5"/>
    <w:rsid w:val="00CB0CE4"/>
    <w:rsid w:val="00CB2B7A"/>
    <w:rsid w:val="00CB4138"/>
    <w:rsid w:val="00CB58B3"/>
    <w:rsid w:val="00CB5976"/>
    <w:rsid w:val="00CB5F8F"/>
    <w:rsid w:val="00CB671D"/>
    <w:rsid w:val="00CC08B2"/>
    <w:rsid w:val="00CC16C4"/>
    <w:rsid w:val="00CC38C1"/>
    <w:rsid w:val="00CC42A5"/>
    <w:rsid w:val="00CC4813"/>
    <w:rsid w:val="00CC4976"/>
    <w:rsid w:val="00CC4D72"/>
    <w:rsid w:val="00CC64A9"/>
    <w:rsid w:val="00CC72C0"/>
    <w:rsid w:val="00CD1615"/>
    <w:rsid w:val="00CD2C9E"/>
    <w:rsid w:val="00CD3706"/>
    <w:rsid w:val="00CD4285"/>
    <w:rsid w:val="00CD4C38"/>
    <w:rsid w:val="00CE0499"/>
    <w:rsid w:val="00CE2C08"/>
    <w:rsid w:val="00CF0028"/>
    <w:rsid w:val="00CF03CE"/>
    <w:rsid w:val="00CF76C1"/>
    <w:rsid w:val="00D02939"/>
    <w:rsid w:val="00D035F0"/>
    <w:rsid w:val="00D05BB4"/>
    <w:rsid w:val="00D0696B"/>
    <w:rsid w:val="00D07B90"/>
    <w:rsid w:val="00D11149"/>
    <w:rsid w:val="00D11A1A"/>
    <w:rsid w:val="00D12019"/>
    <w:rsid w:val="00D1280B"/>
    <w:rsid w:val="00D159F3"/>
    <w:rsid w:val="00D16CB7"/>
    <w:rsid w:val="00D17248"/>
    <w:rsid w:val="00D256DD"/>
    <w:rsid w:val="00D25754"/>
    <w:rsid w:val="00D25F57"/>
    <w:rsid w:val="00D26301"/>
    <w:rsid w:val="00D26C8E"/>
    <w:rsid w:val="00D2777A"/>
    <w:rsid w:val="00D3006B"/>
    <w:rsid w:val="00D31E50"/>
    <w:rsid w:val="00D3247E"/>
    <w:rsid w:val="00D333F6"/>
    <w:rsid w:val="00D33E45"/>
    <w:rsid w:val="00D348D1"/>
    <w:rsid w:val="00D41BE3"/>
    <w:rsid w:val="00D454C6"/>
    <w:rsid w:val="00D46255"/>
    <w:rsid w:val="00D4655F"/>
    <w:rsid w:val="00D46AF2"/>
    <w:rsid w:val="00D51685"/>
    <w:rsid w:val="00D52090"/>
    <w:rsid w:val="00D533A8"/>
    <w:rsid w:val="00D566AE"/>
    <w:rsid w:val="00D568B3"/>
    <w:rsid w:val="00D60A33"/>
    <w:rsid w:val="00D6233C"/>
    <w:rsid w:val="00D63103"/>
    <w:rsid w:val="00D642C8"/>
    <w:rsid w:val="00D66065"/>
    <w:rsid w:val="00D660C0"/>
    <w:rsid w:val="00D75431"/>
    <w:rsid w:val="00D80057"/>
    <w:rsid w:val="00D82C73"/>
    <w:rsid w:val="00D83502"/>
    <w:rsid w:val="00D857EF"/>
    <w:rsid w:val="00D86558"/>
    <w:rsid w:val="00D8744E"/>
    <w:rsid w:val="00D874CC"/>
    <w:rsid w:val="00D9530B"/>
    <w:rsid w:val="00D95D0A"/>
    <w:rsid w:val="00DA02B2"/>
    <w:rsid w:val="00DA1243"/>
    <w:rsid w:val="00DA4D55"/>
    <w:rsid w:val="00DA52EA"/>
    <w:rsid w:val="00DA5553"/>
    <w:rsid w:val="00DA5B40"/>
    <w:rsid w:val="00DB27BE"/>
    <w:rsid w:val="00DB44B7"/>
    <w:rsid w:val="00DB5F9F"/>
    <w:rsid w:val="00DB6251"/>
    <w:rsid w:val="00DB6594"/>
    <w:rsid w:val="00DB6ACB"/>
    <w:rsid w:val="00DB6CB0"/>
    <w:rsid w:val="00DB70E5"/>
    <w:rsid w:val="00DC3790"/>
    <w:rsid w:val="00DC6A50"/>
    <w:rsid w:val="00DC77C6"/>
    <w:rsid w:val="00DC7EC0"/>
    <w:rsid w:val="00DD27EE"/>
    <w:rsid w:val="00DD5BD8"/>
    <w:rsid w:val="00DD7C05"/>
    <w:rsid w:val="00DE13D2"/>
    <w:rsid w:val="00DE2CBD"/>
    <w:rsid w:val="00DE3F83"/>
    <w:rsid w:val="00DE51B1"/>
    <w:rsid w:val="00DE5296"/>
    <w:rsid w:val="00DE54F1"/>
    <w:rsid w:val="00DE7CEE"/>
    <w:rsid w:val="00DF052A"/>
    <w:rsid w:val="00DF1884"/>
    <w:rsid w:val="00DF6E62"/>
    <w:rsid w:val="00E07DA3"/>
    <w:rsid w:val="00E110A0"/>
    <w:rsid w:val="00E12807"/>
    <w:rsid w:val="00E1350D"/>
    <w:rsid w:val="00E13745"/>
    <w:rsid w:val="00E16392"/>
    <w:rsid w:val="00E171A5"/>
    <w:rsid w:val="00E21AC5"/>
    <w:rsid w:val="00E22B4F"/>
    <w:rsid w:val="00E2519B"/>
    <w:rsid w:val="00E25752"/>
    <w:rsid w:val="00E26D23"/>
    <w:rsid w:val="00E26D9F"/>
    <w:rsid w:val="00E26DBD"/>
    <w:rsid w:val="00E303DE"/>
    <w:rsid w:val="00E31A3A"/>
    <w:rsid w:val="00E346F7"/>
    <w:rsid w:val="00E34EBD"/>
    <w:rsid w:val="00E35676"/>
    <w:rsid w:val="00E3584B"/>
    <w:rsid w:val="00E359DE"/>
    <w:rsid w:val="00E35BB3"/>
    <w:rsid w:val="00E35CCE"/>
    <w:rsid w:val="00E366DC"/>
    <w:rsid w:val="00E37525"/>
    <w:rsid w:val="00E37E3D"/>
    <w:rsid w:val="00E41E39"/>
    <w:rsid w:val="00E43D5D"/>
    <w:rsid w:val="00E47082"/>
    <w:rsid w:val="00E47747"/>
    <w:rsid w:val="00E55BA2"/>
    <w:rsid w:val="00E56453"/>
    <w:rsid w:val="00E614EF"/>
    <w:rsid w:val="00E6186A"/>
    <w:rsid w:val="00E65BB4"/>
    <w:rsid w:val="00E71619"/>
    <w:rsid w:val="00E7200C"/>
    <w:rsid w:val="00E72099"/>
    <w:rsid w:val="00E74155"/>
    <w:rsid w:val="00E74817"/>
    <w:rsid w:val="00E779FE"/>
    <w:rsid w:val="00E82A1F"/>
    <w:rsid w:val="00E82DC9"/>
    <w:rsid w:val="00E83B9F"/>
    <w:rsid w:val="00E859BD"/>
    <w:rsid w:val="00E908FE"/>
    <w:rsid w:val="00E92A87"/>
    <w:rsid w:val="00E92B70"/>
    <w:rsid w:val="00E93667"/>
    <w:rsid w:val="00E9792F"/>
    <w:rsid w:val="00EA137B"/>
    <w:rsid w:val="00EA13FD"/>
    <w:rsid w:val="00EA288E"/>
    <w:rsid w:val="00EA40B5"/>
    <w:rsid w:val="00EA5B84"/>
    <w:rsid w:val="00EA5D2C"/>
    <w:rsid w:val="00EB03BF"/>
    <w:rsid w:val="00EB25E1"/>
    <w:rsid w:val="00EB3E73"/>
    <w:rsid w:val="00EB44CC"/>
    <w:rsid w:val="00EB53B3"/>
    <w:rsid w:val="00EB75D6"/>
    <w:rsid w:val="00EC07B5"/>
    <w:rsid w:val="00EC0FA2"/>
    <w:rsid w:val="00EC2BB4"/>
    <w:rsid w:val="00EC3DFD"/>
    <w:rsid w:val="00EC49E1"/>
    <w:rsid w:val="00EC4C6C"/>
    <w:rsid w:val="00EC4ECE"/>
    <w:rsid w:val="00EC56C5"/>
    <w:rsid w:val="00EC5E37"/>
    <w:rsid w:val="00EC62A4"/>
    <w:rsid w:val="00ED07A4"/>
    <w:rsid w:val="00ED0861"/>
    <w:rsid w:val="00ED087A"/>
    <w:rsid w:val="00ED0BF3"/>
    <w:rsid w:val="00ED2153"/>
    <w:rsid w:val="00ED3087"/>
    <w:rsid w:val="00ED4E7D"/>
    <w:rsid w:val="00ED53FC"/>
    <w:rsid w:val="00ED5E81"/>
    <w:rsid w:val="00ED6918"/>
    <w:rsid w:val="00ED79E3"/>
    <w:rsid w:val="00ED7CC1"/>
    <w:rsid w:val="00EE0A9D"/>
    <w:rsid w:val="00EE0D00"/>
    <w:rsid w:val="00EE4495"/>
    <w:rsid w:val="00EE5EFA"/>
    <w:rsid w:val="00EE6754"/>
    <w:rsid w:val="00EF277F"/>
    <w:rsid w:val="00EF310F"/>
    <w:rsid w:val="00EF4405"/>
    <w:rsid w:val="00EF445F"/>
    <w:rsid w:val="00EF6702"/>
    <w:rsid w:val="00F0102F"/>
    <w:rsid w:val="00F02538"/>
    <w:rsid w:val="00F0323C"/>
    <w:rsid w:val="00F03E28"/>
    <w:rsid w:val="00F110E4"/>
    <w:rsid w:val="00F1160E"/>
    <w:rsid w:val="00F11BA5"/>
    <w:rsid w:val="00F11BCA"/>
    <w:rsid w:val="00F121C1"/>
    <w:rsid w:val="00F131DC"/>
    <w:rsid w:val="00F13494"/>
    <w:rsid w:val="00F13AF1"/>
    <w:rsid w:val="00F17D2F"/>
    <w:rsid w:val="00F20AF2"/>
    <w:rsid w:val="00F2170F"/>
    <w:rsid w:val="00F229B2"/>
    <w:rsid w:val="00F22DAA"/>
    <w:rsid w:val="00F23091"/>
    <w:rsid w:val="00F23EBA"/>
    <w:rsid w:val="00F25528"/>
    <w:rsid w:val="00F26080"/>
    <w:rsid w:val="00F33362"/>
    <w:rsid w:val="00F33372"/>
    <w:rsid w:val="00F35359"/>
    <w:rsid w:val="00F427E3"/>
    <w:rsid w:val="00F44F3C"/>
    <w:rsid w:val="00F4620E"/>
    <w:rsid w:val="00F464AE"/>
    <w:rsid w:val="00F47738"/>
    <w:rsid w:val="00F50BE7"/>
    <w:rsid w:val="00F53391"/>
    <w:rsid w:val="00F53F43"/>
    <w:rsid w:val="00F57ADA"/>
    <w:rsid w:val="00F600DD"/>
    <w:rsid w:val="00F602CA"/>
    <w:rsid w:val="00F607F2"/>
    <w:rsid w:val="00F6217F"/>
    <w:rsid w:val="00F6495E"/>
    <w:rsid w:val="00F64E1A"/>
    <w:rsid w:val="00F656C8"/>
    <w:rsid w:val="00F704D1"/>
    <w:rsid w:val="00F71DEF"/>
    <w:rsid w:val="00F729DC"/>
    <w:rsid w:val="00F734CE"/>
    <w:rsid w:val="00F75368"/>
    <w:rsid w:val="00F77EA5"/>
    <w:rsid w:val="00F85A44"/>
    <w:rsid w:val="00F86AD5"/>
    <w:rsid w:val="00F87FAB"/>
    <w:rsid w:val="00F90AF6"/>
    <w:rsid w:val="00F9211A"/>
    <w:rsid w:val="00F923AC"/>
    <w:rsid w:val="00F92783"/>
    <w:rsid w:val="00F93165"/>
    <w:rsid w:val="00F932BB"/>
    <w:rsid w:val="00F93A5E"/>
    <w:rsid w:val="00F94E7D"/>
    <w:rsid w:val="00F95E82"/>
    <w:rsid w:val="00F9725A"/>
    <w:rsid w:val="00F972C4"/>
    <w:rsid w:val="00FA13CB"/>
    <w:rsid w:val="00FA181B"/>
    <w:rsid w:val="00FA19B1"/>
    <w:rsid w:val="00FA578A"/>
    <w:rsid w:val="00FA5F2C"/>
    <w:rsid w:val="00FB0EE7"/>
    <w:rsid w:val="00FB23A4"/>
    <w:rsid w:val="00FB55A3"/>
    <w:rsid w:val="00FB6F3D"/>
    <w:rsid w:val="00FC46B1"/>
    <w:rsid w:val="00FC4DC8"/>
    <w:rsid w:val="00FC6F74"/>
    <w:rsid w:val="00FC7FC2"/>
    <w:rsid w:val="00FD0076"/>
    <w:rsid w:val="00FD1A08"/>
    <w:rsid w:val="00FD4117"/>
    <w:rsid w:val="00FD52E8"/>
    <w:rsid w:val="00FD688C"/>
    <w:rsid w:val="00FD6D4B"/>
    <w:rsid w:val="00FE008C"/>
    <w:rsid w:val="00FE33A1"/>
    <w:rsid w:val="00FE3CC1"/>
    <w:rsid w:val="00FF0950"/>
    <w:rsid w:val="00FF264E"/>
    <w:rsid w:val="00FF2C20"/>
    <w:rsid w:val="00FF3A0D"/>
    <w:rsid w:val="00FF3E60"/>
    <w:rsid w:val="00FF52BD"/>
    <w:rsid w:val="00FF60EE"/>
    <w:rsid w:val="00FF7449"/>
    <w:rsid w:val="00FF7692"/>
    <w:rsid w:val="00FF7CF4"/>
    <w:rsid w:val="01D2664D"/>
    <w:rsid w:val="06543959"/>
    <w:rsid w:val="0D0242DF"/>
    <w:rsid w:val="121F6097"/>
    <w:rsid w:val="18C9750D"/>
    <w:rsid w:val="21D04C7D"/>
    <w:rsid w:val="22DE7B92"/>
    <w:rsid w:val="27470259"/>
    <w:rsid w:val="32166596"/>
    <w:rsid w:val="3A2649C5"/>
    <w:rsid w:val="3FC64B4D"/>
    <w:rsid w:val="4D3938D6"/>
    <w:rsid w:val="52DD4D39"/>
    <w:rsid w:val="572E2E72"/>
    <w:rsid w:val="6060016F"/>
    <w:rsid w:val="62A27151"/>
    <w:rsid w:val="68166A24"/>
    <w:rsid w:val="714B6DF1"/>
    <w:rsid w:val="759970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830774-D428-4C19-9BA0-A05D5DC5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0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B30D7"/>
    <w:rPr>
      <w:color w:val="0000FF"/>
      <w:u w:val="single"/>
    </w:rPr>
  </w:style>
  <w:style w:type="character" w:styleId="a4">
    <w:name w:val="FollowedHyperlink"/>
    <w:rsid w:val="002B30D7"/>
    <w:rPr>
      <w:color w:val="800080"/>
      <w:u w:val="single"/>
    </w:rPr>
  </w:style>
  <w:style w:type="character" w:styleId="a5">
    <w:name w:val="Strong"/>
    <w:qFormat/>
    <w:rsid w:val="002B30D7"/>
    <w:rPr>
      <w:b/>
      <w:bCs/>
    </w:rPr>
  </w:style>
  <w:style w:type="character" w:styleId="a6">
    <w:name w:val="page number"/>
    <w:basedOn w:val="a0"/>
    <w:rsid w:val="002B30D7"/>
  </w:style>
  <w:style w:type="character" w:customStyle="1" w:styleId="Char">
    <w:name w:val="纯文本 Char"/>
    <w:link w:val="a7"/>
    <w:rsid w:val="002B30D7"/>
    <w:rPr>
      <w:rFonts w:ascii="宋体" w:eastAsia="宋体" w:hAnsi="Courier New" w:cs="Courier New"/>
      <w:kern w:val="2"/>
      <w:sz w:val="21"/>
      <w:szCs w:val="21"/>
      <w:lang w:val="en-US" w:eastAsia="zh-CN" w:bidi="ar-SA"/>
    </w:rPr>
  </w:style>
  <w:style w:type="character" w:customStyle="1" w:styleId="Char0">
    <w:name w:val="正文文本 Char"/>
    <w:link w:val="a8"/>
    <w:rsid w:val="002B30D7"/>
    <w:rPr>
      <w:kern w:val="2"/>
      <w:sz w:val="21"/>
      <w:szCs w:val="24"/>
    </w:rPr>
  </w:style>
  <w:style w:type="paragraph" w:styleId="a9">
    <w:name w:val="Document Map"/>
    <w:basedOn w:val="a"/>
    <w:semiHidden/>
    <w:rsid w:val="002B30D7"/>
    <w:pPr>
      <w:shd w:val="clear" w:color="auto" w:fill="000080"/>
    </w:pPr>
  </w:style>
  <w:style w:type="paragraph" w:styleId="aa">
    <w:name w:val="Date"/>
    <w:basedOn w:val="a"/>
    <w:next w:val="a"/>
    <w:rsid w:val="002B30D7"/>
    <w:pPr>
      <w:ind w:leftChars="2500" w:left="100"/>
    </w:pPr>
  </w:style>
  <w:style w:type="paragraph" w:styleId="ab">
    <w:name w:val="Normal (Web)"/>
    <w:basedOn w:val="a"/>
    <w:rsid w:val="002B30D7"/>
    <w:pPr>
      <w:widowControl/>
      <w:spacing w:before="100" w:beforeAutospacing="1" w:after="100" w:afterAutospacing="1"/>
      <w:jc w:val="left"/>
    </w:pPr>
    <w:rPr>
      <w:rFonts w:ascii="宋体" w:hAnsi="宋体" w:cs="宋体"/>
      <w:kern w:val="0"/>
      <w:sz w:val="24"/>
    </w:rPr>
  </w:style>
  <w:style w:type="paragraph" w:styleId="ac">
    <w:name w:val="footer"/>
    <w:basedOn w:val="a"/>
    <w:rsid w:val="002B30D7"/>
    <w:pPr>
      <w:tabs>
        <w:tab w:val="center" w:pos="4153"/>
        <w:tab w:val="right" w:pos="8306"/>
      </w:tabs>
      <w:snapToGrid w:val="0"/>
      <w:jc w:val="left"/>
    </w:pPr>
    <w:rPr>
      <w:sz w:val="18"/>
      <w:szCs w:val="18"/>
    </w:rPr>
  </w:style>
  <w:style w:type="paragraph" w:styleId="ad">
    <w:name w:val="header"/>
    <w:basedOn w:val="a"/>
    <w:rsid w:val="002B30D7"/>
    <w:pPr>
      <w:pBdr>
        <w:bottom w:val="single" w:sz="6" w:space="1" w:color="auto"/>
      </w:pBdr>
      <w:tabs>
        <w:tab w:val="center" w:pos="4153"/>
        <w:tab w:val="right" w:pos="8306"/>
      </w:tabs>
      <w:snapToGrid w:val="0"/>
      <w:jc w:val="center"/>
    </w:pPr>
    <w:rPr>
      <w:sz w:val="18"/>
      <w:szCs w:val="18"/>
    </w:rPr>
  </w:style>
  <w:style w:type="paragraph" w:styleId="a8">
    <w:name w:val="Body Text"/>
    <w:basedOn w:val="a"/>
    <w:link w:val="Char0"/>
    <w:rsid w:val="002B30D7"/>
    <w:pPr>
      <w:spacing w:after="120"/>
    </w:pPr>
  </w:style>
  <w:style w:type="paragraph" w:styleId="a7">
    <w:name w:val="Plain Text"/>
    <w:basedOn w:val="a"/>
    <w:link w:val="Char"/>
    <w:rsid w:val="002B30D7"/>
    <w:rPr>
      <w:rFonts w:ascii="宋体" w:hAnsi="Courier New" w:cs="Courier New"/>
      <w:szCs w:val="21"/>
    </w:rPr>
  </w:style>
  <w:style w:type="paragraph" w:styleId="ae">
    <w:name w:val="Balloon Text"/>
    <w:basedOn w:val="a"/>
    <w:semiHidden/>
    <w:rsid w:val="002B30D7"/>
    <w:rPr>
      <w:sz w:val="18"/>
      <w:szCs w:val="18"/>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9"/>
    <w:rsid w:val="002B30D7"/>
    <w:pPr>
      <w:adjustRightInd w:val="0"/>
      <w:spacing w:line="436" w:lineRule="exact"/>
      <w:ind w:left="357"/>
      <w:jc w:val="left"/>
      <w:outlineLvl w:val="3"/>
    </w:pPr>
    <w:rPr>
      <w:rFonts w:ascii="Tahoma" w:hAnsi="Tahoma"/>
      <w:b/>
      <w:sz w:val="24"/>
      <w:szCs w:val="32"/>
    </w:rPr>
  </w:style>
  <w:style w:type="paragraph" w:customStyle="1" w:styleId="CharCharCharCharCharCharChar">
    <w:name w:val="Char Char Char Char Char Char Char"/>
    <w:basedOn w:val="a"/>
    <w:rsid w:val="002B30D7"/>
    <w:pPr>
      <w:spacing w:line="360" w:lineRule="auto"/>
      <w:ind w:firstLineChars="200" w:firstLine="200"/>
    </w:pPr>
    <w:rPr>
      <w:rFonts w:ascii="宋体" w:hAnsi="宋体" w:cs="宋体"/>
      <w:sz w:val="24"/>
    </w:rPr>
  </w:style>
  <w:style w:type="paragraph" w:customStyle="1" w:styleId="Char1">
    <w:name w:val="Char"/>
    <w:basedOn w:val="a"/>
    <w:rsid w:val="002B30D7"/>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2">
    <w:name w:val="Char"/>
    <w:basedOn w:val="a9"/>
    <w:rsid w:val="002B30D7"/>
    <w:pPr>
      <w:adjustRightInd w:val="0"/>
      <w:spacing w:line="436" w:lineRule="exact"/>
      <w:ind w:left="357"/>
      <w:jc w:val="left"/>
      <w:outlineLvl w:val="3"/>
    </w:pPr>
    <w:rPr>
      <w:rFonts w:ascii="Tahoma" w:hAnsi="Tahoma"/>
      <w:b/>
      <w:sz w:val="24"/>
    </w:rPr>
  </w:style>
  <w:style w:type="table" w:styleId="af">
    <w:name w:val="Table Grid"/>
    <w:basedOn w:val="a1"/>
    <w:rsid w:val="002B30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522</Words>
  <Characters>2977</Characters>
  <Application>Microsoft Office Word</Application>
  <DocSecurity>0</DocSecurity>
  <Lines>24</Lines>
  <Paragraphs>6</Paragraphs>
  <ScaleCrop>false</ScaleCrop>
  <Company>www.xunchi.com</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青岛市目标管理绩效考核办公室文件</dc:title>
  <dc:creator>leon</dc:creator>
  <cp:lastModifiedBy>王凯旋</cp:lastModifiedBy>
  <cp:revision>69</cp:revision>
  <cp:lastPrinted>2021-06-18T07:39:00Z</cp:lastPrinted>
  <dcterms:created xsi:type="dcterms:W3CDTF">2021-06-08T01:27:00Z</dcterms:created>
  <dcterms:modified xsi:type="dcterms:W3CDTF">2021-06-25T10:08:00Z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