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206" w:rsidRDefault="00807D6D">
      <w:pPr>
        <w:adjustRightInd w:val="0"/>
        <w:snapToGrid w:val="0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2021年度市直单位业务目标</w:t>
      </w:r>
    </w:p>
    <w:p w:rsidR="00A27206" w:rsidRDefault="00807D6D">
      <w:pPr>
        <w:snapToGrid w:val="0"/>
        <w:spacing w:line="300" w:lineRule="auto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单位名称：青岛仲裁办    主要负责人：邓焕礼        联系人：</w:t>
      </w:r>
      <w:proofErr w:type="gramStart"/>
      <w:r>
        <w:rPr>
          <w:rFonts w:ascii="楷体_GB2312" w:eastAsia="楷体_GB2312" w:hint="eastAsia"/>
          <w:sz w:val="28"/>
          <w:szCs w:val="28"/>
        </w:rPr>
        <w:t>逄焕</w:t>
      </w:r>
      <w:proofErr w:type="gramEnd"/>
      <w:r>
        <w:rPr>
          <w:rFonts w:ascii="楷体_GB2312" w:eastAsia="楷体_GB2312" w:hint="eastAsia"/>
          <w:sz w:val="28"/>
          <w:szCs w:val="28"/>
        </w:rPr>
        <w:t>美         联系电话：85768560</w:t>
      </w:r>
    </w:p>
    <w:tbl>
      <w:tblPr>
        <w:tblW w:w="1490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8"/>
        <w:gridCol w:w="567"/>
        <w:gridCol w:w="3021"/>
        <w:gridCol w:w="10808"/>
      </w:tblGrid>
      <w:tr w:rsidR="00A27206" w:rsidTr="00584332">
        <w:trPr>
          <w:trHeight w:val="663"/>
          <w:tblHeader/>
          <w:jc w:val="center"/>
        </w:trPr>
        <w:tc>
          <w:tcPr>
            <w:tcW w:w="5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206" w:rsidRDefault="00807D6D">
            <w:pPr>
              <w:adjustRightInd w:val="0"/>
              <w:snapToGrid w:val="0"/>
              <w:jc w:val="center"/>
              <w:rPr>
                <w:rFonts w:eastAsia="黑体"/>
                <w:color w:val="000000" w:themeColor="text1"/>
                <w:sz w:val="28"/>
                <w:szCs w:val="28"/>
              </w:rPr>
            </w:pPr>
            <w:r>
              <w:rPr>
                <w:rFonts w:eastAsia="黑体" w:hint="eastAsia"/>
                <w:color w:val="000000" w:themeColor="text1"/>
                <w:sz w:val="28"/>
                <w:szCs w:val="28"/>
              </w:rPr>
              <w:t>类别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206" w:rsidRDefault="00807D6D">
            <w:pPr>
              <w:adjustRightInd w:val="0"/>
              <w:snapToGrid w:val="0"/>
              <w:jc w:val="center"/>
              <w:rPr>
                <w:rFonts w:eastAsia="黑体"/>
                <w:color w:val="000000" w:themeColor="text1"/>
                <w:sz w:val="28"/>
                <w:szCs w:val="28"/>
              </w:rPr>
            </w:pPr>
            <w:r>
              <w:rPr>
                <w:rFonts w:eastAsia="黑体" w:hint="eastAsia"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302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206" w:rsidRDefault="00807D6D">
            <w:pPr>
              <w:adjustRightInd w:val="0"/>
              <w:snapToGrid w:val="0"/>
              <w:jc w:val="center"/>
              <w:rPr>
                <w:rFonts w:eastAsia="黑体"/>
                <w:color w:val="000000" w:themeColor="text1"/>
                <w:sz w:val="28"/>
                <w:szCs w:val="28"/>
              </w:rPr>
            </w:pPr>
            <w:r>
              <w:rPr>
                <w:rFonts w:eastAsia="黑体" w:hint="eastAsia"/>
                <w:color w:val="000000" w:themeColor="text1"/>
                <w:sz w:val="28"/>
                <w:szCs w:val="28"/>
              </w:rPr>
              <w:t>目标名称</w:t>
            </w:r>
          </w:p>
        </w:tc>
        <w:tc>
          <w:tcPr>
            <w:tcW w:w="108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27206" w:rsidRDefault="00807D6D">
            <w:pPr>
              <w:adjustRightInd w:val="0"/>
              <w:snapToGrid w:val="0"/>
              <w:jc w:val="center"/>
              <w:rPr>
                <w:rFonts w:eastAsia="黑体"/>
                <w:color w:val="000000" w:themeColor="text1"/>
                <w:sz w:val="28"/>
                <w:szCs w:val="28"/>
              </w:rPr>
            </w:pPr>
            <w:r>
              <w:rPr>
                <w:rFonts w:eastAsia="黑体" w:hint="eastAsia"/>
                <w:color w:val="000000" w:themeColor="text1"/>
                <w:sz w:val="28"/>
                <w:szCs w:val="28"/>
              </w:rPr>
              <w:t>目标内容</w:t>
            </w:r>
            <w:bookmarkStart w:id="0" w:name="_GoBack"/>
            <w:bookmarkEnd w:id="0"/>
          </w:p>
        </w:tc>
      </w:tr>
      <w:tr w:rsidR="00A27206">
        <w:trPr>
          <w:trHeight w:val="1139"/>
          <w:jc w:val="center"/>
        </w:trPr>
        <w:tc>
          <w:tcPr>
            <w:tcW w:w="508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206" w:rsidRDefault="00807D6D">
            <w:pPr>
              <w:snapToGrid w:val="0"/>
              <w:jc w:val="left"/>
              <w:rPr>
                <w:rFonts w:eastAsia="楷体_GB2312"/>
                <w:color w:val="000000" w:themeColor="text1"/>
                <w:sz w:val="24"/>
              </w:rPr>
            </w:pPr>
            <w:r>
              <w:rPr>
                <w:rFonts w:eastAsia="楷体_GB2312" w:hint="eastAsia"/>
                <w:color w:val="000000" w:themeColor="text1"/>
                <w:kern w:val="0"/>
                <w:sz w:val="24"/>
              </w:rPr>
              <w:t>重点目标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206" w:rsidRDefault="00807D6D">
            <w:pPr>
              <w:snapToGrid w:val="0"/>
              <w:spacing w:line="320" w:lineRule="exact"/>
              <w:jc w:val="center"/>
              <w:rPr>
                <w:rFonts w:ascii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206" w:rsidRDefault="00807D6D">
            <w:pPr>
              <w:snapToGrid w:val="0"/>
              <w:spacing w:line="320" w:lineRule="exact"/>
              <w:ind w:rightChars="-4" w:right="-8"/>
              <w:rPr>
                <w:rFonts w:ascii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8"/>
                <w:szCs w:val="28"/>
              </w:rPr>
              <w:t>发挥专业仲裁平台作用，服务实体经济发展</w:t>
            </w:r>
          </w:p>
        </w:tc>
        <w:tc>
          <w:tcPr>
            <w:tcW w:w="10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27206" w:rsidRDefault="00807D6D">
            <w:pPr>
              <w:snapToGrid w:val="0"/>
              <w:spacing w:line="320" w:lineRule="exact"/>
              <w:ind w:firstLineChars="200" w:firstLine="560"/>
              <w:rPr>
                <w:rFonts w:ascii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8"/>
                <w:szCs w:val="28"/>
              </w:rPr>
              <w:t>建立“双招双引”仲裁服务机制。加强海事仲裁行业合作，服务海洋经济发展。建立服务商协会和中小企业工作机制。优质高效处理金融纠纷，营造金融服务实体经济良好生态。</w:t>
            </w:r>
          </w:p>
        </w:tc>
      </w:tr>
      <w:tr w:rsidR="00A27206">
        <w:trPr>
          <w:trHeight w:val="1139"/>
          <w:jc w:val="center"/>
        </w:trPr>
        <w:tc>
          <w:tcPr>
            <w:tcW w:w="50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206" w:rsidRDefault="00A27206">
            <w:pPr>
              <w:widowControl/>
              <w:jc w:val="left"/>
              <w:rPr>
                <w:rFonts w:eastAsia="楷体_GB2312"/>
                <w:color w:val="000000" w:themeColor="text1"/>
                <w:sz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206" w:rsidRDefault="00807D6D">
            <w:pPr>
              <w:snapToGrid w:val="0"/>
              <w:spacing w:line="320" w:lineRule="exact"/>
              <w:jc w:val="center"/>
              <w:rPr>
                <w:rFonts w:ascii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206" w:rsidRDefault="00807D6D">
            <w:pPr>
              <w:snapToGrid w:val="0"/>
              <w:spacing w:line="320" w:lineRule="exact"/>
              <w:ind w:rightChars="-4" w:right="-8"/>
              <w:rPr>
                <w:rFonts w:ascii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8"/>
                <w:szCs w:val="28"/>
              </w:rPr>
              <w:t>提高建设工程仲裁质效，服务全市重点工程建设</w:t>
            </w:r>
          </w:p>
        </w:tc>
        <w:tc>
          <w:tcPr>
            <w:tcW w:w="10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27206" w:rsidRDefault="00807D6D">
            <w:pPr>
              <w:snapToGrid w:val="0"/>
              <w:spacing w:line="320" w:lineRule="exact"/>
              <w:ind w:firstLineChars="200" w:firstLine="560"/>
              <w:rPr>
                <w:rFonts w:ascii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8"/>
                <w:szCs w:val="28"/>
              </w:rPr>
              <w:t>拓宽仲裁服务领域，聚焦省市确定的重点项目，推行“一站式”贴心管家服务。规范工程合同，专业高效化解纠纷，服务保障项目落地。</w:t>
            </w:r>
          </w:p>
        </w:tc>
      </w:tr>
      <w:tr w:rsidR="00A27206">
        <w:trPr>
          <w:trHeight w:val="1469"/>
          <w:jc w:val="center"/>
        </w:trPr>
        <w:tc>
          <w:tcPr>
            <w:tcW w:w="50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206" w:rsidRDefault="00A27206">
            <w:pPr>
              <w:widowControl/>
              <w:jc w:val="left"/>
              <w:rPr>
                <w:rFonts w:eastAsia="楷体_GB2312"/>
                <w:color w:val="000000" w:themeColor="text1"/>
                <w:sz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206" w:rsidRDefault="00807D6D">
            <w:pPr>
              <w:snapToGrid w:val="0"/>
              <w:spacing w:line="320" w:lineRule="exact"/>
              <w:jc w:val="center"/>
              <w:rPr>
                <w:rFonts w:ascii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206" w:rsidRDefault="00807D6D">
            <w:pPr>
              <w:snapToGrid w:val="0"/>
              <w:spacing w:line="320" w:lineRule="exact"/>
              <w:ind w:rightChars="-4" w:right="-8"/>
              <w:rPr>
                <w:rFonts w:ascii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8"/>
                <w:szCs w:val="28"/>
              </w:rPr>
              <w:t>优化知识产权保护法治环境，服务科技创新和国际化创新型城市建设</w:t>
            </w:r>
          </w:p>
        </w:tc>
        <w:tc>
          <w:tcPr>
            <w:tcW w:w="10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27206" w:rsidRDefault="00807D6D">
            <w:pPr>
              <w:snapToGrid w:val="0"/>
              <w:spacing w:line="320" w:lineRule="exact"/>
              <w:ind w:firstLineChars="200" w:firstLine="560"/>
              <w:rPr>
                <w:rFonts w:ascii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8"/>
                <w:szCs w:val="28"/>
              </w:rPr>
              <w:t>加强与司法机关、行政机关、知识产权公共服务平台等配合衔接，强化知识产权协同保护。汇集国内外知识产权领域专家资源，专业高效化解知识产权纠纷。对照世界银行和国家营商环境评价体系，在“知识产权创造、保护和运用”国家及省营商环境评价工作中进位争先。</w:t>
            </w:r>
          </w:p>
        </w:tc>
      </w:tr>
      <w:tr w:rsidR="00A27206">
        <w:trPr>
          <w:trHeight w:val="1304"/>
          <w:jc w:val="center"/>
        </w:trPr>
        <w:tc>
          <w:tcPr>
            <w:tcW w:w="50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206" w:rsidRDefault="00A27206">
            <w:pPr>
              <w:widowControl/>
              <w:jc w:val="left"/>
              <w:rPr>
                <w:rFonts w:eastAsia="楷体_GB2312"/>
                <w:color w:val="000000" w:themeColor="text1"/>
                <w:sz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206" w:rsidRDefault="00807D6D">
            <w:pPr>
              <w:snapToGrid w:val="0"/>
              <w:spacing w:line="320" w:lineRule="exact"/>
              <w:jc w:val="center"/>
              <w:rPr>
                <w:rFonts w:ascii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206" w:rsidRDefault="00807D6D">
            <w:pPr>
              <w:snapToGrid w:val="0"/>
              <w:spacing w:line="320" w:lineRule="exact"/>
              <w:ind w:rightChars="-4" w:right="-8"/>
              <w:rPr>
                <w:rFonts w:ascii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8"/>
                <w:szCs w:val="28"/>
              </w:rPr>
              <w:t>聚</w:t>
            </w:r>
            <w:proofErr w:type="gramStart"/>
            <w:r>
              <w:rPr>
                <w:rFonts w:ascii="仿宋_GB2312" w:hAnsi="仿宋_GB2312" w:cs="仿宋_GB2312" w:hint="eastAsia"/>
                <w:color w:val="000000" w:themeColor="text1"/>
                <w:sz w:val="28"/>
                <w:szCs w:val="28"/>
              </w:rPr>
              <w:t>力重大</w:t>
            </w:r>
            <w:proofErr w:type="gramEnd"/>
            <w:r>
              <w:rPr>
                <w:rFonts w:ascii="仿宋_GB2312" w:hAnsi="仿宋_GB2312" w:cs="仿宋_GB2312" w:hint="eastAsia"/>
                <w:color w:val="000000" w:themeColor="text1"/>
                <w:sz w:val="28"/>
                <w:szCs w:val="28"/>
              </w:rPr>
              <w:t>开放平台建设，服务新发展格局</w:t>
            </w:r>
          </w:p>
        </w:tc>
        <w:tc>
          <w:tcPr>
            <w:tcW w:w="10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27206" w:rsidRDefault="00807D6D">
            <w:pPr>
              <w:snapToGrid w:val="0"/>
              <w:spacing w:line="320" w:lineRule="exact"/>
              <w:ind w:firstLineChars="200" w:firstLine="560"/>
              <w:rPr>
                <w:rFonts w:ascii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8"/>
                <w:szCs w:val="28"/>
              </w:rPr>
              <w:t>推进青岛国际仲裁中心建设，提高涉外仲裁服务能力。完善国际商事仲裁程序，拓展国际商事仲裁业务。在上合示范区设立物流仲裁服务中心，打造现代物流仲裁样板。在大型国有、民营物流企业建立青岛现代物流仲裁院物流之家。</w:t>
            </w:r>
          </w:p>
        </w:tc>
      </w:tr>
      <w:tr w:rsidR="00A27206">
        <w:trPr>
          <w:trHeight w:val="1304"/>
          <w:jc w:val="center"/>
        </w:trPr>
        <w:tc>
          <w:tcPr>
            <w:tcW w:w="50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206" w:rsidRDefault="00A27206">
            <w:pPr>
              <w:widowControl/>
              <w:jc w:val="left"/>
              <w:rPr>
                <w:rFonts w:eastAsia="楷体_GB2312"/>
                <w:color w:val="000000" w:themeColor="text1"/>
                <w:sz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206" w:rsidRDefault="00807D6D">
            <w:pPr>
              <w:snapToGrid w:val="0"/>
              <w:spacing w:line="320" w:lineRule="exact"/>
              <w:jc w:val="center"/>
              <w:rPr>
                <w:rFonts w:ascii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206" w:rsidRDefault="00807D6D">
            <w:pPr>
              <w:snapToGrid w:val="0"/>
              <w:spacing w:line="320" w:lineRule="exact"/>
              <w:ind w:rightChars="-4" w:right="-8"/>
              <w:rPr>
                <w:rFonts w:ascii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8"/>
                <w:szCs w:val="28"/>
              </w:rPr>
              <w:t>创新仲裁制度机制，优化市场化法治化国际化营商环境</w:t>
            </w:r>
          </w:p>
        </w:tc>
        <w:tc>
          <w:tcPr>
            <w:tcW w:w="10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27206" w:rsidRDefault="00807D6D">
            <w:pPr>
              <w:spacing w:line="320" w:lineRule="exact"/>
              <w:ind w:firstLineChars="200" w:firstLine="560"/>
              <w:rPr>
                <w:rFonts w:ascii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完善稳定公平</w:t>
            </w:r>
            <w:proofErr w:type="gramStart"/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透明可</w:t>
            </w:r>
            <w:proofErr w:type="gramEnd"/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预期的程序规则体系，发布施行新版《青岛仲裁委员会仲裁规则》。实施</w:t>
            </w:r>
            <w:r>
              <w:rPr>
                <w:rFonts w:ascii="仿宋_GB2312" w:hAnsi="仿宋_GB2312" w:cs="仿宋_GB2312" w:hint="eastAsia"/>
                <w:color w:val="000000" w:themeColor="text1"/>
                <w:sz w:val="28"/>
                <w:szCs w:val="28"/>
              </w:rPr>
              <w:t>仲裁法律制度宣传推行攻坚，提升青岛营商环境竞争力。提高仲裁质效，审限内结案率94%，调解和解率59%，快速结案率49%。</w:t>
            </w:r>
          </w:p>
        </w:tc>
      </w:tr>
      <w:tr w:rsidR="00A27206">
        <w:trPr>
          <w:trHeight w:val="1529"/>
          <w:jc w:val="center"/>
        </w:trPr>
        <w:tc>
          <w:tcPr>
            <w:tcW w:w="50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206" w:rsidRDefault="00A27206">
            <w:pPr>
              <w:widowControl/>
              <w:jc w:val="left"/>
              <w:rPr>
                <w:rFonts w:eastAsia="楷体_GB2312"/>
                <w:color w:val="000000" w:themeColor="text1"/>
                <w:sz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206" w:rsidRDefault="00807D6D">
            <w:pPr>
              <w:snapToGrid w:val="0"/>
              <w:spacing w:line="320" w:lineRule="exact"/>
              <w:jc w:val="center"/>
              <w:rPr>
                <w:rFonts w:ascii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7206" w:rsidRDefault="00807D6D">
            <w:pPr>
              <w:snapToGrid w:val="0"/>
              <w:spacing w:line="320" w:lineRule="exact"/>
              <w:ind w:rightChars="-4" w:right="-8"/>
              <w:rPr>
                <w:rFonts w:ascii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8"/>
                <w:szCs w:val="28"/>
              </w:rPr>
              <w:t>完善仲裁与诉讼、调解有机衔接的矛盾纠纷多元化解机制，聚力“六稳”“六保”</w:t>
            </w:r>
          </w:p>
        </w:tc>
        <w:tc>
          <w:tcPr>
            <w:tcW w:w="10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27206" w:rsidRDefault="00807D6D">
            <w:pPr>
              <w:spacing w:line="320" w:lineRule="exact"/>
              <w:ind w:firstLineChars="200" w:firstLine="560"/>
              <w:rPr>
                <w:rFonts w:ascii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8"/>
                <w:szCs w:val="28"/>
              </w:rPr>
              <w:t>建立完善调解协议仲裁确认、诉讼调解未成案件仲裁引导、仲裁案件引入调解等仲裁与诉讼、调解有机衔接机制，满足人民群众多元化法律服务需求。平均降低仲裁成本20%以上，推进仲裁惠民、惠企</w:t>
            </w:r>
            <w:r>
              <w:rPr>
                <w:rFonts w:ascii="仿宋_GB2312" w:hAnsi="仿宋_GB2312" w:cs="仿宋_GB2312" w:hint="eastAsia"/>
                <w:color w:val="000000" w:themeColor="text1"/>
                <w:spacing w:val="15"/>
                <w:sz w:val="28"/>
                <w:szCs w:val="28"/>
              </w:rPr>
              <w:t>。</w:t>
            </w:r>
          </w:p>
        </w:tc>
      </w:tr>
      <w:tr w:rsidR="00A27206">
        <w:trPr>
          <w:trHeight w:val="4425"/>
          <w:jc w:val="center"/>
        </w:trPr>
        <w:tc>
          <w:tcPr>
            <w:tcW w:w="50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27206" w:rsidRDefault="00807D6D">
            <w:pPr>
              <w:snapToGrid w:val="0"/>
              <w:jc w:val="left"/>
              <w:rPr>
                <w:rFonts w:eastAsia="楷体_GB2312"/>
                <w:color w:val="000000" w:themeColor="text1"/>
                <w:sz w:val="24"/>
              </w:rPr>
            </w:pPr>
            <w:r>
              <w:rPr>
                <w:rFonts w:eastAsia="楷体_GB2312" w:hint="eastAsia"/>
                <w:color w:val="000000" w:themeColor="text1"/>
                <w:sz w:val="24"/>
              </w:rPr>
              <w:t>创优目标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27206" w:rsidRDefault="00807D6D">
            <w:pPr>
              <w:snapToGrid w:val="0"/>
              <w:spacing w:line="320" w:lineRule="exact"/>
              <w:jc w:val="center"/>
              <w:rPr>
                <w:rFonts w:ascii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02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27206" w:rsidRDefault="00807D6D">
            <w:pPr>
              <w:snapToGrid w:val="0"/>
              <w:spacing w:line="320" w:lineRule="exact"/>
              <w:ind w:rightChars="-4" w:right="-8"/>
              <w:rPr>
                <w:rFonts w:ascii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创新仲裁服务模式，服务数字经济和世界工业互联网之都建设</w:t>
            </w:r>
          </w:p>
        </w:tc>
        <w:tc>
          <w:tcPr>
            <w:tcW w:w="108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7206" w:rsidRDefault="00807D6D">
            <w:pPr>
              <w:snapToGrid w:val="0"/>
              <w:spacing w:line="320" w:lineRule="exact"/>
              <w:ind w:firstLineChars="200" w:firstLine="560"/>
              <w:rPr>
                <w:rFonts w:ascii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  <w:sz w:val="28"/>
                <w:szCs w:val="28"/>
              </w:rPr>
              <w:t>深入实施创新驱动发展战略，推动《共建法治区块链链盟战略合作协议》落地，实现区块链电子证据平台与仲裁、司法、社会征信等公共服务平台对接。放大法治区块链</w:t>
            </w:r>
            <w:proofErr w:type="gramStart"/>
            <w:r>
              <w:rPr>
                <w:rFonts w:ascii="仿宋_GB2312" w:hAnsi="仿宋_GB2312" w:cs="仿宋_GB2312" w:hint="eastAsia"/>
                <w:color w:val="000000" w:themeColor="text1"/>
                <w:sz w:val="28"/>
                <w:szCs w:val="28"/>
              </w:rPr>
              <w:t>链</w:t>
            </w:r>
            <w:proofErr w:type="gramEnd"/>
            <w:r>
              <w:rPr>
                <w:rFonts w:ascii="仿宋_GB2312" w:hAnsi="仿宋_GB2312" w:cs="仿宋_GB2312" w:hint="eastAsia"/>
                <w:color w:val="000000" w:themeColor="text1"/>
                <w:sz w:val="28"/>
                <w:szCs w:val="28"/>
              </w:rPr>
              <w:t>盟作用，扩大区块链电子证据平台一级节点单位矩阵，加速法律服务资源集聚。拓展区块链电子证据平台应用场景，鼓励和引导行业工业互联网、现代易货、现代金融等第三方平台上链，为防范化解平台经济法律风险提供可靠保障。严格区块链电子平台对接规范，加强上链第三方平台的资格、信用审查，维护网络交易市场秩序稳定安全。集成互联网仲裁、综合信息管理、智慧庭审等系统，提升仲裁服务效能，打造快捷、便利、高效、灵活的信息化服务平台。优化互联网仲裁流程，降低互联网仲裁收费标准，实现矛盾纠纷化解降本提质增效。</w:t>
            </w:r>
          </w:p>
          <w:p w:rsidR="00A27206" w:rsidRDefault="00807D6D" w:rsidP="00CB002D">
            <w:pPr>
              <w:snapToGrid w:val="0"/>
              <w:spacing w:line="320" w:lineRule="exact"/>
              <w:ind w:firstLineChars="200" w:firstLine="562"/>
              <w:rPr>
                <w:rFonts w:ascii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color w:val="000000" w:themeColor="text1"/>
                <w:sz w:val="28"/>
                <w:szCs w:val="28"/>
              </w:rPr>
              <w:t>标杆城市：</w:t>
            </w:r>
            <w:r>
              <w:rPr>
                <w:rFonts w:ascii="仿宋_GB2312" w:hAnsi="仿宋_GB2312" w:cs="仿宋_GB2312" w:hint="eastAsia"/>
                <w:color w:val="000000" w:themeColor="text1"/>
                <w:sz w:val="28"/>
                <w:szCs w:val="28"/>
              </w:rPr>
              <w:t>广州市</w:t>
            </w:r>
            <w:r w:rsidR="00CB002D">
              <w:rPr>
                <w:rFonts w:ascii="仿宋_GB2312" w:hAnsi="仿宋_GB2312" w:cs="仿宋_GB2312" w:hint="eastAsia"/>
                <w:color w:val="000000" w:themeColor="text1"/>
                <w:sz w:val="28"/>
                <w:szCs w:val="28"/>
              </w:rPr>
              <w:t xml:space="preserve">    </w:t>
            </w:r>
            <w:r>
              <w:rPr>
                <w:rFonts w:ascii="仿宋_GB2312" w:hAnsi="仿宋_GB2312" w:cs="仿宋_GB2312" w:hint="eastAsia"/>
                <w:b/>
                <w:color w:val="000000" w:themeColor="text1"/>
                <w:sz w:val="28"/>
                <w:szCs w:val="28"/>
              </w:rPr>
              <w:t>标杆值:</w:t>
            </w:r>
            <w:r>
              <w:rPr>
                <w:rFonts w:ascii="仿宋_GB2312" w:hAnsi="仿宋_GB2312" w:cs="仿宋_GB2312" w:hint="eastAsia"/>
                <w:color w:val="000000" w:themeColor="text1"/>
                <w:sz w:val="28"/>
                <w:szCs w:val="28"/>
              </w:rPr>
              <w:t>2020年，广州仲裁委员会网上仲裁案件5052起。广州互联网法院“网通法链”智慧信用生态电子存证平台2019年3月上线运行，截至2020年11月30日，关联案件数量345件。</w:t>
            </w:r>
          </w:p>
        </w:tc>
      </w:tr>
    </w:tbl>
    <w:p w:rsidR="00A27206" w:rsidRDefault="00A27206">
      <w:pPr>
        <w:snapToGrid w:val="0"/>
        <w:spacing w:line="20" w:lineRule="atLeast"/>
        <w:rPr>
          <w:sz w:val="4"/>
          <w:szCs w:val="4"/>
        </w:rPr>
      </w:pPr>
    </w:p>
    <w:sectPr w:rsidR="00A27206">
      <w:footerReference w:type="even" r:id="rId8"/>
      <w:footerReference w:type="default" r:id="rId9"/>
      <w:pgSz w:w="16838" w:h="11906" w:orient="landscape"/>
      <w:pgMar w:top="1588" w:right="2098" w:bottom="1474" w:left="1985" w:header="851" w:footer="992" w:gutter="0"/>
      <w:pgNumType w:fmt="numberInDash"/>
      <w:cols w:space="720"/>
      <w:docGrid w:type="lines" w:linePitch="5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D6D" w:rsidRDefault="00807D6D">
      <w:r>
        <w:separator/>
      </w:r>
    </w:p>
  </w:endnote>
  <w:endnote w:type="continuationSeparator" w:id="0">
    <w:p w:rsidR="00807D6D" w:rsidRDefault="00807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206" w:rsidRDefault="00807D6D">
    <w:pPr>
      <w:pStyle w:val="a4"/>
      <w:framePr w:wrap="around" w:vAnchor="text" w:hAnchor="margin" w:xAlign="outside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:rsidR="00A27206" w:rsidRDefault="00A27206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206" w:rsidRDefault="00807D6D">
    <w:pPr>
      <w:pStyle w:val="a4"/>
      <w:framePr w:wrap="around" w:vAnchor="text" w:hAnchor="margin" w:xAlign="outside" w:y="1"/>
      <w:rPr>
        <w:rStyle w:val="a6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a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584332">
      <w:rPr>
        <w:rStyle w:val="a6"/>
        <w:rFonts w:ascii="宋体" w:hAnsi="宋体"/>
        <w:noProof/>
        <w:sz w:val="28"/>
        <w:szCs w:val="28"/>
      </w:rPr>
      <w:t>- 1 -</w:t>
    </w:r>
    <w:r>
      <w:rPr>
        <w:rFonts w:ascii="宋体" w:hAnsi="宋体"/>
        <w:sz w:val="28"/>
        <w:szCs w:val="28"/>
      </w:rPr>
      <w:fldChar w:fldCharType="end"/>
    </w:r>
  </w:p>
  <w:p w:rsidR="00A27206" w:rsidRDefault="00A27206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D6D" w:rsidRDefault="00807D6D">
      <w:r>
        <w:separator/>
      </w:r>
    </w:p>
  </w:footnote>
  <w:footnote w:type="continuationSeparator" w:id="0">
    <w:p w:rsidR="00807D6D" w:rsidRDefault="00807D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D42"/>
    <w:rsid w:val="000B7D42"/>
    <w:rsid w:val="00107C1C"/>
    <w:rsid w:val="001D1579"/>
    <w:rsid w:val="00222C09"/>
    <w:rsid w:val="00336C87"/>
    <w:rsid w:val="003758FF"/>
    <w:rsid w:val="003C1A59"/>
    <w:rsid w:val="003C4786"/>
    <w:rsid w:val="00413A3F"/>
    <w:rsid w:val="00420F8E"/>
    <w:rsid w:val="00447F49"/>
    <w:rsid w:val="004735F5"/>
    <w:rsid w:val="00480657"/>
    <w:rsid w:val="004A21C0"/>
    <w:rsid w:val="004F2382"/>
    <w:rsid w:val="00571E14"/>
    <w:rsid w:val="00584332"/>
    <w:rsid w:val="0058635B"/>
    <w:rsid w:val="00627376"/>
    <w:rsid w:val="00632252"/>
    <w:rsid w:val="006421AE"/>
    <w:rsid w:val="006563B7"/>
    <w:rsid w:val="00693DE6"/>
    <w:rsid w:val="006943EA"/>
    <w:rsid w:val="006C15E9"/>
    <w:rsid w:val="007E6147"/>
    <w:rsid w:val="007F6540"/>
    <w:rsid w:val="00807D6D"/>
    <w:rsid w:val="00811F23"/>
    <w:rsid w:val="00824136"/>
    <w:rsid w:val="008274E9"/>
    <w:rsid w:val="00866D9D"/>
    <w:rsid w:val="008F3F9B"/>
    <w:rsid w:val="0095410B"/>
    <w:rsid w:val="009748A4"/>
    <w:rsid w:val="00A27206"/>
    <w:rsid w:val="00A9329A"/>
    <w:rsid w:val="00B16A1D"/>
    <w:rsid w:val="00B76D1E"/>
    <w:rsid w:val="00B97306"/>
    <w:rsid w:val="00BC7A14"/>
    <w:rsid w:val="00C309DD"/>
    <w:rsid w:val="00CB002D"/>
    <w:rsid w:val="00CC5ECB"/>
    <w:rsid w:val="00CD771A"/>
    <w:rsid w:val="00D44899"/>
    <w:rsid w:val="00DE7A88"/>
    <w:rsid w:val="00E24496"/>
    <w:rsid w:val="00E46AFB"/>
    <w:rsid w:val="00EA5809"/>
    <w:rsid w:val="00EA595C"/>
    <w:rsid w:val="00EF6F53"/>
    <w:rsid w:val="00EF7893"/>
    <w:rsid w:val="00F03F89"/>
    <w:rsid w:val="00F10F1C"/>
    <w:rsid w:val="00F23A59"/>
    <w:rsid w:val="00F75CC9"/>
    <w:rsid w:val="00F83B5F"/>
    <w:rsid w:val="00FC3B2F"/>
    <w:rsid w:val="00FC4814"/>
    <w:rsid w:val="00FE0BAB"/>
    <w:rsid w:val="00FE489D"/>
    <w:rsid w:val="00FE6615"/>
    <w:rsid w:val="180A4FBE"/>
    <w:rsid w:val="22F960D2"/>
    <w:rsid w:val="26AB6CE8"/>
    <w:rsid w:val="307E3AF8"/>
    <w:rsid w:val="38E77F35"/>
    <w:rsid w:val="4879396B"/>
    <w:rsid w:val="61FF5D26"/>
    <w:rsid w:val="726F168D"/>
    <w:rsid w:val="7E33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rPr>
      <w:rFonts w:ascii="Times New Roman" w:eastAsia="宋体" w:hAnsi="Times New Roman" w:cs="Times New Roman"/>
    </w:rPr>
  </w:style>
  <w:style w:type="character" w:customStyle="1" w:styleId="Char0">
    <w:name w:val="页脚 Char"/>
    <w:basedOn w:val="a0"/>
    <w:link w:val="a4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">
    <w:name w:val="批注框文本 Char"/>
    <w:basedOn w:val="a0"/>
    <w:link w:val="a3"/>
    <w:uiPriority w:val="99"/>
    <w:rPr>
      <w:rFonts w:ascii="Times New Roman" w:eastAsia="仿宋_GB2312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rPr>
      <w:rFonts w:ascii="Times New Roman" w:eastAsia="宋体" w:hAnsi="Times New Roman" w:cs="Times New Roman"/>
    </w:rPr>
  </w:style>
  <w:style w:type="character" w:customStyle="1" w:styleId="Char0">
    <w:name w:val="页脚 Char"/>
    <w:basedOn w:val="a0"/>
    <w:link w:val="a4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">
    <w:name w:val="批注框文本 Char"/>
    <w:basedOn w:val="a0"/>
    <w:link w:val="a3"/>
    <w:uiPriority w:val="99"/>
    <w:rPr>
      <w:rFonts w:ascii="Times New Roman" w:eastAsia="仿宋_GB2312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1185</Words>
  <Characters>104</Characters>
  <Application>Microsoft Office Word</Application>
  <DocSecurity>0</DocSecurity>
  <Lines>1</Lines>
  <Paragraphs>2</Paragraphs>
  <ScaleCrop>false</ScaleCrop>
  <Company>Microsoft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刘纾含</dc:creator>
  <cp:lastModifiedBy>HP</cp:lastModifiedBy>
  <cp:revision>12</cp:revision>
  <cp:lastPrinted>2021-06-18T01:52:00Z</cp:lastPrinted>
  <dcterms:created xsi:type="dcterms:W3CDTF">2021-06-03T09:54:00Z</dcterms:created>
  <dcterms:modified xsi:type="dcterms:W3CDTF">2021-06-28T10:11:00Z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320901573_cloud</vt:lpwstr>
  </property>
  <property fmtid="{D5CDD505-2E9C-101B-9397-08002B2CF9AE}" pid="3" name="KSOProductBuildVer">
    <vt:lpwstr>2052-11.1.0.10314</vt:lpwstr>
  </property>
  <property fmtid="{D5CDD505-2E9C-101B-9397-08002B2CF9AE}" pid="4" name="ICV">
    <vt:lpwstr>EE896B4769FE47DCA20DAADFADE60622</vt:lpwstr>
  </property>
</Properties>
</file>