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52" w:rsidRDefault="00084EA6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2021年度市直单位业务目标</w:t>
      </w:r>
    </w:p>
    <w:p w:rsidR="00CA3A52" w:rsidRDefault="00084EA6">
      <w:pPr>
        <w:snapToGrid w:val="0"/>
        <w:spacing w:line="300" w:lineRule="auto"/>
        <w:rPr>
          <w:rFonts w:ascii="楷体_GB2312" w:eastAsia="楷体_GB2312" w:hAnsi="Times New Roman" w:cs="Times New Roman"/>
          <w:sz w:val="28"/>
          <w:szCs w:val="28"/>
        </w:rPr>
      </w:pPr>
      <w:r>
        <w:rPr>
          <w:rFonts w:ascii="楷体_GB2312" w:eastAsia="楷体_GB2312" w:hAnsi="Times New Roman" w:cs="Times New Roman" w:hint="eastAsia"/>
          <w:sz w:val="28"/>
          <w:szCs w:val="28"/>
        </w:rPr>
        <w:t>单位名称：市财政局          主要负责人：李红兵          联系人：崔磊      联系电话：85855817</w:t>
      </w:r>
    </w:p>
    <w:tbl>
      <w:tblPr>
        <w:tblW w:w="14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70"/>
        <w:gridCol w:w="1770"/>
        <w:gridCol w:w="11558"/>
      </w:tblGrid>
      <w:tr w:rsidR="00CA3A52">
        <w:trPr>
          <w:trHeight w:val="169"/>
          <w:tblHeader/>
          <w:jc w:val="center"/>
        </w:trPr>
        <w:tc>
          <w:tcPr>
            <w:tcW w:w="534" w:type="dxa"/>
            <w:vAlign w:val="center"/>
          </w:tcPr>
          <w:p w:rsidR="00CA3A52" w:rsidRDefault="00084EA6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570" w:type="dxa"/>
            <w:vAlign w:val="center"/>
          </w:tcPr>
          <w:p w:rsidR="00CA3A52" w:rsidRDefault="00084EA6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color w:val="000000" w:themeColor="text1"/>
                <w:sz w:val="28"/>
                <w:szCs w:val="28"/>
              </w:rPr>
              <w:t>目标名称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color w:val="000000" w:themeColor="text1"/>
                <w:sz w:val="28"/>
                <w:szCs w:val="28"/>
              </w:rPr>
              <w:t>目标内容</w:t>
            </w:r>
          </w:p>
        </w:tc>
      </w:tr>
      <w:tr w:rsidR="00CA3A52">
        <w:trPr>
          <w:cantSplit/>
          <w:trHeight w:val="1770"/>
          <w:jc w:val="center"/>
        </w:trPr>
        <w:tc>
          <w:tcPr>
            <w:tcW w:w="534" w:type="dxa"/>
            <w:vMerge w:val="restart"/>
            <w:vAlign w:val="center"/>
          </w:tcPr>
          <w:p w:rsidR="00CA3A52" w:rsidRDefault="00084EA6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sz w:val="24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</w:rPr>
              <w:t>重点目标</w:t>
            </w:r>
          </w:p>
        </w:tc>
        <w:tc>
          <w:tcPr>
            <w:tcW w:w="570" w:type="dxa"/>
            <w:vAlign w:val="center"/>
          </w:tcPr>
          <w:p w:rsidR="00CA3A52" w:rsidRDefault="00084EA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促进财政收入量质齐升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pStyle w:val="a0"/>
              <w:adjustRightInd w:val="0"/>
              <w:snapToGrid w:val="0"/>
              <w:spacing w:before="0" w:after="0"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高质量抓好组织收入工作，努力争取一般公共预算收入在年初预算确定增长6%的基础上，再提升不少于2个百分点，实现一般公共预算收入增加100亿元，总规模达到1350亿元以上；财政收入质量（税收占比）比上年稳步提升。</w:t>
            </w:r>
          </w:p>
        </w:tc>
      </w:tr>
      <w:tr w:rsidR="00CA3A52" w:rsidTr="00F368D0">
        <w:trPr>
          <w:cantSplit/>
          <w:trHeight w:val="3260"/>
          <w:jc w:val="center"/>
        </w:trPr>
        <w:tc>
          <w:tcPr>
            <w:tcW w:w="534" w:type="dxa"/>
            <w:vMerge/>
            <w:vAlign w:val="center"/>
          </w:tcPr>
          <w:p w:rsidR="00CA3A52" w:rsidRDefault="00CA3A52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:rsidR="00CA3A52" w:rsidRDefault="00084EA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牢牢兜住“三保”底线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pStyle w:val="a0"/>
              <w:adjustRightInd w:val="0"/>
              <w:snapToGrid w:val="0"/>
              <w:spacing w:before="0" w:after="0"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按照中央关于做好“三保”（保基本民生、保工资、保运转）工作的部署，争取全市民生支出超过1100亿元，占比70%左右。市级统筹22.6亿元支持办好10件32项民生实事。统筹就业补助资金、职业技能提升行动资金18.8亿元，加大对重点群体就业的帮扶，实现城镇新增就业35万人。公共卫生事业投入增长20%以上，增强疫情防控和公共卫生体系建设保障水平。提高退休人员基本养老金、城乡居民基础养老金水平，上调3项工伤保险待遇标准，城乡居民基本医疗保险人均财政补助标准增加30元，孤儿和重点困境儿童等困难群体救助保障标准提高10%左右，强化兜底保障。支持新增公共租赁住房补贴4000户。支持开工建设中小学和幼儿园50所，对全市212所农村小规模中小学校食堂实施运行补助。市级统筹280亿元以上，从转移支付和库款调度等方面强化对区市的支持，确保基层工资发放和机构运转。</w:t>
            </w:r>
          </w:p>
        </w:tc>
      </w:tr>
      <w:tr w:rsidR="00CA3A52">
        <w:trPr>
          <w:cantSplit/>
          <w:trHeight w:val="2632"/>
          <w:jc w:val="center"/>
        </w:trPr>
        <w:tc>
          <w:tcPr>
            <w:tcW w:w="534" w:type="dxa"/>
            <w:vMerge/>
            <w:vAlign w:val="center"/>
          </w:tcPr>
          <w:p w:rsidR="00CA3A52" w:rsidRDefault="00CA3A52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:rsidR="00CA3A52" w:rsidRDefault="00084EA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pStyle w:val="a0"/>
              <w:spacing w:before="0" w:after="0" w:line="320" w:lineRule="exact"/>
              <w:jc w:val="left"/>
              <w:rPr>
                <w:rFonts w:ascii="仿宋_GB2312" w:eastAsia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全力保障重大基础设施建设和城市更新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通过政策集成加强财政资源统筹，完善资金和政策向15个攻势、13条产业链、重点项目集中整合机制,投向15个攻势的专项资金占比不低于70%。运用财政资金+市场化融资模式，统筹70亿元以上重点支持安顺路打通、辽阳路快速路、海尔路银川路立交等项目建设，加快消除市民出行的堵点，提高城市通行效率。筹措资金23.5亿元支持城乡环境提升工程。通过市财力投资和政府专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债安排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20亿元以上，支持推进总投资60亿元的市公共卫生临床中心、应急备用医院、山东大学齐鲁医院二期、市八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东院区等项目建设。多渠道筹集老旧小区改造资金，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安排奖补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资金带动30亿元投资，启动216个老旧小区改造项目。</w:t>
            </w:r>
          </w:p>
        </w:tc>
      </w:tr>
      <w:tr w:rsidR="00CA3A52">
        <w:trPr>
          <w:cantSplit/>
          <w:trHeight w:val="2955"/>
          <w:jc w:val="center"/>
        </w:trPr>
        <w:tc>
          <w:tcPr>
            <w:tcW w:w="534" w:type="dxa"/>
            <w:vMerge/>
            <w:vAlign w:val="center"/>
          </w:tcPr>
          <w:p w:rsidR="00CA3A52" w:rsidRDefault="00CA3A52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:rsidR="00CA3A52" w:rsidRDefault="00084EA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  <w:highlight w:val="gree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高水平开展“双招双引”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pStyle w:val="a0"/>
              <w:adjustRightInd w:val="0"/>
              <w:snapToGrid w:val="0"/>
              <w:spacing w:before="0" w:after="0"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聚焦“项目落地年”，大力推进“以资招商”，引进平台型、资本型、总部型项目，争取直接牵头引进项目20个以上，总投资规模200亿元以上。千方百计引进外资，确保年度吸引到账外资不低于2亿美元，占全市总额的3%左右。积极争取中央赋予青岛前湾港作为启运港退税政策的离境港，吸引北方港口出口货物从青岛港中转出口，为打造东北亚航运中心提供有力支撑。创新招商引资税收评估和税源筹划机制，组织对全市400个以上重点招商引资项目实施税收评估，力争年内新落地、新投产项目新增地方税收15亿元以上。做好市级行业拔尖人才(财会类)的选拔推荐工作，建设高水平财会队伍。加大人才投入，全力做好人才经费保障，试行“人才金”拨改投，确保人才支出占比高于上年，保持全省先进水平，支持新增人才25万人以上。</w:t>
            </w:r>
          </w:p>
        </w:tc>
      </w:tr>
      <w:tr w:rsidR="00CA3A52">
        <w:trPr>
          <w:cantSplit/>
          <w:trHeight w:val="2097"/>
          <w:jc w:val="center"/>
        </w:trPr>
        <w:tc>
          <w:tcPr>
            <w:tcW w:w="534" w:type="dxa"/>
            <w:vMerge/>
            <w:vAlign w:val="center"/>
          </w:tcPr>
          <w:p w:rsidR="00CA3A52" w:rsidRDefault="00CA3A52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:rsidR="00CA3A52" w:rsidRDefault="00084EA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支持以科技创新驱动高质量发展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pStyle w:val="a0"/>
              <w:adjustRightInd w:val="0"/>
              <w:snapToGrid w:val="0"/>
              <w:spacing w:before="0" w:after="0"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市级科技创新发展资金规模较上年增长15%以上。大力支持高新技术企业上市培育，力争全市新增过会或上市高新技术企业不少于6家，领跑全省。安排企业技改补贴增长40%以上，支持工业企业技术改造和产品创新。筹措8亿元以上重点支持山东能源研究院、中科院海洋大科学中心、山东产研院（青岛）、中国海洋工程研究院、高端轴承青岛研究院等8个重大创新平台建设，打造科技自立自强创新高地。</w:t>
            </w:r>
          </w:p>
        </w:tc>
      </w:tr>
      <w:tr w:rsidR="00CA3A52">
        <w:trPr>
          <w:cantSplit/>
          <w:trHeight w:val="1770"/>
          <w:jc w:val="center"/>
        </w:trPr>
        <w:tc>
          <w:tcPr>
            <w:tcW w:w="534" w:type="dxa"/>
            <w:vMerge/>
            <w:vAlign w:val="center"/>
          </w:tcPr>
          <w:p w:rsidR="00CA3A52" w:rsidRDefault="00CA3A52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:rsidR="00CA3A52" w:rsidRDefault="00084EA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spacing w:line="320" w:lineRule="exac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巩固拓展脱贫攻坚成果同乡村振兴有效衔接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建立健全“三农”财政投入稳定增长机制,市级财政“三农”资金投入较上年增长8%。提高土地出让收入用于农业农村的比例，确保2021年达到6%以上。统筹整合涉农资金36亿元以上，重点支持粮食及重要农产品稳产保供、现代农业产业园、农田水利工程、农村人居环境整治提升等。发挥30亿元规模新希望农业基金和政策性农业担保作用，为“三农”主体提供15亿元以上贷款支持。</w:t>
            </w:r>
          </w:p>
        </w:tc>
      </w:tr>
      <w:tr w:rsidR="00CA3A52">
        <w:trPr>
          <w:cantSplit/>
          <w:trHeight w:val="2360"/>
          <w:jc w:val="center"/>
        </w:trPr>
        <w:tc>
          <w:tcPr>
            <w:tcW w:w="534" w:type="dxa"/>
            <w:vMerge/>
            <w:vAlign w:val="center"/>
          </w:tcPr>
          <w:p w:rsidR="00CA3A52" w:rsidRDefault="00CA3A52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:rsidR="00CA3A52" w:rsidRDefault="00084EA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pStyle w:val="a0"/>
              <w:spacing w:before="0" w:after="0"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培育和激发市场主体活力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pStyle w:val="a0"/>
              <w:adjustRightInd w:val="0"/>
              <w:snapToGrid w:val="0"/>
              <w:spacing w:before="0" w:after="0" w:line="320" w:lineRule="exact"/>
              <w:ind w:firstLineChars="200" w:firstLine="5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持续推进减税降费，全年新增减税降费80亿元以上，加大对小</w:t>
            </w:r>
            <w:proofErr w:type="gramStart"/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微企业</w:t>
            </w:r>
            <w:proofErr w:type="gramEnd"/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和个体工商户的税收减免力度，惠及市场主体100万家以上。为企业减轻资金压力，争取全年为企业出口退税、留抵退税不低于300亿元。鼓励金融资本加大对实体经济的支持，出台支持银行机构服务“项目落地年”政策措施，对2021年度本外币贷款余额达到100亿元以上且贷款增幅达到10%以上的给予奖励，将小</w:t>
            </w:r>
            <w:proofErr w:type="gramStart"/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微企业</w:t>
            </w:r>
            <w:proofErr w:type="gramEnd"/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贷款风险补偿计提比例在原先基础上提高50%。完善“青岛政策通”平台，加快实现惠</w:t>
            </w:r>
            <w:proofErr w:type="gramStart"/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企政策</w:t>
            </w:r>
            <w:proofErr w:type="gramEnd"/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查询、申报、审批、兑现“全流程”线上服务。力争会计、审计及税务服务营业收入增长30%左右。</w:t>
            </w:r>
          </w:p>
        </w:tc>
      </w:tr>
      <w:tr w:rsidR="00CA3A52">
        <w:trPr>
          <w:cantSplit/>
          <w:trHeight w:val="3685"/>
          <w:jc w:val="center"/>
        </w:trPr>
        <w:tc>
          <w:tcPr>
            <w:tcW w:w="534" w:type="dxa"/>
            <w:vMerge/>
            <w:vAlign w:val="center"/>
          </w:tcPr>
          <w:p w:rsidR="00CA3A52" w:rsidRDefault="00CA3A52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:rsidR="00CA3A52" w:rsidRDefault="00084EA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pStyle w:val="a0"/>
              <w:spacing w:before="0" w:after="0" w:line="320" w:lineRule="exact"/>
              <w:jc w:val="left"/>
              <w:rPr>
                <w:rFonts w:ascii="仿宋_GB2312" w:eastAsia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实施财政改革攻坚行动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出台生态环境、自然资源、公共文化、应急救援、交通运输5个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领域市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与区市财政事权和支出责任划分改革方案，提高基本公共服务供给效率。对50亿元以上中央直达资金实施常态化监管，在省内率先实现预算管理一体化业务全覆盖。推动预算绩效管理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扩面提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质，对2021年度市级预算安排的2305个项目支出全面设置绩效目标、实施绩效监控，对2020年度市级61项专项资金、89项业务费安排的1831个项目支出以及95个市直部门的整体支出，全面实施绩效评价。出台关于完善国有金融资本管理的意见，落实4家市属金融企业财政出资人责任，促进金融资本健康发展。组建完成注册资本10亿元的市级融资再担保公司，争取当年为中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微企业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提供不低于4亿元的直接担保和再担保额度。全面推行财政票据电子化改革，争取全年开具电子票据数量比上年增长3倍以上，在教育、医疗、交警罚没、不动产登记、司法诉讼等领域提升收费便利化服务效能。开展政府采购支持绿色建材促进建筑品质提升试点工作，在23个政府投资的试点项目全力推广绿色建材。</w:t>
            </w:r>
          </w:p>
        </w:tc>
      </w:tr>
      <w:tr w:rsidR="00CA3A52">
        <w:trPr>
          <w:cantSplit/>
          <w:trHeight w:val="3654"/>
          <w:jc w:val="center"/>
        </w:trPr>
        <w:tc>
          <w:tcPr>
            <w:tcW w:w="534" w:type="dxa"/>
            <w:vMerge w:val="restart"/>
            <w:vAlign w:val="center"/>
          </w:tcPr>
          <w:p w:rsidR="00CA3A52" w:rsidRDefault="00084EA6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sz w:val="24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kern w:val="0"/>
                <w:sz w:val="24"/>
              </w:rPr>
              <w:t>创优目标</w:t>
            </w:r>
          </w:p>
        </w:tc>
        <w:tc>
          <w:tcPr>
            <w:tcW w:w="570" w:type="dxa"/>
            <w:vAlign w:val="center"/>
          </w:tcPr>
          <w:p w:rsidR="00CA3A52" w:rsidRDefault="00084EA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pStyle w:val="a0"/>
              <w:spacing w:before="0" w:after="0" w:line="320" w:lineRule="exact"/>
              <w:jc w:val="left"/>
              <w:rPr>
                <w:rFonts w:ascii="仿宋_GB2312" w:eastAsia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打造资本公共平台，吸引高质量资本加速集聚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发挥全球创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投风投中心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优势，在全国率先打造资本公共平台，为创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投机构产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投对接全程提供专业化、标准化服务，实现社会化、资本化招商突破，平台年内引进上市公司区域总部2家以上，新增税收5亿元以上。办好并放大2021青岛·全球创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投风投大会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效应，发布全国最具竞争力的“青岛创投风投十条”政策2.0版，推出覆盖“募、投、管、退”全链条的30项新政策，争取全年新增创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投风投机构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100家以上。进一步优化政府引导基金让利措施，深化与知名企业、头部基金管理机构合作，争取新增政府引导基金参股基金规模超200亿元，累计参股基金规模达到1200亿元。</w:t>
            </w:r>
          </w:p>
          <w:p w:rsidR="00CA3A52" w:rsidRDefault="00084EA6">
            <w:pPr>
              <w:adjustRightInd w:val="0"/>
              <w:snapToGrid w:val="0"/>
              <w:spacing w:line="320" w:lineRule="exact"/>
              <w:ind w:firstLineChars="200" w:firstLine="562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标杆城市：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成都市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标杆值：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引导基金累计参股基金规模达到1200亿元。</w:t>
            </w:r>
          </w:p>
        </w:tc>
      </w:tr>
      <w:tr w:rsidR="00CA3A52">
        <w:trPr>
          <w:cantSplit/>
          <w:trHeight w:val="2876"/>
          <w:jc w:val="center"/>
        </w:trPr>
        <w:tc>
          <w:tcPr>
            <w:tcW w:w="534" w:type="dxa"/>
            <w:vMerge/>
            <w:vAlign w:val="center"/>
          </w:tcPr>
          <w:p w:rsidR="00CA3A52" w:rsidRDefault="00CA3A52">
            <w:pPr>
              <w:spacing w:line="0" w:lineRule="atLeast"/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:rsidR="00CA3A52" w:rsidRDefault="00084EA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70" w:type="dxa"/>
            <w:vAlign w:val="center"/>
          </w:tcPr>
          <w:p w:rsidR="00CA3A52" w:rsidRDefault="00084EA6">
            <w:pPr>
              <w:pStyle w:val="a0"/>
              <w:spacing w:before="0" w:after="0"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努力争取扩大政府专项债规模，有效拉动政府投资增长</w:t>
            </w:r>
          </w:p>
        </w:tc>
        <w:tc>
          <w:tcPr>
            <w:tcW w:w="11558" w:type="dxa"/>
            <w:vAlign w:val="center"/>
          </w:tcPr>
          <w:p w:rsidR="00CA3A52" w:rsidRDefault="00084EA6">
            <w:pPr>
              <w:adjustRightInd w:val="0"/>
              <w:snapToGrid w:val="0"/>
              <w:spacing w:line="320" w:lineRule="exact"/>
              <w:ind w:firstLineChars="200" w:firstLine="560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在全国政府债券规模压减的前提下，全力争取新增政府专项债限额较上年增长10%以上，位居计划单列市前列；争取再融资债券额度突破200亿元，较上年增长1倍以上，增强财政保障能力，为政府投资腾出更大空间。优化债券资金投向，重点支持上合示范区、山东自贸区青岛片区等国家重大战略及基础设施、教育、医疗卫生等领域项目建设，带动项目投资4000亿元以上。坚持发行政府债券与化解债务风险并重，强化“借、用、管、还”闭环管理，确保政府债务率控制在合理范围，牢牢守住不发生系统性风险底线。</w:t>
            </w:r>
          </w:p>
          <w:p w:rsidR="00CA3A52" w:rsidRDefault="00084EA6">
            <w:pPr>
              <w:adjustRightInd w:val="0"/>
              <w:snapToGrid w:val="0"/>
              <w:spacing w:line="320" w:lineRule="exact"/>
              <w:ind w:firstLineChars="200" w:firstLine="562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标杆城市：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深圳市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标杆值：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争取2021年新增专项债额度增幅不低于深圳市。</w:t>
            </w:r>
          </w:p>
        </w:tc>
      </w:tr>
    </w:tbl>
    <w:p w:rsidR="00CA3A52" w:rsidRDefault="00CA3A52">
      <w:pPr>
        <w:adjustRightInd w:val="0"/>
        <w:snapToGrid w:val="0"/>
        <w:spacing w:line="280" w:lineRule="exact"/>
        <w:ind w:firstLineChars="300" w:firstLine="630"/>
      </w:pPr>
    </w:p>
    <w:sectPr w:rsidR="00CA3A52" w:rsidSect="0003149A">
      <w:footerReference w:type="even" r:id="rId8"/>
      <w:footerReference w:type="default" r:id="rId9"/>
      <w:pgSz w:w="16838" w:h="11906" w:orient="landscape"/>
      <w:pgMar w:top="1588" w:right="2098" w:bottom="1474" w:left="1985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66" w:rsidRDefault="00514966" w:rsidP="00097E50">
      <w:r>
        <w:separator/>
      </w:r>
    </w:p>
  </w:endnote>
  <w:endnote w:type="continuationSeparator" w:id="0">
    <w:p w:rsidR="00514966" w:rsidRDefault="00514966" w:rsidP="0009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-684212261"/>
      <w:docPartObj>
        <w:docPartGallery w:val="Page Numbers (Bottom of Page)"/>
        <w:docPartUnique/>
      </w:docPartObj>
    </w:sdtPr>
    <w:sdtEndPr/>
    <w:sdtContent>
      <w:p w:rsidR="0003149A" w:rsidRPr="0003149A" w:rsidRDefault="0003149A">
        <w:pPr>
          <w:pStyle w:val="a5"/>
          <w:rPr>
            <w:rFonts w:asciiTheme="minorEastAsia" w:hAnsiTheme="minorEastAsia"/>
            <w:sz w:val="28"/>
            <w:szCs w:val="28"/>
          </w:rPr>
        </w:pPr>
        <w:r w:rsidRPr="0003149A">
          <w:rPr>
            <w:rFonts w:asciiTheme="minorEastAsia" w:hAnsiTheme="minorEastAsia"/>
            <w:sz w:val="28"/>
            <w:szCs w:val="28"/>
          </w:rPr>
          <w:fldChar w:fldCharType="begin"/>
        </w:r>
        <w:r w:rsidRPr="0003149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3149A">
          <w:rPr>
            <w:rFonts w:asciiTheme="minorEastAsia" w:hAnsiTheme="minorEastAsia"/>
            <w:sz w:val="28"/>
            <w:szCs w:val="28"/>
          </w:rPr>
          <w:fldChar w:fldCharType="separate"/>
        </w:r>
        <w:r w:rsidR="00F368D0" w:rsidRPr="00F368D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368D0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03149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71891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03149A" w:rsidRPr="0003149A" w:rsidRDefault="0003149A" w:rsidP="0003149A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03149A">
          <w:rPr>
            <w:rFonts w:asciiTheme="minorEastAsia" w:hAnsiTheme="minorEastAsia"/>
            <w:sz w:val="28"/>
            <w:szCs w:val="28"/>
          </w:rPr>
          <w:fldChar w:fldCharType="begin"/>
        </w:r>
        <w:r w:rsidRPr="0003149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03149A">
          <w:rPr>
            <w:rFonts w:asciiTheme="minorEastAsia" w:hAnsiTheme="minorEastAsia"/>
            <w:sz w:val="28"/>
            <w:szCs w:val="28"/>
          </w:rPr>
          <w:fldChar w:fldCharType="separate"/>
        </w:r>
        <w:r w:rsidR="00F368D0" w:rsidRPr="00F368D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368D0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03149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66" w:rsidRDefault="00514966" w:rsidP="00097E50">
      <w:r>
        <w:separator/>
      </w:r>
    </w:p>
  </w:footnote>
  <w:footnote w:type="continuationSeparator" w:id="0">
    <w:p w:rsidR="00514966" w:rsidRDefault="00514966" w:rsidP="00097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D2F18CA"/>
    <w:rsid w:val="00020C10"/>
    <w:rsid w:val="0003149A"/>
    <w:rsid w:val="00045610"/>
    <w:rsid w:val="00071062"/>
    <w:rsid w:val="000815DA"/>
    <w:rsid w:val="000835CC"/>
    <w:rsid w:val="00084EA6"/>
    <w:rsid w:val="00086E42"/>
    <w:rsid w:val="00097E50"/>
    <w:rsid w:val="000A18C7"/>
    <w:rsid w:val="000A6C28"/>
    <w:rsid w:val="000B5F94"/>
    <w:rsid w:val="000C23B8"/>
    <w:rsid w:val="000C768A"/>
    <w:rsid w:val="000D32D3"/>
    <w:rsid w:val="000E3231"/>
    <w:rsid w:val="000F1854"/>
    <w:rsid w:val="000F6EB6"/>
    <w:rsid w:val="001001A0"/>
    <w:rsid w:val="00126AAB"/>
    <w:rsid w:val="00132C08"/>
    <w:rsid w:val="00134C53"/>
    <w:rsid w:val="0016069A"/>
    <w:rsid w:val="00162F11"/>
    <w:rsid w:val="001B3F39"/>
    <w:rsid w:val="001D0999"/>
    <w:rsid w:val="001D5C99"/>
    <w:rsid w:val="001F7724"/>
    <w:rsid w:val="00201391"/>
    <w:rsid w:val="002057C7"/>
    <w:rsid w:val="00206F9E"/>
    <w:rsid w:val="00216B44"/>
    <w:rsid w:val="002304CF"/>
    <w:rsid w:val="00262D01"/>
    <w:rsid w:val="002677B3"/>
    <w:rsid w:val="00281531"/>
    <w:rsid w:val="00286D49"/>
    <w:rsid w:val="002906BE"/>
    <w:rsid w:val="002A4257"/>
    <w:rsid w:val="002B2A2D"/>
    <w:rsid w:val="002C1222"/>
    <w:rsid w:val="002F5CD0"/>
    <w:rsid w:val="00300240"/>
    <w:rsid w:val="00313723"/>
    <w:rsid w:val="003141F1"/>
    <w:rsid w:val="0031477D"/>
    <w:rsid w:val="00364FE4"/>
    <w:rsid w:val="00376C30"/>
    <w:rsid w:val="003B1F98"/>
    <w:rsid w:val="003B3749"/>
    <w:rsid w:val="003C09B4"/>
    <w:rsid w:val="003C1D5F"/>
    <w:rsid w:val="00436E8B"/>
    <w:rsid w:val="00442746"/>
    <w:rsid w:val="00442D02"/>
    <w:rsid w:val="00445A5C"/>
    <w:rsid w:val="00446FCE"/>
    <w:rsid w:val="00454F1C"/>
    <w:rsid w:val="00456BC5"/>
    <w:rsid w:val="00462E0E"/>
    <w:rsid w:val="004760B5"/>
    <w:rsid w:val="004A2E11"/>
    <w:rsid w:val="004B0672"/>
    <w:rsid w:val="004D1C38"/>
    <w:rsid w:val="004E336A"/>
    <w:rsid w:val="00514966"/>
    <w:rsid w:val="00514CDC"/>
    <w:rsid w:val="00535EDA"/>
    <w:rsid w:val="00541C93"/>
    <w:rsid w:val="00543086"/>
    <w:rsid w:val="00552320"/>
    <w:rsid w:val="00553FD0"/>
    <w:rsid w:val="0055708F"/>
    <w:rsid w:val="00562541"/>
    <w:rsid w:val="00565F01"/>
    <w:rsid w:val="0056608A"/>
    <w:rsid w:val="00572AA9"/>
    <w:rsid w:val="00574913"/>
    <w:rsid w:val="00580E27"/>
    <w:rsid w:val="00580EAE"/>
    <w:rsid w:val="005B019E"/>
    <w:rsid w:val="005E406D"/>
    <w:rsid w:val="00614413"/>
    <w:rsid w:val="00627D53"/>
    <w:rsid w:val="006355BB"/>
    <w:rsid w:val="00640694"/>
    <w:rsid w:val="00643800"/>
    <w:rsid w:val="00654A95"/>
    <w:rsid w:val="006642E6"/>
    <w:rsid w:val="00664526"/>
    <w:rsid w:val="00666C20"/>
    <w:rsid w:val="00674984"/>
    <w:rsid w:val="006B53BC"/>
    <w:rsid w:val="006D752E"/>
    <w:rsid w:val="00710D4B"/>
    <w:rsid w:val="00722A3B"/>
    <w:rsid w:val="00760ADD"/>
    <w:rsid w:val="007A08B3"/>
    <w:rsid w:val="007A432B"/>
    <w:rsid w:val="007A463A"/>
    <w:rsid w:val="007B519A"/>
    <w:rsid w:val="007B6499"/>
    <w:rsid w:val="008049A1"/>
    <w:rsid w:val="00806054"/>
    <w:rsid w:val="008075BC"/>
    <w:rsid w:val="00834E14"/>
    <w:rsid w:val="00850778"/>
    <w:rsid w:val="00857E5C"/>
    <w:rsid w:val="008739B0"/>
    <w:rsid w:val="00880E84"/>
    <w:rsid w:val="008E3820"/>
    <w:rsid w:val="008E6977"/>
    <w:rsid w:val="008F3CD4"/>
    <w:rsid w:val="00915E0D"/>
    <w:rsid w:val="00951B99"/>
    <w:rsid w:val="00990AD2"/>
    <w:rsid w:val="00994C69"/>
    <w:rsid w:val="00996B96"/>
    <w:rsid w:val="00997BD3"/>
    <w:rsid w:val="009C55C1"/>
    <w:rsid w:val="009E5543"/>
    <w:rsid w:val="00A2231B"/>
    <w:rsid w:val="00A36EC1"/>
    <w:rsid w:val="00A72544"/>
    <w:rsid w:val="00A729FB"/>
    <w:rsid w:val="00A76DED"/>
    <w:rsid w:val="00A8375A"/>
    <w:rsid w:val="00AA05BE"/>
    <w:rsid w:val="00AA74CB"/>
    <w:rsid w:val="00AD13AA"/>
    <w:rsid w:val="00AD61CE"/>
    <w:rsid w:val="00B07F71"/>
    <w:rsid w:val="00B24F30"/>
    <w:rsid w:val="00B371D5"/>
    <w:rsid w:val="00B672E7"/>
    <w:rsid w:val="00BA5542"/>
    <w:rsid w:val="00BE5E53"/>
    <w:rsid w:val="00BF1346"/>
    <w:rsid w:val="00BF1A66"/>
    <w:rsid w:val="00C0046A"/>
    <w:rsid w:val="00C24E88"/>
    <w:rsid w:val="00C40511"/>
    <w:rsid w:val="00C46761"/>
    <w:rsid w:val="00C55ECB"/>
    <w:rsid w:val="00C7196D"/>
    <w:rsid w:val="00C7680C"/>
    <w:rsid w:val="00C803D6"/>
    <w:rsid w:val="00CA3A52"/>
    <w:rsid w:val="00CC208E"/>
    <w:rsid w:val="00CF6552"/>
    <w:rsid w:val="00D07F06"/>
    <w:rsid w:val="00D1285A"/>
    <w:rsid w:val="00D27206"/>
    <w:rsid w:val="00D31568"/>
    <w:rsid w:val="00D339D9"/>
    <w:rsid w:val="00D415F3"/>
    <w:rsid w:val="00D455E3"/>
    <w:rsid w:val="00D55BC2"/>
    <w:rsid w:val="00D60C13"/>
    <w:rsid w:val="00D73D48"/>
    <w:rsid w:val="00D93880"/>
    <w:rsid w:val="00DA3BA9"/>
    <w:rsid w:val="00DB7DE6"/>
    <w:rsid w:val="00DD619D"/>
    <w:rsid w:val="00DE06A7"/>
    <w:rsid w:val="00DE66A5"/>
    <w:rsid w:val="00DE6BC0"/>
    <w:rsid w:val="00E13850"/>
    <w:rsid w:val="00E3060C"/>
    <w:rsid w:val="00E45EBA"/>
    <w:rsid w:val="00E62EA2"/>
    <w:rsid w:val="00E76946"/>
    <w:rsid w:val="00E92823"/>
    <w:rsid w:val="00E95481"/>
    <w:rsid w:val="00EA0A3A"/>
    <w:rsid w:val="00EA0F0D"/>
    <w:rsid w:val="00EA3C41"/>
    <w:rsid w:val="00EB3AEC"/>
    <w:rsid w:val="00F0437F"/>
    <w:rsid w:val="00F053C4"/>
    <w:rsid w:val="00F20018"/>
    <w:rsid w:val="00F231A2"/>
    <w:rsid w:val="00F241BD"/>
    <w:rsid w:val="00F35400"/>
    <w:rsid w:val="00F368D0"/>
    <w:rsid w:val="00F5000E"/>
    <w:rsid w:val="00F65B84"/>
    <w:rsid w:val="00F70C02"/>
    <w:rsid w:val="00F737D1"/>
    <w:rsid w:val="00F7559B"/>
    <w:rsid w:val="00F841BA"/>
    <w:rsid w:val="00F93FBB"/>
    <w:rsid w:val="00F95CCA"/>
    <w:rsid w:val="00FD5E70"/>
    <w:rsid w:val="06F40D54"/>
    <w:rsid w:val="07714106"/>
    <w:rsid w:val="07BE250B"/>
    <w:rsid w:val="0B0E3F9B"/>
    <w:rsid w:val="0B1A7687"/>
    <w:rsid w:val="11545FB2"/>
    <w:rsid w:val="12257C01"/>
    <w:rsid w:val="1419352F"/>
    <w:rsid w:val="157B7D44"/>
    <w:rsid w:val="1B344627"/>
    <w:rsid w:val="1B5654D3"/>
    <w:rsid w:val="1D9D54B5"/>
    <w:rsid w:val="1E196164"/>
    <w:rsid w:val="1F7C633A"/>
    <w:rsid w:val="2047630F"/>
    <w:rsid w:val="21AD6397"/>
    <w:rsid w:val="21CE5C97"/>
    <w:rsid w:val="25632CE6"/>
    <w:rsid w:val="27475CA0"/>
    <w:rsid w:val="28151DBE"/>
    <w:rsid w:val="2B2F2BC4"/>
    <w:rsid w:val="30C015DE"/>
    <w:rsid w:val="30D439B4"/>
    <w:rsid w:val="31ED283C"/>
    <w:rsid w:val="34FA6F29"/>
    <w:rsid w:val="35BA58DB"/>
    <w:rsid w:val="36610BAC"/>
    <w:rsid w:val="376F5A63"/>
    <w:rsid w:val="378923CE"/>
    <w:rsid w:val="3AF36772"/>
    <w:rsid w:val="3C5617DA"/>
    <w:rsid w:val="3C704BF8"/>
    <w:rsid w:val="3CD170FF"/>
    <w:rsid w:val="3D2F18CA"/>
    <w:rsid w:val="3E9C4B3F"/>
    <w:rsid w:val="46DE4628"/>
    <w:rsid w:val="48EE4E30"/>
    <w:rsid w:val="4AE86254"/>
    <w:rsid w:val="4C8C62E4"/>
    <w:rsid w:val="4E735203"/>
    <w:rsid w:val="4FDA069A"/>
    <w:rsid w:val="50AF5CB1"/>
    <w:rsid w:val="52035F68"/>
    <w:rsid w:val="520643D9"/>
    <w:rsid w:val="530D14A4"/>
    <w:rsid w:val="550013E1"/>
    <w:rsid w:val="55BF18F2"/>
    <w:rsid w:val="56E50A49"/>
    <w:rsid w:val="584B4B8B"/>
    <w:rsid w:val="58932D0B"/>
    <w:rsid w:val="5A893DDA"/>
    <w:rsid w:val="5B49464C"/>
    <w:rsid w:val="5BE30497"/>
    <w:rsid w:val="5C986DE2"/>
    <w:rsid w:val="5E0C1314"/>
    <w:rsid w:val="5F3C4B7F"/>
    <w:rsid w:val="608F35FD"/>
    <w:rsid w:val="61815994"/>
    <w:rsid w:val="621A5E15"/>
    <w:rsid w:val="62DD7813"/>
    <w:rsid w:val="632D695C"/>
    <w:rsid w:val="67280D83"/>
    <w:rsid w:val="67697145"/>
    <w:rsid w:val="689E77A6"/>
    <w:rsid w:val="692106AE"/>
    <w:rsid w:val="6A617D40"/>
    <w:rsid w:val="6B030B8B"/>
    <w:rsid w:val="6DCD416F"/>
    <w:rsid w:val="6E685453"/>
    <w:rsid w:val="71BF207A"/>
    <w:rsid w:val="73982F9D"/>
    <w:rsid w:val="73BB1F16"/>
    <w:rsid w:val="73D2205C"/>
    <w:rsid w:val="763739D2"/>
    <w:rsid w:val="77B01185"/>
    <w:rsid w:val="78F41CD4"/>
    <w:rsid w:val="7B670A1E"/>
    <w:rsid w:val="7EEC69BA"/>
    <w:rsid w:val="7FA8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 w:line="288" w:lineRule="auto"/>
      <w:jc w:val="left"/>
    </w:pPr>
    <w:rPr>
      <w:rFonts w:ascii="宋体" w:hAnsi="宋体" w:cs="宋体"/>
      <w:color w:val="000000"/>
      <w:kern w:val="0"/>
      <w:sz w:val="24"/>
    </w:rPr>
  </w:style>
  <w:style w:type="character" w:styleId="a8">
    <w:name w:val="page number"/>
    <w:basedOn w:val="a1"/>
    <w:qFormat/>
  </w:style>
  <w:style w:type="character" w:styleId="a9">
    <w:name w:val="FollowedHyperlink"/>
    <w:basedOn w:val="a1"/>
    <w:qFormat/>
    <w:rPr>
      <w:color w:val="000000"/>
      <w:sz w:val="21"/>
      <w:szCs w:val="21"/>
      <w:u w:val="none"/>
    </w:rPr>
  </w:style>
  <w:style w:type="character" w:styleId="aa">
    <w:name w:val="Hyperlink"/>
    <w:basedOn w:val="a1"/>
    <w:qFormat/>
    <w:rPr>
      <w:color w:val="000000"/>
      <w:sz w:val="21"/>
      <w:szCs w:val="21"/>
      <w:u w:val="none"/>
    </w:rPr>
  </w:style>
  <w:style w:type="character" w:customStyle="1" w:styleId="Char1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NormalCharacter">
    <w:name w:val="NormalCharacter"/>
    <w:uiPriority w:val="99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character" w:customStyle="1" w:styleId="navitem">
    <w:name w:val="navitem"/>
    <w:basedOn w:val="a1"/>
    <w:qFormat/>
    <w:rPr>
      <w:sz w:val="21"/>
      <w:szCs w:val="21"/>
    </w:rPr>
  </w:style>
  <w:style w:type="character" w:customStyle="1" w:styleId="Char0">
    <w:name w:val="页脚 Char"/>
    <w:basedOn w:val="a1"/>
    <w:link w:val="a5"/>
    <w:uiPriority w:val="99"/>
    <w:rsid w:val="000314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2805</Words>
  <Characters>232</Characters>
  <Application>Microsoft Office Word</Application>
  <DocSecurity>0</DocSecurity>
  <Lines>1</Lines>
  <Paragraphs>6</Paragraphs>
  <ScaleCrop>false</ScaleCrop>
  <Company>Lenovo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cp:lastPrinted>2021-06-18T03:53:00Z</cp:lastPrinted>
  <dcterms:created xsi:type="dcterms:W3CDTF">2021-06-03T13:09:00Z</dcterms:created>
  <dcterms:modified xsi:type="dcterms:W3CDTF">2021-06-28T09:52:00Z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