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/>
        <w:jc w:val="center"/>
        <w:rPr>
          <w:rFonts w:hint="eastAsia" w:ascii="仿宋_GB2312" w:hAnsi="楷体_GB2312" w:eastAsia="仿宋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楷体_GB2312" w:eastAsia="仿宋_GB2312" w:cs="楷体_GB2312"/>
          <w:b/>
          <w:bCs/>
          <w:sz w:val="44"/>
          <w:szCs w:val="44"/>
          <w:lang w:val="en-US" w:eastAsia="zh-CN"/>
        </w:rPr>
        <w:t>2022年市国资委部门预算补充说明</w:t>
      </w:r>
    </w:p>
    <w:p>
      <w:pPr>
        <w:spacing w:line="580" w:lineRule="exact"/>
        <w:ind w:firstLine="640"/>
        <w:jc w:val="center"/>
        <w:rPr>
          <w:rFonts w:hint="default" w:ascii="仿宋_GB2312" w:hAnsi="楷体_GB2312" w:eastAsia="仿宋_GB2312" w:cs="楷体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黑体" w:eastAsia="楷体_GB2312" w:cs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  <w:lang w:val="en-US" w:eastAsia="zh-CN"/>
        </w:rPr>
        <w:t>2022年单位预算情况说明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（五）2022年一般公共预算财政拨款收入支出预算情况说明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2022年一般公共预算收入6153.89万元，与2021年相比，减少6893.4万元，比上年降低52.83%。主要原因是归口我委统一填报的项目支出变动较大（部分专项资金金额变动较大）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2022年一般公共预算支出6153.89万元，</w:t>
      </w:r>
      <w:r>
        <w:rPr>
          <w:rFonts w:hint="eastAsia" w:ascii="仿宋_GB2312" w:hAnsi="楷体_GB2312" w:eastAsia="仿宋_GB2312" w:cs="楷体_GB2312"/>
          <w:sz w:val="32"/>
          <w:szCs w:val="32"/>
        </w:rPr>
        <w:t>与2021年相比，减少6893.4万元，比上年降低52.83%。主要原因是归口我委统一填报的项目支出变动较大（部分专项资金金额变动较大）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。其中：社会保障和就业支出330.98万元，占5.38%；资源勘探信息等支出5561.09万元，占90.37%；商业服务业等支出63万元，占1.02%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住房保障支出198.83万元，占3.23%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具体情况如下：</w:t>
      </w:r>
    </w:p>
    <w:p>
      <w:pPr>
        <w:spacing w:line="580" w:lineRule="exact"/>
        <w:ind w:firstLine="64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ascii="仿宋_GB2312" w:hAnsi="楷体_GB2312" w:eastAsia="仿宋_GB2312" w:cs="楷体_GB2312"/>
          <w:sz w:val="32"/>
          <w:szCs w:val="32"/>
        </w:rPr>
        <w:t>1</w:t>
      </w:r>
      <w:r>
        <w:rPr>
          <w:rFonts w:hint="eastAsia" w:ascii="仿宋_GB2312" w:hAnsi="楷体_GB2312" w:eastAsia="仿宋_GB2312" w:cs="楷体_GB2312"/>
          <w:sz w:val="32"/>
          <w:szCs w:val="32"/>
        </w:rPr>
        <w:t>.社会保障和就业（类）行政事业单位养老（款）机关事业单位基本养老保险缴费（项）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220.65</w:t>
      </w:r>
      <w:r>
        <w:rPr>
          <w:rFonts w:hint="eastAsia" w:ascii="仿宋_GB2312" w:hAnsi="楷体_GB2312" w:eastAsia="仿宋_GB2312" w:cs="楷体_GB2312"/>
          <w:sz w:val="32"/>
          <w:szCs w:val="32"/>
        </w:rPr>
        <w:t>万元，比上年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增加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3.79万元，</w:t>
      </w:r>
      <w:r>
        <w:rPr>
          <w:rFonts w:hint="eastAsia" w:ascii="仿宋_GB2312" w:hAnsi="楷体_GB2312" w:eastAsia="仿宋_GB2312" w:cs="楷体_GB2312"/>
          <w:sz w:val="32"/>
          <w:szCs w:val="32"/>
        </w:rPr>
        <w:t>增长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1.75</w:t>
      </w:r>
      <w:r>
        <w:rPr>
          <w:rFonts w:hint="eastAsia" w:ascii="仿宋_GB2312" w:hAnsi="楷体_GB2312" w:eastAsia="仿宋_GB2312" w:cs="楷体_GB2312"/>
          <w:sz w:val="32"/>
          <w:szCs w:val="32"/>
        </w:rPr>
        <w:t>%，主要原因是退休人员增加和职务职级变化造成费用增长。社会保障和就业（类）行政事业单位养老（款）机关事业单位职业年金缴费（项）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110.33</w:t>
      </w:r>
      <w:r>
        <w:rPr>
          <w:rFonts w:hint="eastAsia" w:ascii="仿宋_GB2312" w:hAnsi="楷体_GB2312" w:eastAsia="仿宋_GB2312" w:cs="楷体_GB2312"/>
          <w:sz w:val="32"/>
          <w:szCs w:val="32"/>
        </w:rPr>
        <w:t>万元，比上年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增加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1.9万元，</w:t>
      </w:r>
      <w:r>
        <w:rPr>
          <w:rFonts w:hint="eastAsia" w:ascii="仿宋_GB2312" w:hAnsi="楷体_GB2312" w:eastAsia="仿宋_GB2312" w:cs="楷体_GB2312"/>
          <w:sz w:val="32"/>
          <w:szCs w:val="32"/>
        </w:rPr>
        <w:t>增长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1.75</w:t>
      </w:r>
      <w:r>
        <w:rPr>
          <w:rFonts w:hint="eastAsia" w:ascii="仿宋_GB2312" w:hAnsi="楷体_GB2312" w:eastAsia="仿宋_GB2312" w:cs="楷体_GB2312"/>
          <w:sz w:val="32"/>
          <w:szCs w:val="32"/>
        </w:rPr>
        <w:t>%，主要原因是人员增加及职务职级变化引起的费用增长。</w:t>
      </w:r>
    </w:p>
    <w:p>
      <w:pPr>
        <w:spacing w:line="580" w:lineRule="exact"/>
        <w:ind w:firstLine="64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ascii="仿宋_GB2312" w:hAnsi="楷体_GB2312" w:eastAsia="仿宋_GB2312" w:cs="楷体_GB2312"/>
          <w:sz w:val="32"/>
          <w:szCs w:val="32"/>
        </w:rPr>
        <w:t>2</w:t>
      </w:r>
      <w:r>
        <w:rPr>
          <w:rFonts w:hint="eastAsia" w:ascii="仿宋_GB2312" w:hAnsi="楷体_GB2312" w:eastAsia="仿宋_GB2312" w:cs="楷体_GB2312"/>
          <w:sz w:val="32"/>
          <w:szCs w:val="32"/>
        </w:rPr>
        <w:t>.资源勘探工业信息等（类）国有资产监管（款）行政运行（项）支出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3219.39</w:t>
      </w:r>
      <w:r>
        <w:rPr>
          <w:rFonts w:hint="eastAsia" w:ascii="仿宋_GB2312" w:hAnsi="楷体_GB2312" w:eastAsia="仿宋_GB2312" w:cs="楷体_GB2312"/>
          <w:sz w:val="32"/>
          <w:szCs w:val="32"/>
        </w:rPr>
        <w:t>万元，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比上年减少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7.19万元，</w:t>
      </w:r>
      <w:r>
        <w:rPr>
          <w:rFonts w:hint="eastAsia" w:ascii="仿宋_GB2312" w:hAnsi="楷体_GB2312" w:eastAsia="仿宋_GB2312" w:cs="楷体_GB2312"/>
          <w:sz w:val="32"/>
          <w:szCs w:val="32"/>
        </w:rPr>
        <w:t>比上年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降低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0.22</w:t>
      </w:r>
      <w:r>
        <w:rPr>
          <w:rFonts w:hint="eastAsia" w:ascii="仿宋_GB2312" w:hAnsi="楷体_GB2312" w:eastAsia="仿宋_GB2312" w:cs="楷体_GB2312"/>
          <w:sz w:val="32"/>
          <w:szCs w:val="32"/>
        </w:rPr>
        <w:t>%，主要原因是人员变动及职务职级变化引起的费用减少。资源勘探工业信息等（类）国有资产监管（款）其他国有资产监管（项）支出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2341.70</w:t>
      </w:r>
      <w:r>
        <w:rPr>
          <w:rFonts w:hint="eastAsia" w:ascii="仿宋_GB2312" w:hAnsi="楷体_GB2312" w:eastAsia="仿宋_GB2312" w:cs="楷体_GB2312"/>
          <w:sz w:val="32"/>
          <w:szCs w:val="32"/>
        </w:rPr>
        <w:t>万元，比上年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减少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6828.3万元，降低74.46</w:t>
      </w:r>
      <w:r>
        <w:rPr>
          <w:rFonts w:hint="eastAsia" w:ascii="仿宋_GB2312" w:hAnsi="楷体_GB2312" w:eastAsia="仿宋_GB2312" w:cs="楷体_GB2312"/>
          <w:sz w:val="32"/>
          <w:szCs w:val="32"/>
        </w:rPr>
        <w:t>%，主要原因是项目支出变动较大（部分专项资金金额变动较大）。</w:t>
      </w:r>
    </w:p>
    <w:p>
      <w:pPr>
        <w:spacing w:line="580" w:lineRule="exact"/>
        <w:ind w:firstLine="64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</w:t>
      </w:r>
      <w:r>
        <w:rPr>
          <w:rFonts w:ascii="仿宋_GB2312" w:hAnsi="楷体_GB2312" w:eastAsia="仿宋_GB2312" w:cs="楷体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商业服务业（类）其他商业服务业等（款）其他商业服务业等（项）支出</w:t>
      </w:r>
      <w:r>
        <w:rPr>
          <w:rFonts w:ascii="仿宋_GB2312" w:hAnsi="仿宋_GB2312" w:eastAsia="仿宋_GB2312" w:cs="仿宋_GB2312"/>
          <w:sz w:val="32"/>
          <w:szCs w:val="32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19.23%，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为中欧企业家峰会项目专项资金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，变动原因是按照市财政局要求压减开支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ascii="仿宋_GB2312" w:hAnsi="楷体_GB2312" w:eastAsia="仿宋_GB2312" w:cs="楷体_GB2312"/>
          <w:sz w:val="32"/>
          <w:szCs w:val="32"/>
        </w:rPr>
        <w:t>4</w:t>
      </w:r>
      <w:r>
        <w:rPr>
          <w:rFonts w:hint="eastAsia" w:ascii="仿宋_GB2312" w:hAnsi="楷体_GB2312" w:eastAsia="仿宋_GB2312" w:cs="楷体_GB2312"/>
          <w:sz w:val="32"/>
          <w:szCs w:val="32"/>
        </w:rPr>
        <w:t>.住房保障（类）住房改革支出（款）住房公积金（项）支出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198.83</w:t>
      </w:r>
      <w:r>
        <w:rPr>
          <w:rFonts w:hint="eastAsia" w:ascii="仿宋_GB2312" w:hAnsi="楷体_GB2312" w:eastAsia="仿宋_GB2312" w:cs="楷体_GB2312"/>
          <w:sz w:val="32"/>
          <w:szCs w:val="32"/>
        </w:rPr>
        <w:t>万元，比上年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减少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0.59万元，降低0.3</w:t>
      </w:r>
      <w:r>
        <w:rPr>
          <w:rFonts w:hint="eastAsia" w:ascii="仿宋_GB2312" w:hAnsi="楷体_GB2312" w:eastAsia="仿宋_GB2312" w:cs="楷体_GB2312"/>
          <w:sz w:val="32"/>
          <w:szCs w:val="32"/>
        </w:rPr>
        <w:t>%，主要原因是人员工资调整引起的公积金调整。</w:t>
      </w:r>
    </w:p>
    <w:p>
      <w:pPr>
        <w:spacing w:line="580" w:lineRule="exact"/>
        <w:ind w:firstLine="600"/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auto"/>
        </w:rPr>
        <w:t>二、其他重要事项的情况说明</w:t>
      </w:r>
    </w:p>
    <w:p>
      <w:pPr>
        <w:spacing w:line="580" w:lineRule="exact"/>
        <w:ind w:firstLine="601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（一）国有企业改革资金项目情况说明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国有企业改革资金是深化国企改革、维护社会稳定、优化监管，推动国有企业高质量发展的重要保障；是促进青岛市直大企业盈利能力持续提高，确保各项目标任务圆满完成的重要保障。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国有企业改革资金2022年度</w:t>
      </w:r>
      <w:r>
        <w:rPr>
          <w:rFonts w:hint="eastAsia" w:ascii="仿宋_GB2312" w:hAnsi="黑体" w:eastAsia="仿宋_GB2312"/>
          <w:bCs/>
          <w:sz w:val="32"/>
          <w:szCs w:val="32"/>
        </w:rPr>
        <w:t>预算资金162624.78万元。</w:t>
      </w:r>
      <w:r>
        <w:rPr>
          <w:rFonts w:hint="eastAsia" w:ascii="仿宋_GB2312" w:eastAsia="仿宋_GB2312"/>
          <w:sz w:val="32"/>
          <w:szCs w:val="32"/>
        </w:rPr>
        <w:t>包含国有企业经营业绩考核资金、国有企业资本金注入、大数据在线监管系统建设资金、企业重组奖励资金等项目。其中国有企业经营业绩考核资金以及大数据在线监管系统建设资金</w:t>
      </w:r>
      <w:r>
        <w:rPr>
          <w:rFonts w:hint="eastAsia" w:ascii="仿宋_GB2312" w:hAnsi="宋体" w:eastAsia="仿宋_GB2312" w:cs="Courier New"/>
          <w:sz w:val="32"/>
          <w:szCs w:val="32"/>
        </w:rPr>
        <w:t>具体情况如下：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国有企业经营业绩考核资金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项目概述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宋体" w:eastAsia="仿宋_GB2312" w:cs="Courier New"/>
          <w:sz w:val="32"/>
          <w:szCs w:val="32"/>
        </w:rPr>
        <w:t>主要是通过公开选聘方式，委托中介机构对企业经营业绩实施专项稽核审计，同时开展国有资本经营预算和监督检查专项审计。通过第三方专业机构提出的审计报告及审计意见，能够有效规范企业审计核算基础工作，为科学评价企业经营业绩提供依据，为计算企业负责人薪酬提供重要参考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立项依据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《关于进一步加强国有（集体）企业经营业绩考核与收入分配管理工作的意见》（青政字〔2012〕110号）、《关于深化国有企业改革的意见》（青发〔2016〕6号）、《关于印发</w:t>
      </w:r>
      <w:r>
        <w:rPr>
          <w:rFonts w:ascii="仿宋_GB2312" w:hAnsi="仿宋" w:eastAsia="仿宋_GB2312"/>
          <w:sz w:val="32"/>
          <w:szCs w:val="32"/>
        </w:rPr>
        <w:t>&lt;</w:t>
      </w:r>
      <w:r>
        <w:rPr>
          <w:rFonts w:hint="eastAsia" w:ascii="仿宋_GB2312" w:hAnsi="仿宋" w:eastAsia="仿宋_GB2312"/>
          <w:sz w:val="32"/>
          <w:szCs w:val="32"/>
        </w:rPr>
        <w:t>青岛市市属企业负责人经营业绩考核与薪酬管理办法&gt;的通知》（青国资委〔2019〕50号)、《关于印发&lt;青岛市级国有企业经营业绩考核专项资金管理办法&gt;的通知》（青财资〔2020〕32号）。</w:t>
      </w:r>
    </w:p>
    <w:p>
      <w:pPr>
        <w:spacing w:line="580" w:lineRule="exact"/>
        <w:ind w:firstLine="60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实施主体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市国资委按照政府采购相关程序及要求，委托中介机构实施审计。</w:t>
      </w:r>
    </w:p>
    <w:p>
      <w:pPr>
        <w:spacing w:line="580" w:lineRule="exact"/>
        <w:ind w:firstLine="60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实施方案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根据《青岛市级国有企业经营业绩考核专项资金管理办法》（青财资〔2020〕32号）规定组织实施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实施周期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年度预算安排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600万元。</w:t>
      </w:r>
    </w:p>
    <w:p>
      <w:pPr>
        <w:spacing w:line="580" w:lineRule="exact"/>
        <w:ind w:firstLine="60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绩效目标和指标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国有企业经营业绩考核资金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600.00</w:t>
            </w:r>
            <w:r>
              <w:rPr>
                <w:rFonts w:hint="eastAsia" w:ascii="方正书宋_GBK" w:hAnsi="方正书宋_GBK" w:eastAsia="方正书宋_GBK" w:cs="方正书宋_GBK"/>
                <w:kern w:val="0"/>
              </w:rPr>
              <w:t>万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600.00</w:t>
            </w:r>
            <w:r>
              <w:rPr>
                <w:rFonts w:hint="eastAsia" w:ascii="方正书宋_GBK" w:hAnsi="方正书宋_GBK" w:eastAsia="方正书宋_GBK" w:cs="方正书宋_GBK"/>
                <w:kern w:val="0"/>
              </w:rPr>
              <w:t>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用于支付市国资委经营业绩考核专项稽查费用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600.00</w:t>
            </w:r>
            <w:r>
              <w:rPr>
                <w:rFonts w:hint="eastAsia" w:ascii="方正书宋_GBK" w:hAnsi="方正书宋_GBK" w:eastAsia="方正书宋_GBK" w:cs="方正书宋_GBK"/>
                <w:kern w:val="0"/>
              </w:rPr>
              <w:t>万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600.00</w:t>
            </w:r>
            <w:r>
              <w:rPr>
                <w:rFonts w:hint="eastAsia" w:ascii="方正书宋_GBK" w:hAnsi="方正书宋_GBK" w:eastAsia="方正书宋_GBK" w:cs="方正书宋_GBK"/>
                <w:kern w:val="0"/>
              </w:rPr>
              <w:t>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hint="eastAsia" w:ascii="方正书宋_GBK" w:hAnsi="方正书宋_GBK" w:eastAsia="方正书宋_GBK" w:cs="方正书宋_GBK"/>
                <w:kern w:val="0"/>
                <w:lang w:eastAsia="uk-UA"/>
              </w:rPr>
              <w:t>委托中介机构对市属企业上年度经营业绩实施专项稽核审计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b/>
                <w:kern w:val="0"/>
                <w:lang w:eastAsia="uk-UA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成本指标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经济成本指标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每亿元企业资产审计费用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考察每亿元企业资产审计费用情况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≤2万元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根据考察每亿元企业资产审计费用情况，依据关于印发《青岛市国有企业经营业绩考核专项资金管理办法》的通知-青财企〔2020〕32号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经济成本指标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专项稽核审计费用总额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考察专项稽核审计费用总额情况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≤600万元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根据考察每亿元企业资产审计费用情况，依据关于印发《青岛市国有企业经营业绩考核专项资金管理办法》的通知-青财企〔2020〕32号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出具审计稽查报告数量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出具审计稽查报告数量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≥21个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根据出具审计稽查报告数量，依据2021年度市属企业经营业绩考核专项审计稽查工作需求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审计企业户数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审计企业户数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≥21个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根据审计企业户数，依据2021年度市属企业经营业绩考核专项审计稽查工作需求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国有企业稽查覆盖率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国有企业稽查覆盖率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根据国有企业稽查覆盖率，依据2021年度市属企业经营业绩考核专项审计稽查工作需求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专项审计稽查报告合格率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考察经营业绩考核专项审计稽查报告合格情况，是否按照审计稽查文件规定进行审计并出具审计稽查报告，审计稽查报告列报是否规范准确完整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根据考察经营业绩考核专项审计稽查报告合格情况，是否按照审计稽查文件规定进行审计并出具审计稽查报告，审计稽查报告列报是否规范准确完整。依据2021年度市属企业经营业绩考核专项审计稽查工作需求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专项稽核审计报告出具时间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考察专项稽核审计报告出具时间情况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7月底前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根据考察专项稽核审计报告出具时间情况，依据2021年度市属企业经营业绩考核专项审计稽查工作需求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专项审计稽查企业国有资本保值增值率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考察专项审计稽查企业国有资本保值增值率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审计报告对影响企业保值增值率的客观因素进行列示分析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依据关于印发《青岛市国有企业经营业绩考核专项资金管理办法》的通知-青财企〔2020〕32号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委托方相关人员满意度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考察委托方相关人员对专项稽核审计报告满意度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≥85%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kern w:val="0"/>
                <w:lang w:eastAsia="uk-UA"/>
              </w:rPr>
            </w:pPr>
            <w:r>
              <w:rPr>
                <w:rFonts w:ascii="方正书宋_GBK" w:hAnsi="方正书宋_GBK" w:eastAsia="方正书宋_GBK" w:cs="方正书宋_GBK"/>
                <w:kern w:val="0"/>
                <w:lang w:eastAsia="uk-UA"/>
              </w:rPr>
              <w:t>计划标准，根据考察委托方相关人员对专项稽核审计报告满意度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大数据在线监管系统建设资金</w:t>
      </w:r>
    </w:p>
    <w:p>
      <w:pPr>
        <w:snapToGrid w:val="0"/>
        <w:spacing w:line="560" w:lineRule="exact"/>
        <w:ind w:firstLine="629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项目概述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宋体" w:eastAsia="仿宋_GB2312" w:cs="Courier New"/>
          <w:sz w:val="32"/>
          <w:szCs w:val="32"/>
        </w:rPr>
        <w:t>主要是通过建设青岛市国资大数据在线监管系统，实现青岛市国资大数据在线监管系统与国务院国资委、山东省国资委、各市属企业和区（市）国资监管机构的互联互通，做好市属企业运行情况的数据自动采集、综合分析展示、在线动态监测和风险智能预警，推动国资监管实现制度完备、标准统一、管理规范、实时在线、精准有力，以信息化助力国资监管方式转变和履职能力提升，为青岛市国资监管工作提供强有力支撑。</w:t>
      </w:r>
    </w:p>
    <w:p>
      <w:pPr>
        <w:spacing w:line="580" w:lineRule="exact"/>
        <w:ind w:firstLine="601"/>
        <w:rPr>
          <w:rFonts w:hint="eastAsia" w:ascii="楷体_GB2312" w:eastAsia="楷体_GB2312"/>
          <w:b w:val="0"/>
          <w:bCs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立项依据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。青岛市发展和改革委员会《关于青岛市国资大数据在线监管系统二期工程建设方案及概算的函》。</w:t>
      </w:r>
    </w:p>
    <w:p>
      <w:pPr>
        <w:spacing w:line="580" w:lineRule="exact"/>
        <w:ind w:firstLine="60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实施主体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市国资委按照政府采购相关程序及要求，委托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外部机构</w:t>
      </w:r>
      <w:r>
        <w:rPr>
          <w:rFonts w:hint="eastAsia" w:ascii="仿宋_GB2312" w:hAnsi="仿宋" w:eastAsia="仿宋_GB2312"/>
          <w:sz w:val="32"/>
          <w:szCs w:val="32"/>
        </w:rPr>
        <w:t>实施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建设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0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实施方案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。青岛市国资大数据在线监管系统运维方案。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实施周期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2022年。</w:t>
      </w:r>
    </w:p>
    <w:p>
      <w:pPr>
        <w:spacing w:line="580" w:lineRule="exact"/>
        <w:ind w:firstLine="601"/>
        <w:rPr>
          <w:rFonts w:hint="default" w:ascii="楷体_GB2312" w:eastAsia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年度预算安排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1203.5万元。</w:t>
      </w:r>
    </w:p>
    <w:p>
      <w:pPr>
        <w:spacing w:line="580" w:lineRule="exact"/>
        <w:ind w:firstLine="60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</w:rPr>
        <w:t>绩效目标和指标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5"/>
            </w:pPr>
            <w:r>
              <w:t>37020022P190011100059</w:t>
            </w:r>
          </w:p>
        </w:tc>
        <w:tc>
          <w:tcPr>
            <w:tcW w:w="1587" w:type="dxa"/>
            <w:vAlign w:val="center"/>
          </w:tcPr>
          <w:p>
            <w:pPr>
              <w:pStyle w:val="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5"/>
            </w:pPr>
            <w:r>
              <w:t>大数据在线监管系统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5"/>
            </w:pPr>
            <w:r>
              <w:t>1203.50</w:t>
            </w:r>
          </w:p>
        </w:tc>
        <w:tc>
          <w:tcPr>
            <w:tcW w:w="1587" w:type="dxa"/>
            <w:vAlign w:val="center"/>
          </w:tcPr>
          <w:p>
            <w:pPr>
              <w:pStyle w:val="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5"/>
            </w:pPr>
            <w:r>
              <w:t>1203.50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5"/>
            </w:pPr>
            <w:r>
              <w:t>大数据在线监管系统二期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6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</w:pPr>
            <w:r>
              <w:t>1203.50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5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5"/>
            </w:pPr>
            <w:r>
              <w:t>建设青岛市国资大数据在线监管系统二期工程数量</w:t>
            </w:r>
          </w:p>
        </w:tc>
        <w:tc>
          <w:tcPr>
            <w:tcW w:w="2891" w:type="dxa"/>
            <w:vAlign w:val="center"/>
          </w:tcPr>
          <w:p>
            <w:pPr>
              <w:pStyle w:val="5"/>
            </w:pPr>
            <w:r>
              <w:t>建设青岛市国资大数据在线监管系统二期工程数量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5"/>
            </w:pPr>
            <w:r>
              <w:t>通过系统监管市属企业的户数</w:t>
            </w:r>
          </w:p>
        </w:tc>
        <w:tc>
          <w:tcPr>
            <w:tcW w:w="2891" w:type="dxa"/>
            <w:vAlign w:val="center"/>
          </w:tcPr>
          <w:p>
            <w:pPr>
              <w:pStyle w:val="5"/>
            </w:pPr>
            <w:r>
              <w:t>通过系统监管市属企业的户数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19户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5"/>
            </w:pPr>
            <w:r>
              <w:t>并发访问户数</w:t>
            </w:r>
          </w:p>
        </w:tc>
        <w:tc>
          <w:tcPr>
            <w:tcW w:w="2891" w:type="dxa"/>
            <w:vAlign w:val="center"/>
          </w:tcPr>
          <w:p>
            <w:pPr>
              <w:pStyle w:val="5"/>
            </w:pPr>
            <w:r>
              <w:t>并发访问户数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≤30个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5"/>
            </w:pPr>
            <w:r>
              <w:t>成本控制有效率</w:t>
            </w:r>
          </w:p>
        </w:tc>
        <w:tc>
          <w:tcPr>
            <w:tcW w:w="2891" w:type="dxa"/>
            <w:vAlign w:val="center"/>
          </w:tcPr>
          <w:p>
            <w:pPr>
              <w:pStyle w:val="5"/>
            </w:pPr>
            <w:r>
              <w:t>成本控制有效率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5"/>
            </w:pPr>
            <w:r>
              <w:t>系统完工时间</w:t>
            </w:r>
          </w:p>
        </w:tc>
        <w:tc>
          <w:tcPr>
            <w:tcW w:w="2891" w:type="dxa"/>
            <w:vAlign w:val="center"/>
          </w:tcPr>
          <w:p>
            <w:pPr>
              <w:pStyle w:val="5"/>
            </w:pPr>
            <w:r>
              <w:t>系统完工时间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≤2022年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5"/>
            </w:pPr>
            <w:r>
              <w:t>系统建设成本</w:t>
            </w:r>
          </w:p>
        </w:tc>
        <w:tc>
          <w:tcPr>
            <w:tcW w:w="2891" w:type="dxa"/>
            <w:vAlign w:val="center"/>
          </w:tcPr>
          <w:p>
            <w:pPr>
              <w:pStyle w:val="5"/>
            </w:pPr>
            <w:r>
              <w:t>系统建设成本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</w:pPr>
            <w:r>
              <w:t>≤1109.6万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</w:pPr>
          </w:p>
        </w:tc>
      </w:tr>
    </w:tbl>
    <w:p/>
    <w:p/>
    <w:p>
      <w:pPr>
        <w:spacing w:line="580" w:lineRule="exact"/>
        <w:ind w:firstLine="601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（二）机关运行经费情况</w:t>
      </w:r>
    </w:p>
    <w:p>
      <w:pPr>
        <w:spacing w:line="580" w:lineRule="exact"/>
        <w:ind w:firstLine="601"/>
      </w:pPr>
      <w:r>
        <w:rPr>
          <w:rFonts w:hint="eastAsia" w:ascii="仿宋_GB2312" w:eastAsia="仿宋_GB2312"/>
          <w:sz w:val="32"/>
          <w:szCs w:val="32"/>
        </w:rPr>
        <w:t>2022年市国资委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机关运行经费财政拨款预算为3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16.13</w:t>
      </w:r>
      <w:r>
        <w:rPr>
          <w:rFonts w:hint="eastAsia" w:ascii="仿宋_GB2312" w:eastAsia="仿宋_GB2312"/>
          <w:sz w:val="32"/>
          <w:szCs w:val="32"/>
        </w:rPr>
        <w:t>万元。较2021年预算减少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616.45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66.10</w:t>
      </w:r>
      <w:r>
        <w:rPr>
          <w:rFonts w:hint="eastAsia" w:ascii="仿宋_GB2312" w:eastAsia="仿宋_GB2312"/>
          <w:sz w:val="32"/>
          <w:szCs w:val="32"/>
        </w:rPr>
        <w:t>%。主要是人员</w:t>
      </w:r>
      <w:r>
        <w:rPr>
          <w:rFonts w:hint="eastAsia" w:ascii="仿宋_GB2312" w:eastAsia="仿宋_GB2312"/>
          <w:sz w:val="32"/>
          <w:szCs w:val="32"/>
          <w:lang w:eastAsia="zh-CN"/>
        </w:rPr>
        <w:t>数量变动</w:t>
      </w:r>
      <w:r>
        <w:rPr>
          <w:rFonts w:hint="eastAsia" w:ascii="仿宋_GB2312" w:eastAsia="仿宋_GB2312"/>
          <w:sz w:val="32"/>
          <w:szCs w:val="32"/>
        </w:rPr>
        <w:t>以及按照上级要求压减经费支出造成</w:t>
      </w:r>
      <w:r>
        <w:rPr>
          <w:rFonts w:hint="eastAsia" w:ascii="仿宋_GB2312" w:eastAsia="仿宋_GB2312"/>
          <w:sz w:val="32"/>
          <w:szCs w:val="32"/>
          <w:lang w:eastAsia="zh-CN"/>
        </w:rPr>
        <w:t>及人员工资结构调整变动引起的变化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spacing w:line="580" w:lineRule="exact"/>
        <w:ind w:firstLine="601"/>
        <w:rPr>
          <w:rFonts w:hint="eastAsia" w:ascii="楷体_GB2312" w:eastAsia="楷体_GB2312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eastAsia="楷体_GB2312"/>
          <w:sz w:val="32"/>
          <w:szCs w:val="32"/>
          <w:highlight w:val="none"/>
          <w:shd w:val="clear" w:color="auto" w:fill="auto"/>
        </w:rPr>
        <w:t>（三）政府采购情况</w:t>
      </w:r>
    </w:p>
    <w:p>
      <w:pPr>
        <w:spacing w:line="580" w:lineRule="exact"/>
        <w:ind w:firstLine="600"/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2022年本部门政府采购预算总额2003.76万元，其中：财政拨款安排2003.76万元。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</w:rPr>
        <w:t>政府采购货物预算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</w:rPr>
        <w:t>万元、政府采购工程预算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</w:rPr>
        <w:t>万元、政府采购服务预算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  <w:lang w:val="en-US" w:eastAsia="zh-CN"/>
        </w:rPr>
        <w:t>2000.76</w:t>
      </w:r>
      <w:r>
        <w:rPr>
          <w:rFonts w:hint="eastAsia" w:ascii="仿宋_GB2312" w:hAnsi="宋体" w:eastAsia="仿宋_GB2312" w:cs="Courier New"/>
          <w:sz w:val="32"/>
          <w:szCs w:val="32"/>
          <w:highlight w:val="none"/>
          <w:shd w:val="clear" w:color="auto" w:fill="auto"/>
        </w:rPr>
        <w:t>万元。</w:t>
      </w:r>
    </w:p>
    <w:p>
      <w:pPr>
        <w:spacing w:line="580" w:lineRule="exact"/>
        <w:ind w:firstLine="640" w:firstLineChars="200"/>
        <w:rPr>
          <w:rFonts w:hint="eastAsia" w:ascii="楷体_GB2312" w:hAnsi="黑体" w:eastAsia="楷体_GB2312"/>
          <w:bCs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黑体" w:eastAsia="楷体_GB2312"/>
          <w:bCs/>
          <w:sz w:val="32"/>
          <w:szCs w:val="32"/>
          <w:highlight w:val="none"/>
          <w:shd w:val="clear" w:color="auto" w:fill="auto"/>
        </w:rPr>
        <w:t>（五）预算绩效情况说明</w:t>
      </w:r>
    </w:p>
    <w:p>
      <w:pPr>
        <w:spacing w:line="580" w:lineRule="exact"/>
        <w:ind w:firstLine="640" w:firstLineChars="200"/>
        <w:rPr>
          <w:rFonts w:hint="eastAsia" w:ascii="黑体" w:eastAsia="黑体"/>
          <w:sz w:val="48"/>
          <w:szCs w:val="48"/>
        </w:rPr>
      </w:pP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  <w:lang w:val="en-US" w:eastAsia="zh-CN"/>
        </w:rPr>
        <w:t>市国资委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</w:rPr>
        <w:t>2022年项目支出全面实施绩效目标管理，涉及预算项目支出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</w:rPr>
        <w:t>个，预算资金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  <w:lang w:val="en-US" w:eastAsia="zh-CN"/>
        </w:rPr>
        <w:t>162624.78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</w:rPr>
        <w:t>万元，其中财政拨款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  <w:lang w:val="en-US" w:eastAsia="zh-CN"/>
        </w:rPr>
        <w:t>162624.78</w:t>
      </w:r>
      <w:r>
        <w:rPr>
          <w:rFonts w:hint="eastAsia" w:ascii="仿宋_GB2312" w:hAnsi="黑体" w:eastAsia="仿宋_GB2312"/>
          <w:bCs/>
          <w:sz w:val="32"/>
          <w:szCs w:val="32"/>
          <w:highlight w:val="none"/>
          <w:shd w:val="clear" w:color="auto" w:fill="auto"/>
        </w:rPr>
        <w:t>万元。</w:t>
      </w:r>
      <w:r>
        <w:rPr>
          <w:rFonts w:hint="eastAsia" w:ascii="仿宋_GB2312" w:hAnsi="黑体" w:eastAsia="仿宋_GB2312"/>
          <w:bCs/>
          <w:sz w:val="32"/>
          <w:szCs w:val="32"/>
        </w:rPr>
        <w:t>从以前年度绩效评价情况看，市国资委项目支出绩效管理的重视程度进一步提升，大部分项目有序开展，执行和完成情况较好，资金使用规范。绩效目标设置情况详见附件。</w:t>
      </w:r>
    </w:p>
    <w:p>
      <w:pPr>
        <w:spacing w:line="580" w:lineRule="exact"/>
        <w:ind w:firstLine="640" w:firstLineChars="200"/>
        <w:rPr>
          <w:rFonts w:ascii="仿宋_GB2312" w:hAnsi="黑体" w:eastAsia="仿宋_GB2312"/>
          <w:bCs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48"/>
          <w:szCs w:val="48"/>
        </w:rPr>
      </w:pPr>
      <w:r>
        <w:rPr>
          <w:rFonts w:hint="eastAsia" w:ascii="仿宋_GB2312" w:hAnsi="宋体" w:eastAsia="仿宋_GB2312" w:cs="Courier New"/>
          <w:sz w:val="32"/>
          <w:szCs w:val="32"/>
        </w:rPr>
        <w:br w:type="page"/>
      </w:r>
    </w:p>
    <w:p>
      <w:pPr>
        <w:spacing w:line="580" w:lineRule="exact"/>
        <w:ind w:firstLine="600"/>
        <w:rPr>
          <w:rFonts w:hint="eastAsia" w:ascii="仿宋_GB2312" w:hAnsi="宋体" w:eastAsia="仿宋_GB2312" w:cs="Courier New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01"/>
        <w:rPr>
          <w:rFonts w:hint="eastAsia" w:ascii="楷体_GB2312" w:eastAsia="楷体_GB2312"/>
          <w:sz w:val="32"/>
          <w:szCs w:val="32"/>
          <w:highlight w:val="none"/>
          <w:shd w:val="clear" w:color="auto" w:fill="auto"/>
        </w:rPr>
      </w:pPr>
    </w:p>
    <w:p>
      <w:pPr>
        <w:spacing w:line="580" w:lineRule="exact"/>
        <w:ind w:firstLine="640"/>
        <w:rPr>
          <w:rFonts w:hint="eastAsia" w:ascii="仿宋_GB2312" w:hAnsi="楷体_GB2312" w:eastAsia="仿宋_GB2312" w:cs="楷体_GB2312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楷体_GB2312" w:eastAsia="仿宋_GB2312" w:cs="楷体_GB2312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楷体_GB2312" w:eastAsia="仿宋_GB2312" w:cs="楷体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16F452"/>
    <w:multiLevelType w:val="singleLevel"/>
    <w:tmpl w:val="DD16F4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ZDJhZTJkZTczYmZkYWRmYjFjMzY3YjkyM2RlZDAifQ=="/>
  </w:docVars>
  <w:rsids>
    <w:rsidRoot w:val="00000000"/>
    <w:rsid w:val="00F52A8D"/>
    <w:rsid w:val="012D2227"/>
    <w:rsid w:val="02F37C65"/>
    <w:rsid w:val="04844FAC"/>
    <w:rsid w:val="08492130"/>
    <w:rsid w:val="08EE6B40"/>
    <w:rsid w:val="1FCB321B"/>
    <w:rsid w:val="20FD17BE"/>
    <w:rsid w:val="26606A55"/>
    <w:rsid w:val="287F0D0A"/>
    <w:rsid w:val="2DE27D71"/>
    <w:rsid w:val="367202CB"/>
    <w:rsid w:val="3EF17385"/>
    <w:rsid w:val="40AA2422"/>
    <w:rsid w:val="413B782B"/>
    <w:rsid w:val="46044CC7"/>
    <w:rsid w:val="4B8D7226"/>
    <w:rsid w:val="4F204746"/>
    <w:rsid w:val="55326F81"/>
    <w:rsid w:val="5553614E"/>
    <w:rsid w:val="5809221B"/>
    <w:rsid w:val="58C873F4"/>
    <w:rsid w:val="5BFE62CB"/>
    <w:rsid w:val="5D6D4FDD"/>
    <w:rsid w:val="606D766C"/>
    <w:rsid w:val="61740927"/>
    <w:rsid w:val="65734FBF"/>
    <w:rsid w:val="66715EEF"/>
    <w:rsid w:val="6C6621F2"/>
    <w:rsid w:val="6DF1361C"/>
    <w:rsid w:val="70D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3198</Words>
  <Characters>3558</Characters>
  <Lines>0</Lines>
  <Paragraphs>0</Paragraphs>
  <TotalTime>1</TotalTime>
  <ScaleCrop>false</ScaleCrop>
  <LinksUpToDate>false</LinksUpToDate>
  <CharactersWithSpaces>3575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2023-03-16T07:25:00Z</dcterms:created>
  <dc:creator>Lenovo</dc:creator>
  <cp:lastModifiedBy>Lenovo</cp:lastModifiedBy>
  <cp:lastPrinted>2023-03-20T02:40:00Z</cp:lastPrinted>
  <dcterms:modified xsi:type="dcterms:W3CDTF">2023-03-20T07:06:36Z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D7420FCDBAD94DA48D3CD302BDECF016</vt:lpwstr>
  </property>
</Properties>
</file>